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0EAA0F">
      <w:pPr>
        <w:spacing w:line="540" w:lineRule="exact"/>
        <w:ind w:firstLine="1600" w:firstLineChars="500"/>
        <w:rPr>
          <w:rFonts w:ascii="宋体" w:hAnsi="宋体"/>
          <w:color w:val="auto"/>
          <w:sz w:val="32"/>
          <w:szCs w:val="32"/>
          <w:u w:val="none"/>
        </w:rPr>
      </w:pPr>
    </w:p>
    <w:p w14:paraId="76E43EC6">
      <w:pPr>
        <w:spacing w:line="540" w:lineRule="exact"/>
        <w:ind w:firstLine="1600" w:firstLineChars="500"/>
        <w:rPr>
          <w:rFonts w:ascii="宋体" w:hAnsi="宋体"/>
          <w:color w:val="auto"/>
          <w:sz w:val="32"/>
          <w:szCs w:val="32"/>
          <w:u w:val="none"/>
        </w:rPr>
      </w:pPr>
    </w:p>
    <w:p w14:paraId="57DB6C46">
      <w:pPr>
        <w:spacing w:line="540" w:lineRule="exact"/>
        <w:ind w:firstLine="1600" w:firstLineChars="500"/>
        <w:rPr>
          <w:rFonts w:ascii="宋体" w:hAnsi="宋体"/>
          <w:color w:val="auto"/>
          <w:sz w:val="32"/>
          <w:szCs w:val="32"/>
          <w:u w:val="none"/>
        </w:rPr>
      </w:pPr>
    </w:p>
    <w:p w14:paraId="6645AE6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bCs/>
          <w:snapToGrid w:val="0"/>
          <w:color w:val="auto"/>
          <w:w w:val="100"/>
          <w:kern w:val="0"/>
          <w:sz w:val="40"/>
          <w:szCs w:val="40"/>
          <w:u w:val="none"/>
          <w:lang w:eastAsia="zh-CN"/>
        </w:rPr>
      </w:pPr>
      <w:r>
        <w:rPr>
          <w:rFonts w:hint="eastAsia" w:ascii="宋体" w:hAnsi="宋体"/>
          <w:b/>
          <w:bCs/>
          <w:snapToGrid w:val="0"/>
          <w:color w:val="auto"/>
          <w:w w:val="100"/>
          <w:kern w:val="0"/>
          <w:sz w:val="40"/>
          <w:szCs w:val="40"/>
          <w:u w:val="none"/>
          <w:lang w:eastAsia="zh-CN"/>
        </w:rPr>
        <w:t>国家税务总局盖州市税务局综合业务办公用房维修改造项目</w:t>
      </w:r>
    </w:p>
    <w:p w14:paraId="32F508BC">
      <w:pPr>
        <w:spacing w:line="460" w:lineRule="exact"/>
        <w:ind w:firstLine="437"/>
        <w:rPr>
          <w:rFonts w:ascii="宋体" w:hAnsi="宋体"/>
          <w:color w:val="auto"/>
          <w:szCs w:val="21"/>
          <w:u w:val="none"/>
        </w:rPr>
      </w:pPr>
    </w:p>
    <w:p w14:paraId="780B81BA">
      <w:pPr>
        <w:spacing w:line="460" w:lineRule="exact"/>
        <w:ind w:firstLine="437"/>
        <w:rPr>
          <w:rFonts w:ascii="宋体" w:hAnsi="宋体"/>
          <w:color w:val="auto"/>
          <w:szCs w:val="21"/>
          <w:u w:val="none"/>
        </w:rPr>
      </w:pPr>
    </w:p>
    <w:p w14:paraId="48231059">
      <w:pPr>
        <w:spacing w:line="540" w:lineRule="exact"/>
        <w:rPr>
          <w:rFonts w:ascii="宋体" w:hAnsi="宋体"/>
          <w:color w:val="auto"/>
          <w:szCs w:val="21"/>
          <w:u w:val="none"/>
        </w:rPr>
      </w:pPr>
    </w:p>
    <w:p w14:paraId="4E5FC248">
      <w:pPr>
        <w:spacing w:line="540" w:lineRule="exact"/>
        <w:rPr>
          <w:rFonts w:ascii="宋体" w:hAnsi="宋体"/>
          <w:color w:val="auto"/>
          <w:szCs w:val="21"/>
          <w:u w:val="none"/>
        </w:rPr>
      </w:pPr>
    </w:p>
    <w:p w14:paraId="4DFCADDD">
      <w:pPr>
        <w:jc w:val="center"/>
        <w:rPr>
          <w:rFonts w:ascii="黑体" w:hAnsi="宋体" w:eastAsia="黑体"/>
          <w:color w:val="auto"/>
          <w:sz w:val="72"/>
          <w:szCs w:val="72"/>
          <w:u w:val="none"/>
        </w:rPr>
      </w:pPr>
      <w:r>
        <w:rPr>
          <w:rFonts w:hint="eastAsia" w:ascii="黑体" w:hAnsi="宋体" w:eastAsia="黑体"/>
          <w:color w:val="auto"/>
          <w:sz w:val="72"/>
          <w:szCs w:val="72"/>
          <w:u w:val="none"/>
        </w:rPr>
        <w:t>招 标 文 件</w:t>
      </w:r>
    </w:p>
    <w:p w14:paraId="16F929FC">
      <w:pPr>
        <w:spacing w:line="540" w:lineRule="exact"/>
        <w:rPr>
          <w:rFonts w:ascii="黑体" w:eastAsia="黑体"/>
          <w:color w:val="auto"/>
          <w:sz w:val="28"/>
          <w:szCs w:val="28"/>
          <w:u w:val="none"/>
        </w:rPr>
      </w:pPr>
    </w:p>
    <w:p w14:paraId="13A3A7E6">
      <w:pPr>
        <w:spacing w:line="540" w:lineRule="exact"/>
        <w:ind w:left="0" w:leftChars="0"/>
        <w:jc w:val="both"/>
        <w:rPr>
          <w:rFonts w:hint="eastAsia" w:ascii="黑体" w:eastAsia="黑体"/>
          <w:color w:val="auto"/>
          <w:sz w:val="28"/>
          <w:szCs w:val="28"/>
          <w:u w:val="none"/>
        </w:rPr>
      </w:pPr>
    </w:p>
    <w:p w14:paraId="471E5ACE">
      <w:pPr>
        <w:spacing w:line="540" w:lineRule="exact"/>
        <w:ind w:firstLine="437"/>
        <w:rPr>
          <w:rFonts w:ascii="宋体" w:hAnsi="宋体"/>
          <w:color w:val="auto"/>
          <w:szCs w:val="21"/>
          <w:u w:val="none"/>
        </w:rPr>
      </w:pPr>
    </w:p>
    <w:p w14:paraId="2972019B">
      <w:pPr>
        <w:spacing w:line="540" w:lineRule="exact"/>
        <w:ind w:firstLine="437"/>
        <w:rPr>
          <w:rFonts w:ascii="宋体" w:hAnsi="宋体"/>
          <w:color w:val="auto"/>
          <w:szCs w:val="21"/>
          <w:u w:val="none"/>
        </w:rPr>
      </w:pPr>
    </w:p>
    <w:p w14:paraId="638DBDFE">
      <w:pPr>
        <w:spacing w:line="540" w:lineRule="exact"/>
        <w:ind w:firstLine="437"/>
        <w:rPr>
          <w:rFonts w:ascii="宋体" w:hAnsi="宋体"/>
          <w:color w:val="auto"/>
          <w:szCs w:val="21"/>
          <w:u w:val="none"/>
        </w:rPr>
      </w:pPr>
    </w:p>
    <w:p w14:paraId="34741C68">
      <w:pPr>
        <w:spacing w:line="540" w:lineRule="exact"/>
        <w:ind w:firstLine="437"/>
        <w:rPr>
          <w:rFonts w:ascii="宋体" w:hAnsi="宋体"/>
          <w:color w:val="auto"/>
          <w:szCs w:val="21"/>
          <w:u w:val="none"/>
        </w:rPr>
      </w:pPr>
    </w:p>
    <w:p w14:paraId="06D5F003">
      <w:pPr>
        <w:spacing w:line="540" w:lineRule="exact"/>
        <w:ind w:firstLine="437"/>
        <w:rPr>
          <w:rFonts w:ascii="宋体" w:hAnsi="宋体"/>
          <w:color w:val="auto"/>
          <w:szCs w:val="21"/>
          <w:u w:val="none"/>
        </w:rPr>
      </w:pPr>
    </w:p>
    <w:p w14:paraId="1D369C0B">
      <w:pPr>
        <w:spacing w:line="540" w:lineRule="exact"/>
        <w:ind w:firstLine="437"/>
        <w:rPr>
          <w:rFonts w:ascii="宋体" w:hAnsi="宋体"/>
          <w:color w:val="auto"/>
          <w:szCs w:val="21"/>
          <w:u w:val="none"/>
        </w:rPr>
      </w:pPr>
    </w:p>
    <w:p w14:paraId="3E440018">
      <w:pPr>
        <w:spacing w:line="540" w:lineRule="exact"/>
        <w:ind w:firstLine="437"/>
        <w:rPr>
          <w:rFonts w:ascii="宋体" w:hAnsi="宋体"/>
          <w:color w:val="auto"/>
          <w:szCs w:val="21"/>
          <w:u w:val="none"/>
        </w:rPr>
      </w:pPr>
    </w:p>
    <w:p w14:paraId="19D5C2F8">
      <w:pPr>
        <w:spacing w:line="360" w:lineRule="auto"/>
        <w:jc w:val="center"/>
        <w:rPr>
          <w:rFonts w:ascii="黑体" w:hAnsi="黑体" w:eastAsia="黑体"/>
          <w:color w:val="auto"/>
          <w:sz w:val="28"/>
          <w:szCs w:val="28"/>
          <w:u w:val="none"/>
        </w:rPr>
      </w:pPr>
      <w:r>
        <w:rPr>
          <w:rFonts w:hint="eastAsia" w:ascii="黑体" w:hAnsi="黑体" w:eastAsia="黑体"/>
          <w:color w:val="auto"/>
          <w:sz w:val="28"/>
          <w:szCs w:val="28"/>
          <w:u w:val="none"/>
        </w:rPr>
        <w:t>招标人：国家税务总局盖州市税务局（盖章）</w:t>
      </w:r>
    </w:p>
    <w:p w14:paraId="2CC9DE4C">
      <w:pPr>
        <w:keepNext w:val="0"/>
        <w:keepLines w:val="0"/>
        <w:pageBreakBefore w:val="0"/>
        <w:widowControl w:val="0"/>
        <w:kinsoku/>
        <w:wordWrap/>
        <w:overflowPunct/>
        <w:topLinePunct w:val="0"/>
        <w:autoSpaceDE/>
        <w:autoSpaceDN/>
        <w:bidi w:val="0"/>
        <w:adjustRightInd/>
        <w:snapToGrid/>
        <w:jc w:val="center"/>
        <w:textAlignment w:val="auto"/>
        <w:rPr>
          <w:color w:val="auto"/>
          <w:u w:val="none"/>
        </w:rPr>
        <w:sectPr>
          <w:footerReference r:id="rId3" w:type="default"/>
          <w:pgSz w:w="11906" w:h="16838"/>
          <w:pgMar w:top="1440" w:right="1800" w:bottom="1440" w:left="1800" w:header="851" w:footer="992" w:gutter="0"/>
          <w:cols w:space="425" w:num="1"/>
          <w:docGrid w:type="lines" w:linePitch="312" w:charSpace="0"/>
        </w:sectPr>
      </w:pPr>
      <w:r>
        <w:rPr>
          <w:rFonts w:hint="eastAsia" w:ascii="黑体" w:hAnsi="黑体" w:eastAsia="黑体"/>
          <w:color w:val="auto"/>
          <w:sz w:val="28"/>
          <w:szCs w:val="28"/>
          <w:u w:val="none"/>
        </w:rPr>
        <w:t>日    期：2026年</w:t>
      </w:r>
      <w:r>
        <w:rPr>
          <w:rFonts w:hint="eastAsia" w:ascii="黑体" w:hAnsi="黑体" w:eastAsia="黑体"/>
          <w:color w:val="auto"/>
          <w:sz w:val="28"/>
          <w:szCs w:val="28"/>
          <w:u w:val="none"/>
          <w:lang w:val="en-US" w:eastAsia="zh-CN"/>
        </w:rPr>
        <w:t>9</w:t>
      </w:r>
      <w:r>
        <w:rPr>
          <w:rFonts w:hint="eastAsia" w:ascii="黑体" w:hAnsi="黑体" w:eastAsia="黑体"/>
          <w:color w:val="auto"/>
          <w:sz w:val="28"/>
          <w:szCs w:val="28"/>
          <w:u w:val="none"/>
        </w:rPr>
        <w:t>月</w:t>
      </w:r>
      <w:r>
        <w:rPr>
          <w:rFonts w:hint="eastAsia" w:ascii="黑体" w:hAnsi="黑体" w:eastAsia="黑体"/>
          <w:color w:val="auto"/>
          <w:sz w:val="28"/>
          <w:szCs w:val="28"/>
          <w:u w:val="none"/>
          <w:lang w:val="en-US" w:eastAsia="zh-CN"/>
        </w:rPr>
        <w:t>8</w:t>
      </w:r>
      <w:r>
        <w:rPr>
          <w:rFonts w:hint="eastAsia" w:ascii="黑体" w:hAnsi="黑体" w:eastAsia="黑体"/>
          <w:color w:val="auto"/>
          <w:sz w:val="28"/>
          <w:szCs w:val="28"/>
          <w:u w:val="none"/>
        </w:rPr>
        <w:t>日</w:t>
      </w:r>
    </w:p>
    <w:p w14:paraId="41F50B71">
      <w:pPr>
        <w:jc w:val="center"/>
        <w:rPr>
          <w:rFonts w:eastAsia="宋体"/>
          <w:b/>
          <w:color w:val="auto"/>
          <w:sz w:val="44"/>
        </w:rPr>
      </w:pPr>
      <w:bookmarkStart w:id="0" w:name="tableContents"/>
      <w:r>
        <w:rPr>
          <w:rFonts w:eastAsia="宋体"/>
          <w:b/>
          <w:color w:val="auto"/>
          <w:sz w:val="44"/>
        </w:rPr>
        <w:t>目录</w:t>
      </w:r>
    </w:p>
    <w:p w14:paraId="558C010E">
      <w:pPr>
        <w:pStyle w:val="15"/>
        <w:tabs>
          <w:tab w:val="right" w:leader="dot" w:pos="8306"/>
        </w:tabs>
        <w:rPr>
          <w:color w:val="auto"/>
        </w:rPr>
      </w:pPr>
      <w:r>
        <w:rPr>
          <w:rFonts w:eastAsia="宋体"/>
          <w:b/>
          <w:color w:val="auto"/>
          <w:sz w:val="44"/>
        </w:rPr>
        <w:fldChar w:fldCharType="begin"/>
      </w:r>
      <w:r>
        <w:rPr>
          <w:rFonts w:eastAsia="宋体"/>
          <w:b/>
          <w:color w:val="auto"/>
          <w:sz w:val="44"/>
        </w:rPr>
        <w:instrText xml:space="preserve">TOC \o "1-3" \h \z \u</w:instrText>
      </w:r>
      <w:r>
        <w:rPr>
          <w:rFonts w:eastAsia="宋体"/>
          <w:b/>
          <w:color w:val="auto"/>
          <w:sz w:val="44"/>
        </w:rPr>
        <w:fldChar w:fldCharType="separate"/>
      </w:r>
      <w:r>
        <w:rPr>
          <w:rFonts w:eastAsia="宋体"/>
          <w:color w:val="auto"/>
        </w:rPr>
        <w:fldChar w:fldCharType="begin"/>
      </w:r>
      <w:r>
        <w:rPr>
          <w:rFonts w:eastAsia="宋体"/>
          <w:color w:val="auto"/>
        </w:rPr>
        <w:instrText xml:space="preserve"> HYPERLINK \l _Toc23388 </w:instrText>
      </w:r>
      <w:r>
        <w:rPr>
          <w:rFonts w:eastAsia="宋体"/>
          <w:color w:val="auto"/>
        </w:rPr>
        <w:fldChar w:fldCharType="separate"/>
      </w:r>
      <w:r>
        <w:rPr>
          <w:rFonts w:hint="eastAsia" w:ascii="黑体" w:hAnsi="黑体" w:eastAsia="黑体"/>
          <w:bCs w:val="0"/>
          <w:color w:val="auto"/>
          <w:szCs w:val="48"/>
        </w:rPr>
        <w:t>第一卷</w:t>
      </w:r>
      <w:r>
        <w:rPr>
          <w:color w:val="auto"/>
        </w:rPr>
        <w:tab/>
      </w:r>
      <w:r>
        <w:rPr>
          <w:color w:val="auto"/>
        </w:rPr>
        <w:fldChar w:fldCharType="begin"/>
      </w:r>
      <w:r>
        <w:rPr>
          <w:color w:val="auto"/>
        </w:rPr>
        <w:instrText xml:space="preserve"> PAGEREF _Toc23388 \h </w:instrText>
      </w:r>
      <w:r>
        <w:rPr>
          <w:color w:val="auto"/>
        </w:rPr>
        <w:fldChar w:fldCharType="separate"/>
      </w:r>
      <w:r>
        <w:rPr>
          <w:color w:val="auto"/>
        </w:rPr>
        <w:t>1</w:t>
      </w:r>
      <w:r>
        <w:rPr>
          <w:color w:val="auto"/>
        </w:rPr>
        <w:fldChar w:fldCharType="end"/>
      </w:r>
      <w:r>
        <w:rPr>
          <w:rFonts w:eastAsia="宋体"/>
          <w:color w:val="auto"/>
        </w:rPr>
        <w:fldChar w:fldCharType="end"/>
      </w:r>
    </w:p>
    <w:p w14:paraId="6E4DD4A2">
      <w:pPr>
        <w:pStyle w:val="15"/>
        <w:tabs>
          <w:tab w:val="right" w:leader="dot" w:pos="8306"/>
        </w:tabs>
        <w:rPr>
          <w:color w:val="auto"/>
        </w:rPr>
      </w:pPr>
      <w:r>
        <w:rPr>
          <w:rFonts w:eastAsia="宋体"/>
          <w:color w:val="auto"/>
        </w:rPr>
        <w:fldChar w:fldCharType="begin"/>
      </w:r>
      <w:r>
        <w:rPr>
          <w:rFonts w:eastAsia="宋体"/>
          <w:color w:val="auto"/>
        </w:rPr>
        <w:instrText xml:space="preserve"> HYPERLINK \l _Toc30484 </w:instrText>
      </w:r>
      <w:r>
        <w:rPr>
          <w:rFonts w:eastAsia="宋体"/>
          <w:color w:val="auto"/>
        </w:rPr>
        <w:fldChar w:fldCharType="separate"/>
      </w:r>
      <w:r>
        <w:rPr>
          <w:rFonts w:hint="eastAsia" w:ascii="黑体" w:hAnsi="黑体" w:eastAsia="黑体"/>
          <w:bCs w:val="0"/>
          <w:color w:val="auto"/>
        </w:rPr>
        <w:t>第一章  招标公告</w:t>
      </w:r>
      <w:r>
        <w:rPr>
          <w:color w:val="auto"/>
        </w:rPr>
        <w:tab/>
      </w:r>
      <w:r>
        <w:rPr>
          <w:color w:val="auto"/>
        </w:rPr>
        <w:fldChar w:fldCharType="begin"/>
      </w:r>
      <w:r>
        <w:rPr>
          <w:color w:val="auto"/>
        </w:rPr>
        <w:instrText xml:space="preserve"> PAGEREF _Toc30484 \h </w:instrText>
      </w:r>
      <w:r>
        <w:rPr>
          <w:color w:val="auto"/>
        </w:rPr>
        <w:fldChar w:fldCharType="separate"/>
      </w:r>
      <w:r>
        <w:rPr>
          <w:color w:val="auto"/>
        </w:rPr>
        <w:t>2</w:t>
      </w:r>
      <w:r>
        <w:rPr>
          <w:color w:val="auto"/>
        </w:rPr>
        <w:fldChar w:fldCharType="end"/>
      </w:r>
      <w:r>
        <w:rPr>
          <w:rFonts w:eastAsia="宋体"/>
          <w:color w:val="auto"/>
        </w:rPr>
        <w:fldChar w:fldCharType="end"/>
      </w:r>
    </w:p>
    <w:p w14:paraId="2BB0C5EC">
      <w:pPr>
        <w:pStyle w:val="15"/>
        <w:tabs>
          <w:tab w:val="right" w:leader="dot" w:pos="8306"/>
        </w:tabs>
        <w:rPr>
          <w:color w:val="auto"/>
        </w:rPr>
      </w:pPr>
      <w:r>
        <w:rPr>
          <w:rFonts w:eastAsia="宋体"/>
          <w:color w:val="auto"/>
        </w:rPr>
        <w:fldChar w:fldCharType="begin"/>
      </w:r>
      <w:r>
        <w:rPr>
          <w:rFonts w:eastAsia="宋体"/>
          <w:color w:val="auto"/>
        </w:rPr>
        <w:instrText xml:space="preserve"> HYPERLINK \l _Toc6511 </w:instrText>
      </w:r>
      <w:r>
        <w:rPr>
          <w:rFonts w:eastAsia="宋体"/>
          <w:color w:val="auto"/>
        </w:rPr>
        <w:fldChar w:fldCharType="separate"/>
      </w:r>
      <w:r>
        <w:rPr>
          <w:rFonts w:ascii="黑体" w:hAnsi="黑体" w:eastAsia="黑体"/>
          <w:bCs w:val="0"/>
          <w:color w:val="auto"/>
        </w:rPr>
        <w:t>第</w:t>
      </w:r>
      <w:r>
        <w:rPr>
          <w:rFonts w:hint="eastAsia" w:ascii="黑体" w:hAnsi="黑体" w:eastAsia="黑体"/>
          <w:bCs w:val="0"/>
          <w:color w:val="auto"/>
          <w:lang w:val="en-US" w:eastAsia="zh-CN"/>
        </w:rPr>
        <w:t>二</w:t>
      </w:r>
      <w:r>
        <w:rPr>
          <w:rFonts w:ascii="黑体" w:hAnsi="黑体" w:eastAsia="黑体"/>
          <w:bCs w:val="0"/>
          <w:color w:val="auto"/>
        </w:rPr>
        <w:t>章</w:t>
      </w:r>
      <w:r>
        <w:rPr>
          <w:rFonts w:hint="eastAsia" w:ascii="黑体" w:hAnsi="黑体" w:eastAsia="黑体"/>
          <w:bCs w:val="0"/>
          <w:color w:val="auto"/>
          <w:lang w:val="en-US" w:eastAsia="zh-CN"/>
        </w:rPr>
        <w:t xml:space="preserve"> </w:t>
      </w:r>
      <w:r>
        <w:rPr>
          <w:rFonts w:hint="eastAsia" w:ascii="黑体" w:hAnsi="黑体" w:eastAsia="黑体"/>
          <w:bCs w:val="0"/>
          <w:color w:val="auto"/>
        </w:rPr>
        <w:t xml:space="preserve"> </w:t>
      </w:r>
      <w:r>
        <w:rPr>
          <w:rFonts w:hint="eastAsia" w:ascii="黑体" w:hAnsi="黑体" w:eastAsia="黑体"/>
          <w:bCs w:val="0"/>
          <w:color w:val="auto"/>
          <w:lang w:val="en-US" w:eastAsia="zh-CN"/>
        </w:rPr>
        <w:t>投标人须知</w:t>
      </w:r>
      <w:r>
        <w:rPr>
          <w:color w:val="auto"/>
        </w:rPr>
        <w:tab/>
      </w:r>
      <w:r>
        <w:rPr>
          <w:color w:val="auto"/>
        </w:rPr>
        <w:fldChar w:fldCharType="begin"/>
      </w:r>
      <w:r>
        <w:rPr>
          <w:color w:val="auto"/>
        </w:rPr>
        <w:instrText xml:space="preserve"> PAGEREF _Toc6511 \h </w:instrText>
      </w:r>
      <w:r>
        <w:rPr>
          <w:color w:val="auto"/>
        </w:rPr>
        <w:fldChar w:fldCharType="separate"/>
      </w:r>
      <w:r>
        <w:rPr>
          <w:color w:val="auto"/>
        </w:rPr>
        <w:t>6</w:t>
      </w:r>
      <w:r>
        <w:rPr>
          <w:color w:val="auto"/>
        </w:rPr>
        <w:fldChar w:fldCharType="end"/>
      </w:r>
      <w:r>
        <w:rPr>
          <w:rFonts w:eastAsia="宋体"/>
          <w:color w:val="auto"/>
        </w:rPr>
        <w:fldChar w:fldCharType="end"/>
      </w:r>
    </w:p>
    <w:p w14:paraId="5B60FFEC">
      <w:pPr>
        <w:pStyle w:val="17"/>
        <w:tabs>
          <w:tab w:val="right" w:leader="dot" w:pos="8306"/>
        </w:tabs>
        <w:rPr>
          <w:color w:val="auto"/>
        </w:rPr>
      </w:pPr>
      <w:r>
        <w:rPr>
          <w:rFonts w:eastAsia="宋体"/>
          <w:color w:val="auto"/>
        </w:rPr>
        <w:fldChar w:fldCharType="begin"/>
      </w:r>
      <w:r>
        <w:rPr>
          <w:rFonts w:eastAsia="宋体"/>
          <w:color w:val="auto"/>
        </w:rPr>
        <w:instrText xml:space="preserve"> HYPERLINK \l _Toc20356 </w:instrText>
      </w:r>
      <w:r>
        <w:rPr>
          <w:rFonts w:eastAsia="宋体"/>
          <w:color w:val="auto"/>
        </w:rPr>
        <w:fldChar w:fldCharType="separate"/>
      </w:r>
      <w:r>
        <w:rPr>
          <w:rFonts w:hint="eastAsia"/>
          <w:color w:val="auto"/>
          <w:highlight w:val="none"/>
        </w:rPr>
        <w:t>投标人须知前附表</w:t>
      </w:r>
      <w:r>
        <w:rPr>
          <w:color w:val="auto"/>
        </w:rPr>
        <w:tab/>
      </w:r>
      <w:r>
        <w:rPr>
          <w:color w:val="auto"/>
        </w:rPr>
        <w:fldChar w:fldCharType="begin"/>
      </w:r>
      <w:r>
        <w:rPr>
          <w:color w:val="auto"/>
        </w:rPr>
        <w:instrText xml:space="preserve"> PAGEREF _Toc20356 \h </w:instrText>
      </w:r>
      <w:r>
        <w:rPr>
          <w:color w:val="auto"/>
        </w:rPr>
        <w:fldChar w:fldCharType="separate"/>
      </w:r>
      <w:r>
        <w:rPr>
          <w:color w:val="auto"/>
        </w:rPr>
        <w:t>7</w:t>
      </w:r>
      <w:r>
        <w:rPr>
          <w:color w:val="auto"/>
        </w:rPr>
        <w:fldChar w:fldCharType="end"/>
      </w:r>
      <w:r>
        <w:rPr>
          <w:rFonts w:eastAsia="宋体"/>
          <w:color w:val="auto"/>
        </w:rPr>
        <w:fldChar w:fldCharType="end"/>
      </w:r>
    </w:p>
    <w:p w14:paraId="6EF3FAF0">
      <w:pPr>
        <w:pStyle w:val="17"/>
        <w:tabs>
          <w:tab w:val="right" w:leader="dot" w:pos="8306"/>
        </w:tabs>
        <w:rPr>
          <w:color w:val="auto"/>
        </w:rPr>
      </w:pPr>
      <w:r>
        <w:rPr>
          <w:rFonts w:eastAsia="宋体"/>
          <w:color w:val="auto"/>
        </w:rPr>
        <w:fldChar w:fldCharType="begin"/>
      </w:r>
      <w:r>
        <w:rPr>
          <w:rFonts w:eastAsia="宋体"/>
          <w:color w:val="auto"/>
        </w:rPr>
        <w:instrText xml:space="preserve"> HYPERLINK \l _Toc7366 </w:instrText>
      </w:r>
      <w:r>
        <w:rPr>
          <w:rFonts w:eastAsia="宋体"/>
          <w:color w:val="auto"/>
        </w:rPr>
        <w:fldChar w:fldCharType="separate"/>
      </w:r>
      <w:r>
        <w:rPr>
          <w:rFonts w:hint="eastAsia"/>
          <w:color w:val="auto"/>
          <w:highlight w:val="none"/>
        </w:rPr>
        <w:t>投标人须知正文部分</w:t>
      </w:r>
      <w:r>
        <w:rPr>
          <w:color w:val="auto"/>
        </w:rPr>
        <w:tab/>
      </w:r>
      <w:r>
        <w:rPr>
          <w:color w:val="auto"/>
        </w:rPr>
        <w:fldChar w:fldCharType="begin"/>
      </w:r>
      <w:r>
        <w:rPr>
          <w:color w:val="auto"/>
        </w:rPr>
        <w:instrText xml:space="preserve"> PAGEREF _Toc7366 \h </w:instrText>
      </w:r>
      <w:r>
        <w:rPr>
          <w:color w:val="auto"/>
        </w:rPr>
        <w:fldChar w:fldCharType="separate"/>
      </w:r>
      <w:r>
        <w:rPr>
          <w:color w:val="auto"/>
        </w:rPr>
        <w:t>18</w:t>
      </w:r>
      <w:r>
        <w:rPr>
          <w:color w:val="auto"/>
        </w:rPr>
        <w:fldChar w:fldCharType="end"/>
      </w:r>
      <w:r>
        <w:rPr>
          <w:rFonts w:eastAsia="宋体"/>
          <w:color w:val="auto"/>
        </w:rPr>
        <w:fldChar w:fldCharType="end"/>
      </w:r>
    </w:p>
    <w:p w14:paraId="04EA8AE3">
      <w:pPr>
        <w:pStyle w:val="17"/>
        <w:tabs>
          <w:tab w:val="right" w:leader="dot" w:pos="8306"/>
        </w:tabs>
        <w:rPr>
          <w:color w:val="auto"/>
        </w:rPr>
      </w:pPr>
      <w:r>
        <w:rPr>
          <w:rFonts w:eastAsia="宋体"/>
          <w:color w:val="auto"/>
        </w:rPr>
        <w:fldChar w:fldCharType="begin"/>
      </w:r>
      <w:r>
        <w:rPr>
          <w:rFonts w:eastAsia="宋体"/>
          <w:color w:val="auto"/>
        </w:rPr>
        <w:instrText xml:space="preserve"> HYPERLINK \l _Toc20909 </w:instrText>
      </w:r>
      <w:r>
        <w:rPr>
          <w:rFonts w:eastAsia="宋体"/>
          <w:color w:val="auto"/>
        </w:rPr>
        <w:fldChar w:fldCharType="separate"/>
      </w:r>
      <w:r>
        <w:rPr>
          <w:rFonts w:hint="eastAsia"/>
          <w:color w:val="auto"/>
          <w:highlight w:val="none"/>
        </w:rPr>
        <w:t>1. 总则</w:t>
      </w:r>
      <w:r>
        <w:rPr>
          <w:color w:val="auto"/>
        </w:rPr>
        <w:tab/>
      </w:r>
      <w:r>
        <w:rPr>
          <w:color w:val="auto"/>
        </w:rPr>
        <w:fldChar w:fldCharType="begin"/>
      </w:r>
      <w:r>
        <w:rPr>
          <w:color w:val="auto"/>
        </w:rPr>
        <w:instrText xml:space="preserve"> PAGEREF _Toc20909 \h </w:instrText>
      </w:r>
      <w:r>
        <w:rPr>
          <w:color w:val="auto"/>
        </w:rPr>
        <w:fldChar w:fldCharType="separate"/>
      </w:r>
      <w:r>
        <w:rPr>
          <w:color w:val="auto"/>
        </w:rPr>
        <w:t>18</w:t>
      </w:r>
      <w:r>
        <w:rPr>
          <w:color w:val="auto"/>
        </w:rPr>
        <w:fldChar w:fldCharType="end"/>
      </w:r>
      <w:r>
        <w:rPr>
          <w:rFonts w:eastAsia="宋体"/>
          <w:color w:val="auto"/>
        </w:rPr>
        <w:fldChar w:fldCharType="end"/>
      </w:r>
    </w:p>
    <w:p w14:paraId="3CB34AFE">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_Toc23395 </w:instrText>
      </w:r>
      <w:r>
        <w:rPr>
          <w:rFonts w:eastAsia="宋体"/>
          <w:color w:val="auto"/>
        </w:rPr>
        <w:fldChar w:fldCharType="separate"/>
      </w:r>
      <w:r>
        <w:rPr>
          <w:rFonts w:hint="eastAsia"/>
          <w:color w:val="auto"/>
          <w:highlight w:val="none"/>
        </w:rPr>
        <w:t>1.1 项目概况</w:t>
      </w:r>
      <w:r>
        <w:rPr>
          <w:color w:val="auto"/>
        </w:rPr>
        <w:tab/>
      </w:r>
      <w:r>
        <w:rPr>
          <w:color w:val="auto"/>
        </w:rPr>
        <w:fldChar w:fldCharType="begin"/>
      </w:r>
      <w:r>
        <w:rPr>
          <w:color w:val="auto"/>
        </w:rPr>
        <w:instrText xml:space="preserve"> PAGEREF _Toc23395 \h </w:instrText>
      </w:r>
      <w:r>
        <w:rPr>
          <w:color w:val="auto"/>
        </w:rPr>
        <w:fldChar w:fldCharType="separate"/>
      </w:r>
      <w:r>
        <w:rPr>
          <w:color w:val="auto"/>
        </w:rPr>
        <w:t>18</w:t>
      </w:r>
      <w:r>
        <w:rPr>
          <w:color w:val="auto"/>
        </w:rPr>
        <w:fldChar w:fldCharType="end"/>
      </w:r>
      <w:r>
        <w:rPr>
          <w:rFonts w:eastAsia="宋体"/>
          <w:color w:val="auto"/>
        </w:rPr>
        <w:fldChar w:fldCharType="end"/>
      </w:r>
    </w:p>
    <w:p w14:paraId="2A29DE55">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_Toc2483 </w:instrText>
      </w:r>
      <w:r>
        <w:rPr>
          <w:rFonts w:eastAsia="宋体"/>
          <w:color w:val="auto"/>
        </w:rPr>
        <w:fldChar w:fldCharType="separate"/>
      </w:r>
      <w:r>
        <w:rPr>
          <w:rFonts w:hint="eastAsia"/>
          <w:color w:val="auto"/>
          <w:highlight w:val="none"/>
        </w:rPr>
        <w:t>1.2 资金来源和落实情况</w:t>
      </w:r>
      <w:r>
        <w:rPr>
          <w:color w:val="auto"/>
        </w:rPr>
        <w:tab/>
      </w:r>
      <w:r>
        <w:rPr>
          <w:color w:val="auto"/>
        </w:rPr>
        <w:fldChar w:fldCharType="begin"/>
      </w:r>
      <w:r>
        <w:rPr>
          <w:color w:val="auto"/>
        </w:rPr>
        <w:instrText xml:space="preserve"> PAGEREF _Toc2483 \h </w:instrText>
      </w:r>
      <w:r>
        <w:rPr>
          <w:color w:val="auto"/>
        </w:rPr>
        <w:fldChar w:fldCharType="separate"/>
      </w:r>
      <w:r>
        <w:rPr>
          <w:color w:val="auto"/>
        </w:rPr>
        <w:t>18</w:t>
      </w:r>
      <w:r>
        <w:rPr>
          <w:color w:val="auto"/>
        </w:rPr>
        <w:fldChar w:fldCharType="end"/>
      </w:r>
      <w:r>
        <w:rPr>
          <w:rFonts w:eastAsia="宋体"/>
          <w:color w:val="auto"/>
        </w:rPr>
        <w:fldChar w:fldCharType="end"/>
      </w:r>
    </w:p>
    <w:p w14:paraId="6F670201">
      <w:pPr>
        <w:pStyle w:val="11"/>
        <w:tabs>
          <w:tab w:val="right" w:leader="dot" w:pos="8306"/>
        </w:tabs>
        <w:rPr>
          <w:color w:val="auto"/>
        </w:rPr>
      </w:pPr>
      <w:r>
        <w:rPr>
          <w:rFonts w:eastAsia="宋体"/>
          <w:color w:val="auto"/>
        </w:rPr>
        <w:fldChar w:fldCharType="begin"/>
      </w:r>
      <w:r>
        <w:rPr>
          <w:rFonts w:eastAsia="宋体"/>
          <w:color w:val="auto"/>
        </w:rPr>
        <w:instrText xml:space="preserve"> HYPERLINK \l _Toc3671 </w:instrText>
      </w:r>
      <w:r>
        <w:rPr>
          <w:rFonts w:eastAsia="宋体"/>
          <w:color w:val="auto"/>
        </w:rPr>
        <w:fldChar w:fldCharType="separate"/>
      </w:r>
      <w:r>
        <w:rPr>
          <w:rFonts w:hint="eastAsia"/>
          <w:color w:val="auto"/>
          <w:highlight w:val="none"/>
        </w:rPr>
        <w:t>1.3 招标范围、计划工期和质量要求</w:t>
      </w:r>
      <w:r>
        <w:rPr>
          <w:color w:val="auto"/>
        </w:rPr>
        <w:tab/>
      </w:r>
      <w:r>
        <w:rPr>
          <w:color w:val="auto"/>
        </w:rPr>
        <w:fldChar w:fldCharType="begin"/>
      </w:r>
      <w:r>
        <w:rPr>
          <w:color w:val="auto"/>
        </w:rPr>
        <w:instrText xml:space="preserve"> PAGEREF _Toc3671 \h </w:instrText>
      </w:r>
      <w:r>
        <w:rPr>
          <w:color w:val="auto"/>
        </w:rPr>
        <w:fldChar w:fldCharType="separate"/>
      </w:r>
      <w:r>
        <w:rPr>
          <w:color w:val="auto"/>
        </w:rPr>
        <w:t>18</w:t>
      </w:r>
      <w:r>
        <w:rPr>
          <w:color w:val="auto"/>
        </w:rPr>
        <w:fldChar w:fldCharType="end"/>
      </w:r>
      <w:r>
        <w:rPr>
          <w:rFonts w:eastAsia="宋体"/>
          <w:color w:val="auto"/>
        </w:rPr>
        <w:fldChar w:fldCharType="end"/>
      </w:r>
    </w:p>
    <w:p w14:paraId="62A5A294">
      <w:pPr>
        <w:pStyle w:val="11"/>
        <w:tabs>
          <w:tab w:val="right" w:leader="dot" w:pos="8306"/>
        </w:tabs>
        <w:rPr>
          <w:color w:val="auto"/>
        </w:rPr>
      </w:pPr>
      <w:r>
        <w:rPr>
          <w:rFonts w:eastAsia="宋体"/>
          <w:color w:val="auto"/>
        </w:rPr>
        <w:fldChar w:fldCharType="begin"/>
      </w:r>
      <w:r>
        <w:rPr>
          <w:rFonts w:eastAsia="宋体"/>
          <w:color w:val="auto"/>
        </w:rPr>
        <w:instrText xml:space="preserve"> HYPERLINK \l _Toc15326 </w:instrText>
      </w:r>
      <w:r>
        <w:rPr>
          <w:rFonts w:eastAsia="宋体"/>
          <w:color w:val="auto"/>
        </w:rPr>
        <w:fldChar w:fldCharType="separate"/>
      </w:r>
      <w:r>
        <w:rPr>
          <w:rFonts w:hint="eastAsia"/>
          <w:color w:val="auto"/>
          <w:highlight w:val="none"/>
        </w:rPr>
        <w:t>1.4 投标人资格要求</w:t>
      </w:r>
      <w:r>
        <w:rPr>
          <w:color w:val="auto"/>
        </w:rPr>
        <w:tab/>
      </w:r>
      <w:r>
        <w:rPr>
          <w:color w:val="auto"/>
        </w:rPr>
        <w:fldChar w:fldCharType="begin"/>
      </w:r>
      <w:r>
        <w:rPr>
          <w:color w:val="auto"/>
        </w:rPr>
        <w:instrText xml:space="preserve"> PAGEREF _Toc15326 \h </w:instrText>
      </w:r>
      <w:r>
        <w:rPr>
          <w:color w:val="auto"/>
        </w:rPr>
        <w:fldChar w:fldCharType="separate"/>
      </w:r>
      <w:r>
        <w:rPr>
          <w:color w:val="auto"/>
        </w:rPr>
        <w:t>18</w:t>
      </w:r>
      <w:r>
        <w:rPr>
          <w:color w:val="auto"/>
        </w:rPr>
        <w:fldChar w:fldCharType="end"/>
      </w:r>
      <w:r>
        <w:rPr>
          <w:rFonts w:eastAsia="宋体"/>
          <w:color w:val="auto"/>
        </w:rPr>
        <w:fldChar w:fldCharType="end"/>
      </w:r>
    </w:p>
    <w:p w14:paraId="7A952909">
      <w:pPr>
        <w:pStyle w:val="11"/>
        <w:tabs>
          <w:tab w:val="right" w:leader="dot" w:pos="8306"/>
        </w:tabs>
        <w:rPr>
          <w:color w:val="auto"/>
        </w:rPr>
      </w:pPr>
      <w:r>
        <w:rPr>
          <w:rFonts w:eastAsia="宋体"/>
          <w:color w:val="auto"/>
        </w:rPr>
        <w:fldChar w:fldCharType="begin"/>
      </w:r>
      <w:r>
        <w:rPr>
          <w:rFonts w:eastAsia="宋体"/>
          <w:color w:val="auto"/>
        </w:rPr>
        <w:instrText xml:space="preserve"> HYPERLINK \l _Toc613 </w:instrText>
      </w:r>
      <w:r>
        <w:rPr>
          <w:rFonts w:eastAsia="宋体"/>
          <w:color w:val="auto"/>
        </w:rPr>
        <w:fldChar w:fldCharType="separate"/>
      </w:r>
      <w:r>
        <w:rPr>
          <w:rFonts w:hint="eastAsia"/>
          <w:color w:val="auto"/>
          <w:highlight w:val="none"/>
        </w:rPr>
        <w:t>1.5 费用承担</w:t>
      </w:r>
      <w:r>
        <w:rPr>
          <w:color w:val="auto"/>
        </w:rPr>
        <w:tab/>
      </w:r>
      <w:r>
        <w:rPr>
          <w:color w:val="auto"/>
        </w:rPr>
        <w:fldChar w:fldCharType="begin"/>
      </w:r>
      <w:r>
        <w:rPr>
          <w:color w:val="auto"/>
        </w:rPr>
        <w:instrText xml:space="preserve"> PAGEREF _Toc613 \h </w:instrText>
      </w:r>
      <w:r>
        <w:rPr>
          <w:color w:val="auto"/>
        </w:rPr>
        <w:fldChar w:fldCharType="separate"/>
      </w:r>
      <w:r>
        <w:rPr>
          <w:color w:val="auto"/>
        </w:rPr>
        <w:t>19</w:t>
      </w:r>
      <w:r>
        <w:rPr>
          <w:color w:val="auto"/>
        </w:rPr>
        <w:fldChar w:fldCharType="end"/>
      </w:r>
      <w:r>
        <w:rPr>
          <w:rFonts w:eastAsia="宋体"/>
          <w:color w:val="auto"/>
        </w:rPr>
        <w:fldChar w:fldCharType="end"/>
      </w:r>
    </w:p>
    <w:p w14:paraId="642C8588">
      <w:pPr>
        <w:pStyle w:val="11"/>
        <w:tabs>
          <w:tab w:val="right" w:leader="dot" w:pos="8306"/>
        </w:tabs>
        <w:rPr>
          <w:color w:val="auto"/>
        </w:rPr>
      </w:pPr>
      <w:r>
        <w:rPr>
          <w:rFonts w:eastAsia="宋体"/>
          <w:color w:val="auto"/>
        </w:rPr>
        <w:fldChar w:fldCharType="begin"/>
      </w:r>
      <w:r>
        <w:rPr>
          <w:rFonts w:eastAsia="宋体"/>
          <w:color w:val="auto"/>
        </w:rPr>
        <w:instrText xml:space="preserve"> HYPERLINK \l _Toc32047 </w:instrText>
      </w:r>
      <w:r>
        <w:rPr>
          <w:rFonts w:eastAsia="宋体"/>
          <w:color w:val="auto"/>
        </w:rPr>
        <w:fldChar w:fldCharType="separate"/>
      </w:r>
      <w:r>
        <w:rPr>
          <w:rFonts w:hint="eastAsia"/>
          <w:color w:val="auto"/>
          <w:highlight w:val="none"/>
        </w:rPr>
        <w:t>1.6 保密</w:t>
      </w:r>
      <w:r>
        <w:rPr>
          <w:color w:val="auto"/>
        </w:rPr>
        <w:tab/>
      </w:r>
      <w:r>
        <w:rPr>
          <w:color w:val="auto"/>
        </w:rPr>
        <w:fldChar w:fldCharType="begin"/>
      </w:r>
      <w:r>
        <w:rPr>
          <w:color w:val="auto"/>
        </w:rPr>
        <w:instrText xml:space="preserve"> PAGEREF _Toc32047 \h </w:instrText>
      </w:r>
      <w:r>
        <w:rPr>
          <w:color w:val="auto"/>
        </w:rPr>
        <w:fldChar w:fldCharType="separate"/>
      </w:r>
      <w:r>
        <w:rPr>
          <w:color w:val="auto"/>
        </w:rPr>
        <w:t>19</w:t>
      </w:r>
      <w:r>
        <w:rPr>
          <w:color w:val="auto"/>
        </w:rPr>
        <w:fldChar w:fldCharType="end"/>
      </w:r>
      <w:r>
        <w:rPr>
          <w:rFonts w:eastAsia="宋体"/>
          <w:color w:val="auto"/>
        </w:rPr>
        <w:fldChar w:fldCharType="end"/>
      </w:r>
    </w:p>
    <w:p w14:paraId="6F1DB300">
      <w:pPr>
        <w:pStyle w:val="11"/>
        <w:tabs>
          <w:tab w:val="right" w:leader="dot" w:pos="8306"/>
        </w:tabs>
        <w:rPr>
          <w:color w:val="auto"/>
        </w:rPr>
      </w:pPr>
      <w:r>
        <w:rPr>
          <w:rFonts w:eastAsia="宋体"/>
          <w:color w:val="auto"/>
        </w:rPr>
        <w:fldChar w:fldCharType="begin"/>
      </w:r>
      <w:r>
        <w:rPr>
          <w:rFonts w:eastAsia="宋体"/>
          <w:color w:val="auto"/>
        </w:rPr>
        <w:instrText xml:space="preserve"> HYPERLINK \l _Toc11940 </w:instrText>
      </w:r>
      <w:r>
        <w:rPr>
          <w:rFonts w:eastAsia="宋体"/>
          <w:color w:val="auto"/>
        </w:rPr>
        <w:fldChar w:fldCharType="separate"/>
      </w:r>
      <w:r>
        <w:rPr>
          <w:rFonts w:hint="eastAsia"/>
          <w:color w:val="auto"/>
          <w:highlight w:val="none"/>
        </w:rPr>
        <w:t>1.7 语言文字</w:t>
      </w:r>
      <w:r>
        <w:rPr>
          <w:color w:val="auto"/>
        </w:rPr>
        <w:tab/>
      </w:r>
      <w:r>
        <w:rPr>
          <w:color w:val="auto"/>
        </w:rPr>
        <w:fldChar w:fldCharType="begin"/>
      </w:r>
      <w:r>
        <w:rPr>
          <w:color w:val="auto"/>
        </w:rPr>
        <w:instrText xml:space="preserve"> PAGEREF _Toc11940 \h </w:instrText>
      </w:r>
      <w:r>
        <w:rPr>
          <w:color w:val="auto"/>
        </w:rPr>
        <w:fldChar w:fldCharType="separate"/>
      </w:r>
      <w:r>
        <w:rPr>
          <w:color w:val="auto"/>
        </w:rPr>
        <w:t>19</w:t>
      </w:r>
      <w:r>
        <w:rPr>
          <w:color w:val="auto"/>
        </w:rPr>
        <w:fldChar w:fldCharType="end"/>
      </w:r>
      <w:r>
        <w:rPr>
          <w:rFonts w:eastAsia="宋体"/>
          <w:color w:val="auto"/>
        </w:rPr>
        <w:fldChar w:fldCharType="end"/>
      </w:r>
    </w:p>
    <w:p w14:paraId="7A0EA8C6">
      <w:pPr>
        <w:pStyle w:val="11"/>
        <w:tabs>
          <w:tab w:val="right" w:leader="dot" w:pos="8306"/>
        </w:tabs>
        <w:rPr>
          <w:color w:val="auto"/>
        </w:rPr>
      </w:pPr>
      <w:r>
        <w:rPr>
          <w:rFonts w:eastAsia="宋体"/>
          <w:color w:val="auto"/>
        </w:rPr>
        <w:fldChar w:fldCharType="begin"/>
      </w:r>
      <w:r>
        <w:rPr>
          <w:rFonts w:eastAsia="宋体"/>
          <w:color w:val="auto"/>
        </w:rPr>
        <w:instrText xml:space="preserve"> HYPERLINK \l _Toc19959 </w:instrText>
      </w:r>
      <w:r>
        <w:rPr>
          <w:rFonts w:eastAsia="宋体"/>
          <w:color w:val="auto"/>
        </w:rPr>
        <w:fldChar w:fldCharType="separate"/>
      </w:r>
      <w:r>
        <w:rPr>
          <w:rFonts w:hint="eastAsia"/>
          <w:color w:val="auto"/>
          <w:highlight w:val="none"/>
        </w:rPr>
        <w:t>1.8 计量单位</w:t>
      </w:r>
      <w:r>
        <w:rPr>
          <w:color w:val="auto"/>
        </w:rPr>
        <w:tab/>
      </w:r>
      <w:r>
        <w:rPr>
          <w:color w:val="auto"/>
        </w:rPr>
        <w:fldChar w:fldCharType="begin"/>
      </w:r>
      <w:r>
        <w:rPr>
          <w:color w:val="auto"/>
        </w:rPr>
        <w:instrText xml:space="preserve"> PAGEREF _Toc19959 \h </w:instrText>
      </w:r>
      <w:r>
        <w:rPr>
          <w:color w:val="auto"/>
        </w:rPr>
        <w:fldChar w:fldCharType="separate"/>
      </w:r>
      <w:r>
        <w:rPr>
          <w:color w:val="auto"/>
        </w:rPr>
        <w:t>19</w:t>
      </w:r>
      <w:r>
        <w:rPr>
          <w:color w:val="auto"/>
        </w:rPr>
        <w:fldChar w:fldCharType="end"/>
      </w:r>
      <w:r>
        <w:rPr>
          <w:rFonts w:eastAsia="宋体"/>
          <w:color w:val="auto"/>
        </w:rPr>
        <w:fldChar w:fldCharType="end"/>
      </w:r>
    </w:p>
    <w:p w14:paraId="02F27421">
      <w:pPr>
        <w:pStyle w:val="11"/>
        <w:tabs>
          <w:tab w:val="right" w:leader="dot" w:pos="8306"/>
        </w:tabs>
        <w:rPr>
          <w:color w:val="auto"/>
        </w:rPr>
      </w:pPr>
      <w:r>
        <w:rPr>
          <w:rFonts w:eastAsia="宋体"/>
          <w:color w:val="auto"/>
        </w:rPr>
        <w:fldChar w:fldCharType="begin"/>
      </w:r>
      <w:r>
        <w:rPr>
          <w:rFonts w:eastAsia="宋体"/>
          <w:color w:val="auto"/>
        </w:rPr>
        <w:instrText xml:space="preserve"> HYPERLINK \l _Toc18776 </w:instrText>
      </w:r>
      <w:r>
        <w:rPr>
          <w:rFonts w:eastAsia="宋体"/>
          <w:color w:val="auto"/>
        </w:rPr>
        <w:fldChar w:fldCharType="separate"/>
      </w:r>
      <w:r>
        <w:rPr>
          <w:rFonts w:hint="eastAsia"/>
          <w:color w:val="auto"/>
          <w:highlight w:val="none"/>
        </w:rPr>
        <w:t>1.9 踏勘现场</w:t>
      </w:r>
      <w:r>
        <w:rPr>
          <w:color w:val="auto"/>
        </w:rPr>
        <w:tab/>
      </w:r>
      <w:r>
        <w:rPr>
          <w:color w:val="auto"/>
        </w:rPr>
        <w:fldChar w:fldCharType="begin"/>
      </w:r>
      <w:r>
        <w:rPr>
          <w:color w:val="auto"/>
        </w:rPr>
        <w:instrText xml:space="preserve"> PAGEREF _Toc18776 \h </w:instrText>
      </w:r>
      <w:r>
        <w:rPr>
          <w:color w:val="auto"/>
        </w:rPr>
        <w:fldChar w:fldCharType="separate"/>
      </w:r>
      <w:r>
        <w:rPr>
          <w:color w:val="auto"/>
        </w:rPr>
        <w:t>19</w:t>
      </w:r>
      <w:r>
        <w:rPr>
          <w:color w:val="auto"/>
        </w:rPr>
        <w:fldChar w:fldCharType="end"/>
      </w:r>
      <w:r>
        <w:rPr>
          <w:rFonts w:eastAsia="宋体"/>
          <w:color w:val="auto"/>
        </w:rPr>
        <w:fldChar w:fldCharType="end"/>
      </w:r>
    </w:p>
    <w:p w14:paraId="5FC53EF0">
      <w:pPr>
        <w:pStyle w:val="11"/>
        <w:tabs>
          <w:tab w:val="right" w:leader="dot" w:pos="8306"/>
        </w:tabs>
        <w:rPr>
          <w:color w:val="auto"/>
        </w:rPr>
      </w:pPr>
      <w:r>
        <w:rPr>
          <w:rFonts w:eastAsia="宋体"/>
          <w:color w:val="auto"/>
        </w:rPr>
        <w:fldChar w:fldCharType="begin"/>
      </w:r>
      <w:r>
        <w:rPr>
          <w:rFonts w:eastAsia="宋体"/>
          <w:color w:val="auto"/>
        </w:rPr>
        <w:instrText xml:space="preserve"> HYPERLINK \l _Toc11739 </w:instrText>
      </w:r>
      <w:r>
        <w:rPr>
          <w:rFonts w:eastAsia="宋体"/>
          <w:color w:val="auto"/>
        </w:rPr>
        <w:fldChar w:fldCharType="separate"/>
      </w:r>
      <w:r>
        <w:rPr>
          <w:rFonts w:hint="eastAsia"/>
          <w:color w:val="auto"/>
          <w:highlight w:val="none"/>
        </w:rPr>
        <w:t>1.10 投标预备会</w:t>
      </w:r>
      <w:r>
        <w:rPr>
          <w:color w:val="auto"/>
        </w:rPr>
        <w:tab/>
      </w:r>
      <w:r>
        <w:rPr>
          <w:color w:val="auto"/>
        </w:rPr>
        <w:fldChar w:fldCharType="begin"/>
      </w:r>
      <w:r>
        <w:rPr>
          <w:color w:val="auto"/>
        </w:rPr>
        <w:instrText xml:space="preserve"> PAGEREF _Toc11739 \h </w:instrText>
      </w:r>
      <w:r>
        <w:rPr>
          <w:color w:val="auto"/>
        </w:rPr>
        <w:fldChar w:fldCharType="separate"/>
      </w:r>
      <w:r>
        <w:rPr>
          <w:color w:val="auto"/>
        </w:rPr>
        <w:t>20</w:t>
      </w:r>
      <w:r>
        <w:rPr>
          <w:color w:val="auto"/>
        </w:rPr>
        <w:fldChar w:fldCharType="end"/>
      </w:r>
      <w:r>
        <w:rPr>
          <w:rFonts w:eastAsia="宋体"/>
          <w:color w:val="auto"/>
        </w:rPr>
        <w:fldChar w:fldCharType="end"/>
      </w:r>
    </w:p>
    <w:p w14:paraId="0718B6DE">
      <w:pPr>
        <w:pStyle w:val="11"/>
        <w:tabs>
          <w:tab w:val="right" w:leader="dot" w:pos="8306"/>
        </w:tabs>
        <w:rPr>
          <w:color w:val="auto"/>
        </w:rPr>
      </w:pPr>
      <w:r>
        <w:rPr>
          <w:rFonts w:eastAsia="宋体"/>
          <w:color w:val="auto"/>
        </w:rPr>
        <w:fldChar w:fldCharType="begin"/>
      </w:r>
      <w:r>
        <w:rPr>
          <w:rFonts w:eastAsia="宋体"/>
          <w:color w:val="auto"/>
        </w:rPr>
        <w:instrText xml:space="preserve"> HYPERLINK \l _Toc5201 </w:instrText>
      </w:r>
      <w:r>
        <w:rPr>
          <w:rFonts w:eastAsia="宋体"/>
          <w:color w:val="auto"/>
        </w:rPr>
        <w:fldChar w:fldCharType="separate"/>
      </w:r>
      <w:r>
        <w:rPr>
          <w:rFonts w:hint="eastAsia"/>
          <w:color w:val="auto"/>
          <w:highlight w:val="none"/>
        </w:rPr>
        <w:t>1.11 分包</w:t>
      </w:r>
      <w:r>
        <w:rPr>
          <w:color w:val="auto"/>
        </w:rPr>
        <w:tab/>
      </w:r>
      <w:r>
        <w:rPr>
          <w:color w:val="auto"/>
        </w:rPr>
        <w:fldChar w:fldCharType="begin"/>
      </w:r>
      <w:r>
        <w:rPr>
          <w:color w:val="auto"/>
        </w:rPr>
        <w:instrText xml:space="preserve"> PAGEREF _Toc5201 \h </w:instrText>
      </w:r>
      <w:r>
        <w:rPr>
          <w:color w:val="auto"/>
        </w:rPr>
        <w:fldChar w:fldCharType="separate"/>
      </w:r>
      <w:r>
        <w:rPr>
          <w:color w:val="auto"/>
        </w:rPr>
        <w:t>20</w:t>
      </w:r>
      <w:r>
        <w:rPr>
          <w:color w:val="auto"/>
        </w:rPr>
        <w:fldChar w:fldCharType="end"/>
      </w:r>
      <w:r>
        <w:rPr>
          <w:rFonts w:eastAsia="宋体"/>
          <w:color w:val="auto"/>
        </w:rPr>
        <w:fldChar w:fldCharType="end"/>
      </w:r>
    </w:p>
    <w:p w14:paraId="79195F17">
      <w:pPr>
        <w:pStyle w:val="11"/>
        <w:tabs>
          <w:tab w:val="right" w:leader="dot" w:pos="8306"/>
        </w:tabs>
        <w:rPr>
          <w:color w:val="auto"/>
        </w:rPr>
      </w:pPr>
      <w:r>
        <w:rPr>
          <w:rFonts w:eastAsia="宋体"/>
          <w:color w:val="auto"/>
        </w:rPr>
        <w:fldChar w:fldCharType="begin"/>
      </w:r>
      <w:r>
        <w:rPr>
          <w:rFonts w:eastAsia="宋体"/>
          <w:color w:val="auto"/>
        </w:rPr>
        <w:instrText xml:space="preserve"> HYPERLINK \l _Toc7455 </w:instrText>
      </w:r>
      <w:r>
        <w:rPr>
          <w:rFonts w:eastAsia="宋体"/>
          <w:color w:val="auto"/>
        </w:rPr>
        <w:fldChar w:fldCharType="separate"/>
      </w:r>
      <w:r>
        <w:rPr>
          <w:rFonts w:hint="eastAsia"/>
          <w:color w:val="auto"/>
          <w:highlight w:val="none"/>
        </w:rPr>
        <w:t>1.12 偏离</w:t>
      </w:r>
      <w:r>
        <w:rPr>
          <w:color w:val="auto"/>
        </w:rPr>
        <w:tab/>
      </w:r>
      <w:r>
        <w:rPr>
          <w:color w:val="auto"/>
        </w:rPr>
        <w:fldChar w:fldCharType="begin"/>
      </w:r>
      <w:r>
        <w:rPr>
          <w:color w:val="auto"/>
        </w:rPr>
        <w:instrText xml:space="preserve"> PAGEREF _Toc7455 \h </w:instrText>
      </w:r>
      <w:r>
        <w:rPr>
          <w:color w:val="auto"/>
        </w:rPr>
        <w:fldChar w:fldCharType="separate"/>
      </w:r>
      <w:r>
        <w:rPr>
          <w:color w:val="auto"/>
        </w:rPr>
        <w:t>20</w:t>
      </w:r>
      <w:r>
        <w:rPr>
          <w:color w:val="auto"/>
        </w:rPr>
        <w:fldChar w:fldCharType="end"/>
      </w:r>
      <w:r>
        <w:rPr>
          <w:rFonts w:eastAsia="宋体"/>
          <w:color w:val="auto"/>
        </w:rPr>
        <w:fldChar w:fldCharType="end"/>
      </w:r>
    </w:p>
    <w:p w14:paraId="6328FB0E">
      <w:pPr>
        <w:pStyle w:val="17"/>
        <w:tabs>
          <w:tab w:val="right" w:leader="dot" w:pos="8306"/>
        </w:tabs>
        <w:rPr>
          <w:color w:val="auto"/>
        </w:rPr>
      </w:pPr>
      <w:r>
        <w:rPr>
          <w:rFonts w:eastAsia="宋体"/>
          <w:color w:val="auto"/>
        </w:rPr>
        <w:fldChar w:fldCharType="begin"/>
      </w:r>
      <w:r>
        <w:rPr>
          <w:rFonts w:eastAsia="宋体"/>
          <w:color w:val="auto"/>
        </w:rPr>
        <w:instrText xml:space="preserve"> HYPERLINK \l _Toc9623 </w:instrText>
      </w:r>
      <w:r>
        <w:rPr>
          <w:rFonts w:eastAsia="宋体"/>
          <w:color w:val="auto"/>
        </w:rPr>
        <w:fldChar w:fldCharType="separate"/>
      </w:r>
      <w:r>
        <w:rPr>
          <w:rFonts w:hint="eastAsia"/>
          <w:color w:val="auto"/>
          <w:highlight w:val="none"/>
        </w:rPr>
        <w:t>2. 招标文件</w:t>
      </w:r>
      <w:r>
        <w:rPr>
          <w:color w:val="auto"/>
        </w:rPr>
        <w:tab/>
      </w:r>
      <w:r>
        <w:rPr>
          <w:color w:val="auto"/>
        </w:rPr>
        <w:fldChar w:fldCharType="begin"/>
      </w:r>
      <w:r>
        <w:rPr>
          <w:color w:val="auto"/>
        </w:rPr>
        <w:instrText xml:space="preserve"> PAGEREF _Toc9623 \h </w:instrText>
      </w:r>
      <w:r>
        <w:rPr>
          <w:color w:val="auto"/>
        </w:rPr>
        <w:fldChar w:fldCharType="separate"/>
      </w:r>
      <w:r>
        <w:rPr>
          <w:color w:val="auto"/>
        </w:rPr>
        <w:t>20</w:t>
      </w:r>
      <w:r>
        <w:rPr>
          <w:color w:val="auto"/>
        </w:rPr>
        <w:fldChar w:fldCharType="end"/>
      </w:r>
      <w:r>
        <w:rPr>
          <w:rFonts w:eastAsia="宋体"/>
          <w:color w:val="auto"/>
        </w:rPr>
        <w:fldChar w:fldCharType="end"/>
      </w:r>
    </w:p>
    <w:p w14:paraId="28D8C478">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_Toc23862 </w:instrText>
      </w:r>
      <w:r>
        <w:rPr>
          <w:rFonts w:eastAsia="宋体"/>
          <w:color w:val="auto"/>
        </w:rPr>
        <w:fldChar w:fldCharType="separate"/>
      </w:r>
      <w:r>
        <w:rPr>
          <w:rFonts w:hint="eastAsia"/>
          <w:color w:val="auto"/>
          <w:highlight w:val="none"/>
        </w:rPr>
        <w:t>2.1 招标文件的组成</w:t>
      </w:r>
      <w:r>
        <w:rPr>
          <w:color w:val="auto"/>
        </w:rPr>
        <w:tab/>
      </w:r>
      <w:r>
        <w:rPr>
          <w:color w:val="auto"/>
        </w:rPr>
        <w:fldChar w:fldCharType="begin"/>
      </w:r>
      <w:r>
        <w:rPr>
          <w:color w:val="auto"/>
        </w:rPr>
        <w:instrText xml:space="preserve"> PAGEREF _Toc23862 \h </w:instrText>
      </w:r>
      <w:r>
        <w:rPr>
          <w:color w:val="auto"/>
        </w:rPr>
        <w:fldChar w:fldCharType="separate"/>
      </w:r>
      <w:r>
        <w:rPr>
          <w:color w:val="auto"/>
        </w:rPr>
        <w:t>20</w:t>
      </w:r>
      <w:r>
        <w:rPr>
          <w:color w:val="auto"/>
        </w:rPr>
        <w:fldChar w:fldCharType="end"/>
      </w:r>
      <w:r>
        <w:rPr>
          <w:rFonts w:eastAsia="宋体"/>
          <w:color w:val="auto"/>
        </w:rPr>
        <w:fldChar w:fldCharType="end"/>
      </w:r>
    </w:p>
    <w:p w14:paraId="7C587521">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_Toc22065 </w:instrText>
      </w:r>
      <w:r>
        <w:rPr>
          <w:rFonts w:eastAsia="宋体"/>
          <w:color w:val="auto"/>
        </w:rPr>
        <w:fldChar w:fldCharType="separate"/>
      </w:r>
      <w:r>
        <w:rPr>
          <w:rFonts w:hint="eastAsia"/>
          <w:color w:val="auto"/>
          <w:highlight w:val="none"/>
        </w:rPr>
        <w:t>2.2 招标文件的澄清</w:t>
      </w:r>
      <w:r>
        <w:rPr>
          <w:color w:val="auto"/>
        </w:rPr>
        <w:tab/>
      </w:r>
      <w:r>
        <w:rPr>
          <w:color w:val="auto"/>
        </w:rPr>
        <w:fldChar w:fldCharType="begin"/>
      </w:r>
      <w:r>
        <w:rPr>
          <w:color w:val="auto"/>
        </w:rPr>
        <w:instrText xml:space="preserve"> PAGEREF _Toc22065 \h </w:instrText>
      </w:r>
      <w:r>
        <w:rPr>
          <w:color w:val="auto"/>
        </w:rPr>
        <w:fldChar w:fldCharType="separate"/>
      </w:r>
      <w:r>
        <w:rPr>
          <w:color w:val="auto"/>
        </w:rPr>
        <w:t>20</w:t>
      </w:r>
      <w:r>
        <w:rPr>
          <w:color w:val="auto"/>
        </w:rPr>
        <w:fldChar w:fldCharType="end"/>
      </w:r>
      <w:r>
        <w:rPr>
          <w:rFonts w:eastAsia="宋体"/>
          <w:color w:val="auto"/>
        </w:rPr>
        <w:fldChar w:fldCharType="end"/>
      </w:r>
    </w:p>
    <w:p w14:paraId="0146E504">
      <w:pPr>
        <w:pStyle w:val="11"/>
        <w:tabs>
          <w:tab w:val="right" w:leader="dot" w:pos="8306"/>
        </w:tabs>
        <w:rPr>
          <w:color w:val="auto"/>
        </w:rPr>
      </w:pPr>
      <w:r>
        <w:rPr>
          <w:rFonts w:eastAsia="宋体"/>
          <w:color w:val="auto"/>
        </w:rPr>
        <w:fldChar w:fldCharType="begin"/>
      </w:r>
      <w:r>
        <w:rPr>
          <w:rFonts w:eastAsia="宋体"/>
          <w:color w:val="auto"/>
        </w:rPr>
        <w:instrText xml:space="preserve"> HYPERLINK \l _Toc4841 </w:instrText>
      </w:r>
      <w:r>
        <w:rPr>
          <w:rFonts w:eastAsia="宋体"/>
          <w:color w:val="auto"/>
        </w:rPr>
        <w:fldChar w:fldCharType="separate"/>
      </w:r>
      <w:r>
        <w:rPr>
          <w:rFonts w:hint="eastAsia"/>
          <w:color w:val="auto"/>
          <w:highlight w:val="none"/>
        </w:rPr>
        <w:t>2.3 招标文件的修改</w:t>
      </w:r>
      <w:r>
        <w:rPr>
          <w:color w:val="auto"/>
        </w:rPr>
        <w:tab/>
      </w:r>
      <w:r>
        <w:rPr>
          <w:color w:val="auto"/>
        </w:rPr>
        <w:fldChar w:fldCharType="begin"/>
      </w:r>
      <w:r>
        <w:rPr>
          <w:color w:val="auto"/>
        </w:rPr>
        <w:instrText xml:space="preserve"> PAGEREF _Toc4841 \h </w:instrText>
      </w:r>
      <w:r>
        <w:rPr>
          <w:color w:val="auto"/>
        </w:rPr>
        <w:fldChar w:fldCharType="separate"/>
      </w:r>
      <w:r>
        <w:rPr>
          <w:color w:val="auto"/>
        </w:rPr>
        <w:t>21</w:t>
      </w:r>
      <w:r>
        <w:rPr>
          <w:color w:val="auto"/>
        </w:rPr>
        <w:fldChar w:fldCharType="end"/>
      </w:r>
      <w:r>
        <w:rPr>
          <w:rFonts w:eastAsia="宋体"/>
          <w:color w:val="auto"/>
        </w:rPr>
        <w:fldChar w:fldCharType="end"/>
      </w:r>
    </w:p>
    <w:p w14:paraId="2B69E427">
      <w:pPr>
        <w:pStyle w:val="11"/>
        <w:tabs>
          <w:tab w:val="right" w:leader="dot" w:pos="8306"/>
        </w:tabs>
        <w:rPr>
          <w:color w:val="auto"/>
        </w:rPr>
      </w:pPr>
      <w:r>
        <w:rPr>
          <w:rFonts w:eastAsia="宋体"/>
          <w:color w:val="auto"/>
        </w:rPr>
        <w:fldChar w:fldCharType="begin"/>
      </w:r>
      <w:r>
        <w:rPr>
          <w:rFonts w:eastAsia="宋体"/>
          <w:color w:val="auto"/>
        </w:rPr>
        <w:instrText xml:space="preserve"> HYPERLINK \l _Toc4154 </w:instrText>
      </w:r>
      <w:r>
        <w:rPr>
          <w:rFonts w:eastAsia="宋体"/>
          <w:color w:val="auto"/>
        </w:rPr>
        <w:fldChar w:fldCharType="separate"/>
      </w:r>
      <w:r>
        <w:rPr>
          <w:rFonts w:hint="eastAsia"/>
          <w:color w:val="auto"/>
          <w:highlight w:val="none"/>
        </w:rPr>
        <w:t>2.4 招标文件的异议</w:t>
      </w:r>
      <w:r>
        <w:rPr>
          <w:color w:val="auto"/>
        </w:rPr>
        <w:tab/>
      </w:r>
      <w:r>
        <w:rPr>
          <w:color w:val="auto"/>
        </w:rPr>
        <w:fldChar w:fldCharType="begin"/>
      </w:r>
      <w:r>
        <w:rPr>
          <w:color w:val="auto"/>
        </w:rPr>
        <w:instrText xml:space="preserve"> PAGEREF _Toc4154 \h </w:instrText>
      </w:r>
      <w:r>
        <w:rPr>
          <w:color w:val="auto"/>
        </w:rPr>
        <w:fldChar w:fldCharType="separate"/>
      </w:r>
      <w:r>
        <w:rPr>
          <w:color w:val="auto"/>
        </w:rPr>
        <w:t>21</w:t>
      </w:r>
      <w:r>
        <w:rPr>
          <w:color w:val="auto"/>
        </w:rPr>
        <w:fldChar w:fldCharType="end"/>
      </w:r>
      <w:r>
        <w:rPr>
          <w:rFonts w:eastAsia="宋体"/>
          <w:color w:val="auto"/>
        </w:rPr>
        <w:fldChar w:fldCharType="end"/>
      </w:r>
    </w:p>
    <w:p w14:paraId="3D7A035A">
      <w:pPr>
        <w:pStyle w:val="17"/>
        <w:tabs>
          <w:tab w:val="right" w:leader="dot" w:pos="8306"/>
        </w:tabs>
        <w:rPr>
          <w:color w:val="auto"/>
        </w:rPr>
      </w:pPr>
      <w:r>
        <w:rPr>
          <w:rFonts w:eastAsia="宋体"/>
          <w:color w:val="auto"/>
        </w:rPr>
        <w:fldChar w:fldCharType="begin"/>
      </w:r>
      <w:r>
        <w:rPr>
          <w:rFonts w:eastAsia="宋体"/>
          <w:color w:val="auto"/>
        </w:rPr>
        <w:instrText xml:space="preserve"> HYPERLINK \l _Toc16013 </w:instrText>
      </w:r>
      <w:r>
        <w:rPr>
          <w:rFonts w:eastAsia="宋体"/>
          <w:color w:val="auto"/>
        </w:rPr>
        <w:fldChar w:fldCharType="separate"/>
      </w:r>
      <w:r>
        <w:rPr>
          <w:rFonts w:hint="eastAsia"/>
          <w:color w:val="auto"/>
          <w:highlight w:val="none"/>
        </w:rPr>
        <w:t>3. 投标文件</w:t>
      </w:r>
      <w:r>
        <w:rPr>
          <w:color w:val="auto"/>
        </w:rPr>
        <w:tab/>
      </w:r>
      <w:r>
        <w:rPr>
          <w:color w:val="auto"/>
        </w:rPr>
        <w:fldChar w:fldCharType="begin"/>
      </w:r>
      <w:r>
        <w:rPr>
          <w:color w:val="auto"/>
        </w:rPr>
        <w:instrText xml:space="preserve"> PAGEREF _Toc16013 \h </w:instrText>
      </w:r>
      <w:r>
        <w:rPr>
          <w:color w:val="auto"/>
        </w:rPr>
        <w:fldChar w:fldCharType="separate"/>
      </w:r>
      <w:r>
        <w:rPr>
          <w:color w:val="auto"/>
        </w:rPr>
        <w:t>21</w:t>
      </w:r>
      <w:r>
        <w:rPr>
          <w:color w:val="auto"/>
        </w:rPr>
        <w:fldChar w:fldCharType="end"/>
      </w:r>
      <w:r>
        <w:rPr>
          <w:rFonts w:eastAsia="宋体"/>
          <w:color w:val="auto"/>
        </w:rPr>
        <w:fldChar w:fldCharType="end"/>
      </w:r>
    </w:p>
    <w:p w14:paraId="7546E8F9">
      <w:pPr>
        <w:pStyle w:val="11"/>
        <w:tabs>
          <w:tab w:val="right" w:leader="dot" w:pos="8306"/>
        </w:tabs>
        <w:rPr>
          <w:color w:val="auto"/>
        </w:rPr>
      </w:pPr>
      <w:r>
        <w:rPr>
          <w:rFonts w:eastAsia="宋体"/>
          <w:color w:val="auto"/>
        </w:rPr>
        <w:fldChar w:fldCharType="begin"/>
      </w:r>
      <w:r>
        <w:rPr>
          <w:rFonts w:eastAsia="宋体"/>
          <w:color w:val="auto"/>
        </w:rPr>
        <w:instrText xml:space="preserve"> HYPERLINK \l _Toc16046 </w:instrText>
      </w:r>
      <w:r>
        <w:rPr>
          <w:rFonts w:eastAsia="宋体"/>
          <w:color w:val="auto"/>
        </w:rPr>
        <w:fldChar w:fldCharType="separate"/>
      </w:r>
      <w:r>
        <w:rPr>
          <w:rFonts w:hint="eastAsia"/>
          <w:color w:val="auto"/>
          <w:highlight w:val="none"/>
        </w:rPr>
        <w:t>3.1 投标文件的组成</w:t>
      </w:r>
      <w:r>
        <w:rPr>
          <w:color w:val="auto"/>
        </w:rPr>
        <w:tab/>
      </w:r>
      <w:r>
        <w:rPr>
          <w:color w:val="auto"/>
        </w:rPr>
        <w:fldChar w:fldCharType="begin"/>
      </w:r>
      <w:r>
        <w:rPr>
          <w:color w:val="auto"/>
        </w:rPr>
        <w:instrText xml:space="preserve"> PAGEREF _Toc16046 \h </w:instrText>
      </w:r>
      <w:r>
        <w:rPr>
          <w:color w:val="auto"/>
        </w:rPr>
        <w:fldChar w:fldCharType="separate"/>
      </w:r>
      <w:r>
        <w:rPr>
          <w:color w:val="auto"/>
        </w:rPr>
        <w:t>21</w:t>
      </w:r>
      <w:r>
        <w:rPr>
          <w:color w:val="auto"/>
        </w:rPr>
        <w:fldChar w:fldCharType="end"/>
      </w:r>
      <w:r>
        <w:rPr>
          <w:rFonts w:eastAsia="宋体"/>
          <w:color w:val="auto"/>
        </w:rPr>
        <w:fldChar w:fldCharType="end"/>
      </w:r>
    </w:p>
    <w:p w14:paraId="23F725B8">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_Toc25384 </w:instrText>
      </w:r>
      <w:r>
        <w:rPr>
          <w:rFonts w:eastAsia="宋体"/>
          <w:color w:val="auto"/>
        </w:rPr>
        <w:fldChar w:fldCharType="separate"/>
      </w:r>
      <w:r>
        <w:rPr>
          <w:rFonts w:hint="eastAsia"/>
          <w:color w:val="auto"/>
          <w:highlight w:val="none"/>
        </w:rPr>
        <w:t>3.2 投标报价</w:t>
      </w:r>
      <w:r>
        <w:rPr>
          <w:color w:val="auto"/>
        </w:rPr>
        <w:tab/>
      </w:r>
      <w:r>
        <w:rPr>
          <w:color w:val="auto"/>
        </w:rPr>
        <w:fldChar w:fldCharType="begin"/>
      </w:r>
      <w:r>
        <w:rPr>
          <w:color w:val="auto"/>
        </w:rPr>
        <w:instrText xml:space="preserve"> PAGEREF _Toc25384 \h </w:instrText>
      </w:r>
      <w:r>
        <w:rPr>
          <w:color w:val="auto"/>
        </w:rPr>
        <w:fldChar w:fldCharType="separate"/>
      </w:r>
      <w:r>
        <w:rPr>
          <w:color w:val="auto"/>
        </w:rPr>
        <w:t>22</w:t>
      </w:r>
      <w:r>
        <w:rPr>
          <w:color w:val="auto"/>
        </w:rPr>
        <w:fldChar w:fldCharType="end"/>
      </w:r>
      <w:r>
        <w:rPr>
          <w:rFonts w:eastAsia="宋体"/>
          <w:color w:val="auto"/>
        </w:rPr>
        <w:fldChar w:fldCharType="end"/>
      </w:r>
    </w:p>
    <w:p w14:paraId="3D7FBC73">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_Toc29845 </w:instrText>
      </w:r>
      <w:r>
        <w:rPr>
          <w:rFonts w:eastAsia="宋体"/>
          <w:color w:val="auto"/>
        </w:rPr>
        <w:fldChar w:fldCharType="separate"/>
      </w:r>
      <w:r>
        <w:rPr>
          <w:rFonts w:hint="eastAsia"/>
          <w:color w:val="auto"/>
          <w:highlight w:val="none"/>
        </w:rPr>
        <w:t>3.3 投标有效期</w:t>
      </w:r>
      <w:r>
        <w:rPr>
          <w:color w:val="auto"/>
        </w:rPr>
        <w:tab/>
      </w:r>
      <w:r>
        <w:rPr>
          <w:color w:val="auto"/>
        </w:rPr>
        <w:fldChar w:fldCharType="begin"/>
      </w:r>
      <w:r>
        <w:rPr>
          <w:color w:val="auto"/>
        </w:rPr>
        <w:instrText xml:space="preserve"> PAGEREF _Toc29845 \h </w:instrText>
      </w:r>
      <w:r>
        <w:rPr>
          <w:color w:val="auto"/>
        </w:rPr>
        <w:fldChar w:fldCharType="separate"/>
      </w:r>
      <w:r>
        <w:rPr>
          <w:color w:val="auto"/>
        </w:rPr>
        <w:t>22</w:t>
      </w:r>
      <w:r>
        <w:rPr>
          <w:color w:val="auto"/>
        </w:rPr>
        <w:fldChar w:fldCharType="end"/>
      </w:r>
      <w:r>
        <w:rPr>
          <w:rFonts w:eastAsia="宋体"/>
          <w:color w:val="auto"/>
        </w:rPr>
        <w:fldChar w:fldCharType="end"/>
      </w:r>
    </w:p>
    <w:p w14:paraId="49ADD51F">
      <w:pPr>
        <w:pStyle w:val="11"/>
        <w:tabs>
          <w:tab w:val="right" w:leader="dot" w:pos="8306"/>
        </w:tabs>
        <w:rPr>
          <w:color w:val="auto"/>
        </w:rPr>
      </w:pPr>
      <w:r>
        <w:rPr>
          <w:rFonts w:eastAsia="宋体"/>
          <w:color w:val="auto"/>
        </w:rPr>
        <w:fldChar w:fldCharType="begin"/>
      </w:r>
      <w:r>
        <w:rPr>
          <w:rFonts w:eastAsia="宋体"/>
          <w:color w:val="auto"/>
        </w:rPr>
        <w:instrText xml:space="preserve"> HYPERLINK \l _Toc15216 </w:instrText>
      </w:r>
      <w:r>
        <w:rPr>
          <w:rFonts w:eastAsia="宋体"/>
          <w:color w:val="auto"/>
        </w:rPr>
        <w:fldChar w:fldCharType="separate"/>
      </w:r>
      <w:r>
        <w:rPr>
          <w:rFonts w:hint="eastAsia"/>
          <w:color w:val="auto"/>
          <w:highlight w:val="none"/>
        </w:rPr>
        <w:t>3.4 投标保证金</w:t>
      </w:r>
      <w:r>
        <w:rPr>
          <w:color w:val="auto"/>
        </w:rPr>
        <w:tab/>
      </w:r>
      <w:r>
        <w:rPr>
          <w:color w:val="auto"/>
        </w:rPr>
        <w:fldChar w:fldCharType="begin"/>
      </w:r>
      <w:r>
        <w:rPr>
          <w:color w:val="auto"/>
        </w:rPr>
        <w:instrText xml:space="preserve"> PAGEREF _Toc15216 \h </w:instrText>
      </w:r>
      <w:r>
        <w:rPr>
          <w:color w:val="auto"/>
        </w:rPr>
        <w:fldChar w:fldCharType="separate"/>
      </w:r>
      <w:r>
        <w:rPr>
          <w:color w:val="auto"/>
        </w:rPr>
        <w:t>22</w:t>
      </w:r>
      <w:r>
        <w:rPr>
          <w:color w:val="auto"/>
        </w:rPr>
        <w:fldChar w:fldCharType="end"/>
      </w:r>
      <w:r>
        <w:rPr>
          <w:rFonts w:eastAsia="宋体"/>
          <w:color w:val="auto"/>
        </w:rPr>
        <w:fldChar w:fldCharType="end"/>
      </w:r>
    </w:p>
    <w:p w14:paraId="3750148B">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_Toc20076 </w:instrText>
      </w:r>
      <w:r>
        <w:rPr>
          <w:rFonts w:eastAsia="宋体"/>
          <w:color w:val="auto"/>
        </w:rPr>
        <w:fldChar w:fldCharType="separate"/>
      </w:r>
      <w:r>
        <w:rPr>
          <w:rFonts w:cs="Times New Roman"/>
          <w:color w:val="auto"/>
          <w:highlight w:val="none"/>
        </w:rPr>
        <w:t>3.5 资格审查资料（适用于已进行资格预审的）</w:t>
      </w:r>
      <w:r>
        <w:rPr>
          <w:color w:val="auto"/>
        </w:rPr>
        <w:tab/>
      </w:r>
      <w:r>
        <w:rPr>
          <w:color w:val="auto"/>
        </w:rPr>
        <w:fldChar w:fldCharType="begin"/>
      </w:r>
      <w:r>
        <w:rPr>
          <w:color w:val="auto"/>
        </w:rPr>
        <w:instrText xml:space="preserve"> PAGEREF _Toc20076 \h </w:instrText>
      </w:r>
      <w:r>
        <w:rPr>
          <w:color w:val="auto"/>
        </w:rPr>
        <w:fldChar w:fldCharType="separate"/>
      </w:r>
      <w:r>
        <w:rPr>
          <w:color w:val="auto"/>
        </w:rPr>
        <w:t>22</w:t>
      </w:r>
      <w:r>
        <w:rPr>
          <w:color w:val="auto"/>
        </w:rPr>
        <w:fldChar w:fldCharType="end"/>
      </w:r>
      <w:r>
        <w:rPr>
          <w:rFonts w:eastAsia="宋体"/>
          <w:color w:val="auto"/>
        </w:rPr>
        <w:fldChar w:fldCharType="end"/>
      </w:r>
    </w:p>
    <w:p w14:paraId="163518CD">
      <w:pPr>
        <w:pStyle w:val="11"/>
        <w:tabs>
          <w:tab w:val="right" w:leader="dot" w:pos="8306"/>
        </w:tabs>
        <w:rPr>
          <w:color w:val="auto"/>
        </w:rPr>
      </w:pPr>
      <w:r>
        <w:rPr>
          <w:rFonts w:eastAsia="宋体"/>
          <w:color w:val="auto"/>
        </w:rPr>
        <w:fldChar w:fldCharType="begin"/>
      </w:r>
      <w:r>
        <w:rPr>
          <w:rFonts w:eastAsia="宋体"/>
          <w:color w:val="auto"/>
        </w:rPr>
        <w:instrText xml:space="preserve"> HYPERLINK \l _Toc5125 </w:instrText>
      </w:r>
      <w:r>
        <w:rPr>
          <w:rFonts w:eastAsia="宋体"/>
          <w:color w:val="auto"/>
        </w:rPr>
        <w:fldChar w:fldCharType="separate"/>
      </w:r>
      <w:r>
        <w:rPr>
          <w:rFonts w:hint="eastAsia"/>
          <w:color w:val="auto"/>
          <w:highlight w:val="none"/>
        </w:rPr>
        <w:t>3.5 资格审查资料</w:t>
      </w:r>
      <w:r>
        <w:rPr>
          <w:rFonts w:cs="Times New Roman"/>
          <w:color w:val="auto"/>
          <w:highlight w:val="none"/>
        </w:rPr>
        <w:t>（适用于未进行资格预审的）</w:t>
      </w:r>
      <w:r>
        <w:rPr>
          <w:color w:val="auto"/>
        </w:rPr>
        <w:tab/>
      </w:r>
      <w:r>
        <w:rPr>
          <w:color w:val="auto"/>
        </w:rPr>
        <w:fldChar w:fldCharType="begin"/>
      </w:r>
      <w:r>
        <w:rPr>
          <w:color w:val="auto"/>
        </w:rPr>
        <w:instrText xml:space="preserve"> PAGEREF _Toc5125 \h </w:instrText>
      </w:r>
      <w:r>
        <w:rPr>
          <w:color w:val="auto"/>
        </w:rPr>
        <w:fldChar w:fldCharType="separate"/>
      </w:r>
      <w:r>
        <w:rPr>
          <w:color w:val="auto"/>
        </w:rPr>
        <w:t>22</w:t>
      </w:r>
      <w:r>
        <w:rPr>
          <w:color w:val="auto"/>
        </w:rPr>
        <w:fldChar w:fldCharType="end"/>
      </w:r>
      <w:r>
        <w:rPr>
          <w:rFonts w:eastAsia="宋体"/>
          <w:color w:val="auto"/>
        </w:rPr>
        <w:fldChar w:fldCharType="end"/>
      </w:r>
    </w:p>
    <w:p w14:paraId="09455A7F">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_Toc26626 </w:instrText>
      </w:r>
      <w:r>
        <w:rPr>
          <w:rFonts w:eastAsia="宋体"/>
          <w:color w:val="auto"/>
        </w:rPr>
        <w:fldChar w:fldCharType="separate"/>
      </w:r>
      <w:r>
        <w:rPr>
          <w:rFonts w:hint="eastAsia"/>
          <w:color w:val="auto"/>
          <w:highlight w:val="none"/>
        </w:rPr>
        <w:t>3.6 备选投标方案</w:t>
      </w:r>
      <w:r>
        <w:rPr>
          <w:color w:val="auto"/>
        </w:rPr>
        <w:tab/>
      </w:r>
      <w:r>
        <w:rPr>
          <w:color w:val="auto"/>
        </w:rPr>
        <w:fldChar w:fldCharType="begin"/>
      </w:r>
      <w:r>
        <w:rPr>
          <w:color w:val="auto"/>
        </w:rPr>
        <w:instrText xml:space="preserve"> PAGEREF _Toc26626 \h </w:instrText>
      </w:r>
      <w:r>
        <w:rPr>
          <w:color w:val="auto"/>
        </w:rPr>
        <w:fldChar w:fldCharType="separate"/>
      </w:r>
      <w:r>
        <w:rPr>
          <w:color w:val="auto"/>
        </w:rPr>
        <w:t>23</w:t>
      </w:r>
      <w:r>
        <w:rPr>
          <w:color w:val="auto"/>
        </w:rPr>
        <w:fldChar w:fldCharType="end"/>
      </w:r>
      <w:r>
        <w:rPr>
          <w:rFonts w:eastAsia="宋体"/>
          <w:color w:val="auto"/>
        </w:rPr>
        <w:fldChar w:fldCharType="end"/>
      </w:r>
    </w:p>
    <w:p w14:paraId="1BE2DD01">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_Toc23650 </w:instrText>
      </w:r>
      <w:r>
        <w:rPr>
          <w:rFonts w:eastAsia="宋体"/>
          <w:color w:val="auto"/>
        </w:rPr>
        <w:fldChar w:fldCharType="separate"/>
      </w:r>
      <w:r>
        <w:rPr>
          <w:rFonts w:hint="eastAsia"/>
          <w:color w:val="auto"/>
          <w:highlight w:val="none"/>
        </w:rPr>
        <w:t>3.7 投标文件的编制</w:t>
      </w:r>
      <w:r>
        <w:rPr>
          <w:color w:val="auto"/>
        </w:rPr>
        <w:tab/>
      </w:r>
      <w:r>
        <w:rPr>
          <w:color w:val="auto"/>
        </w:rPr>
        <w:fldChar w:fldCharType="begin"/>
      </w:r>
      <w:r>
        <w:rPr>
          <w:color w:val="auto"/>
        </w:rPr>
        <w:instrText xml:space="preserve"> PAGEREF _Toc23650 \h </w:instrText>
      </w:r>
      <w:r>
        <w:rPr>
          <w:color w:val="auto"/>
        </w:rPr>
        <w:fldChar w:fldCharType="separate"/>
      </w:r>
      <w:r>
        <w:rPr>
          <w:color w:val="auto"/>
        </w:rPr>
        <w:t>23</w:t>
      </w:r>
      <w:r>
        <w:rPr>
          <w:color w:val="auto"/>
        </w:rPr>
        <w:fldChar w:fldCharType="end"/>
      </w:r>
      <w:r>
        <w:rPr>
          <w:rFonts w:eastAsia="宋体"/>
          <w:color w:val="auto"/>
        </w:rPr>
        <w:fldChar w:fldCharType="end"/>
      </w:r>
    </w:p>
    <w:p w14:paraId="10B051CB">
      <w:pPr>
        <w:pStyle w:val="17"/>
        <w:tabs>
          <w:tab w:val="right" w:leader="dot" w:pos="8306"/>
        </w:tabs>
        <w:rPr>
          <w:color w:val="auto"/>
        </w:rPr>
      </w:pPr>
      <w:r>
        <w:rPr>
          <w:rFonts w:eastAsia="宋体"/>
          <w:color w:val="auto"/>
        </w:rPr>
        <w:fldChar w:fldCharType="begin"/>
      </w:r>
      <w:r>
        <w:rPr>
          <w:rFonts w:eastAsia="宋体"/>
          <w:color w:val="auto"/>
        </w:rPr>
        <w:instrText xml:space="preserve"> HYPERLINK \l _Toc21033 </w:instrText>
      </w:r>
      <w:r>
        <w:rPr>
          <w:rFonts w:eastAsia="宋体"/>
          <w:color w:val="auto"/>
        </w:rPr>
        <w:fldChar w:fldCharType="separate"/>
      </w:r>
      <w:r>
        <w:rPr>
          <w:rFonts w:hint="eastAsia"/>
          <w:color w:val="auto"/>
          <w:highlight w:val="none"/>
        </w:rPr>
        <w:t>4. 投标</w:t>
      </w:r>
      <w:r>
        <w:rPr>
          <w:color w:val="auto"/>
        </w:rPr>
        <w:tab/>
      </w:r>
      <w:r>
        <w:rPr>
          <w:color w:val="auto"/>
        </w:rPr>
        <w:fldChar w:fldCharType="begin"/>
      </w:r>
      <w:r>
        <w:rPr>
          <w:color w:val="auto"/>
        </w:rPr>
        <w:instrText xml:space="preserve"> PAGEREF _Toc21033 \h </w:instrText>
      </w:r>
      <w:r>
        <w:rPr>
          <w:color w:val="auto"/>
        </w:rPr>
        <w:fldChar w:fldCharType="separate"/>
      </w:r>
      <w:r>
        <w:rPr>
          <w:color w:val="auto"/>
        </w:rPr>
        <w:t>24</w:t>
      </w:r>
      <w:r>
        <w:rPr>
          <w:color w:val="auto"/>
        </w:rPr>
        <w:fldChar w:fldCharType="end"/>
      </w:r>
      <w:r>
        <w:rPr>
          <w:rFonts w:eastAsia="宋体"/>
          <w:color w:val="auto"/>
        </w:rPr>
        <w:fldChar w:fldCharType="end"/>
      </w:r>
    </w:p>
    <w:p w14:paraId="53C83A7D">
      <w:pPr>
        <w:pStyle w:val="11"/>
        <w:tabs>
          <w:tab w:val="right" w:leader="dot" w:pos="8306"/>
        </w:tabs>
        <w:rPr>
          <w:color w:val="auto"/>
        </w:rPr>
      </w:pPr>
      <w:r>
        <w:rPr>
          <w:rFonts w:eastAsia="宋体"/>
          <w:color w:val="auto"/>
        </w:rPr>
        <w:fldChar w:fldCharType="begin"/>
      </w:r>
      <w:r>
        <w:rPr>
          <w:rFonts w:eastAsia="宋体"/>
          <w:color w:val="auto"/>
        </w:rPr>
        <w:instrText xml:space="preserve"> HYPERLINK \l _Toc19534 </w:instrText>
      </w:r>
      <w:r>
        <w:rPr>
          <w:rFonts w:eastAsia="宋体"/>
          <w:color w:val="auto"/>
        </w:rPr>
        <w:fldChar w:fldCharType="separate"/>
      </w:r>
      <w:r>
        <w:rPr>
          <w:rFonts w:hint="eastAsia"/>
          <w:color w:val="auto"/>
          <w:highlight w:val="none"/>
        </w:rPr>
        <w:t>4.1 投标文件的加密</w:t>
      </w:r>
      <w:r>
        <w:rPr>
          <w:color w:val="auto"/>
        </w:rPr>
        <w:tab/>
      </w:r>
      <w:r>
        <w:rPr>
          <w:color w:val="auto"/>
        </w:rPr>
        <w:fldChar w:fldCharType="begin"/>
      </w:r>
      <w:r>
        <w:rPr>
          <w:color w:val="auto"/>
        </w:rPr>
        <w:instrText xml:space="preserve"> PAGEREF _Toc19534 \h </w:instrText>
      </w:r>
      <w:r>
        <w:rPr>
          <w:color w:val="auto"/>
        </w:rPr>
        <w:fldChar w:fldCharType="separate"/>
      </w:r>
      <w:r>
        <w:rPr>
          <w:color w:val="auto"/>
        </w:rPr>
        <w:t>24</w:t>
      </w:r>
      <w:r>
        <w:rPr>
          <w:color w:val="auto"/>
        </w:rPr>
        <w:fldChar w:fldCharType="end"/>
      </w:r>
      <w:r>
        <w:rPr>
          <w:rFonts w:eastAsia="宋体"/>
          <w:color w:val="auto"/>
        </w:rPr>
        <w:fldChar w:fldCharType="end"/>
      </w:r>
    </w:p>
    <w:p w14:paraId="08ACBD09">
      <w:pPr>
        <w:pStyle w:val="11"/>
        <w:tabs>
          <w:tab w:val="right" w:leader="dot" w:pos="8306"/>
        </w:tabs>
        <w:rPr>
          <w:color w:val="auto"/>
        </w:rPr>
      </w:pPr>
      <w:r>
        <w:rPr>
          <w:rFonts w:eastAsia="宋体"/>
          <w:color w:val="auto"/>
        </w:rPr>
        <w:fldChar w:fldCharType="begin"/>
      </w:r>
      <w:r>
        <w:rPr>
          <w:rFonts w:eastAsia="宋体"/>
          <w:color w:val="auto"/>
        </w:rPr>
        <w:instrText xml:space="preserve"> HYPERLINK \l _Toc3809 </w:instrText>
      </w:r>
      <w:r>
        <w:rPr>
          <w:rFonts w:eastAsia="宋体"/>
          <w:color w:val="auto"/>
        </w:rPr>
        <w:fldChar w:fldCharType="separate"/>
      </w:r>
      <w:r>
        <w:rPr>
          <w:rFonts w:hint="eastAsia"/>
          <w:color w:val="auto"/>
          <w:highlight w:val="none"/>
        </w:rPr>
        <w:t>4.2 投标文件的递交</w:t>
      </w:r>
      <w:r>
        <w:rPr>
          <w:color w:val="auto"/>
        </w:rPr>
        <w:tab/>
      </w:r>
      <w:r>
        <w:rPr>
          <w:color w:val="auto"/>
        </w:rPr>
        <w:fldChar w:fldCharType="begin"/>
      </w:r>
      <w:r>
        <w:rPr>
          <w:color w:val="auto"/>
        </w:rPr>
        <w:instrText xml:space="preserve"> PAGEREF _Toc3809 \h </w:instrText>
      </w:r>
      <w:r>
        <w:rPr>
          <w:color w:val="auto"/>
        </w:rPr>
        <w:fldChar w:fldCharType="separate"/>
      </w:r>
      <w:r>
        <w:rPr>
          <w:color w:val="auto"/>
        </w:rPr>
        <w:t>24</w:t>
      </w:r>
      <w:r>
        <w:rPr>
          <w:color w:val="auto"/>
        </w:rPr>
        <w:fldChar w:fldCharType="end"/>
      </w:r>
      <w:r>
        <w:rPr>
          <w:rFonts w:eastAsia="宋体"/>
          <w:color w:val="auto"/>
        </w:rPr>
        <w:fldChar w:fldCharType="end"/>
      </w:r>
    </w:p>
    <w:p w14:paraId="0E896EC8">
      <w:pPr>
        <w:pStyle w:val="11"/>
        <w:tabs>
          <w:tab w:val="right" w:leader="dot" w:pos="8306"/>
        </w:tabs>
        <w:rPr>
          <w:color w:val="auto"/>
        </w:rPr>
      </w:pPr>
      <w:r>
        <w:rPr>
          <w:rFonts w:eastAsia="宋体"/>
          <w:color w:val="auto"/>
        </w:rPr>
        <w:fldChar w:fldCharType="begin"/>
      </w:r>
      <w:r>
        <w:rPr>
          <w:rFonts w:eastAsia="宋体"/>
          <w:color w:val="auto"/>
        </w:rPr>
        <w:instrText xml:space="preserve"> HYPERLINK \l _Toc10708 </w:instrText>
      </w:r>
      <w:r>
        <w:rPr>
          <w:rFonts w:eastAsia="宋体"/>
          <w:color w:val="auto"/>
        </w:rPr>
        <w:fldChar w:fldCharType="separate"/>
      </w:r>
      <w:r>
        <w:rPr>
          <w:rFonts w:hint="eastAsia"/>
          <w:color w:val="auto"/>
          <w:highlight w:val="none"/>
        </w:rPr>
        <w:t>4.3 投标文件的修改与撤回</w:t>
      </w:r>
      <w:r>
        <w:rPr>
          <w:color w:val="auto"/>
        </w:rPr>
        <w:tab/>
      </w:r>
      <w:r>
        <w:rPr>
          <w:color w:val="auto"/>
        </w:rPr>
        <w:fldChar w:fldCharType="begin"/>
      </w:r>
      <w:r>
        <w:rPr>
          <w:color w:val="auto"/>
        </w:rPr>
        <w:instrText xml:space="preserve"> PAGEREF _Toc10708 \h </w:instrText>
      </w:r>
      <w:r>
        <w:rPr>
          <w:color w:val="auto"/>
        </w:rPr>
        <w:fldChar w:fldCharType="separate"/>
      </w:r>
      <w:r>
        <w:rPr>
          <w:color w:val="auto"/>
        </w:rPr>
        <w:t>25</w:t>
      </w:r>
      <w:r>
        <w:rPr>
          <w:color w:val="auto"/>
        </w:rPr>
        <w:fldChar w:fldCharType="end"/>
      </w:r>
      <w:r>
        <w:rPr>
          <w:rFonts w:eastAsia="宋体"/>
          <w:color w:val="auto"/>
        </w:rPr>
        <w:fldChar w:fldCharType="end"/>
      </w:r>
    </w:p>
    <w:p w14:paraId="1CE3DDF9">
      <w:pPr>
        <w:pStyle w:val="17"/>
        <w:tabs>
          <w:tab w:val="right" w:leader="dot" w:pos="8306"/>
        </w:tabs>
        <w:rPr>
          <w:color w:val="auto"/>
        </w:rPr>
      </w:pPr>
      <w:r>
        <w:rPr>
          <w:rFonts w:eastAsia="宋体"/>
          <w:color w:val="auto"/>
        </w:rPr>
        <w:fldChar w:fldCharType="begin"/>
      </w:r>
      <w:r>
        <w:rPr>
          <w:rFonts w:eastAsia="宋体"/>
          <w:color w:val="auto"/>
        </w:rPr>
        <w:instrText xml:space="preserve"> HYPERLINK \l _Toc4072 </w:instrText>
      </w:r>
      <w:r>
        <w:rPr>
          <w:rFonts w:eastAsia="宋体"/>
          <w:color w:val="auto"/>
        </w:rPr>
        <w:fldChar w:fldCharType="separate"/>
      </w:r>
      <w:r>
        <w:rPr>
          <w:rFonts w:hint="eastAsia"/>
          <w:color w:val="auto"/>
          <w:highlight w:val="none"/>
        </w:rPr>
        <w:t>5. 开标</w:t>
      </w:r>
      <w:r>
        <w:rPr>
          <w:color w:val="auto"/>
        </w:rPr>
        <w:tab/>
      </w:r>
      <w:r>
        <w:rPr>
          <w:color w:val="auto"/>
        </w:rPr>
        <w:fldChar w:fldCharType="begin"/>
      </w:r>
      <w:r>
        <w:rPr>
          <w:color w:val="auto"/>
        </w:rPr>
        <w:instrText xml:space="preserve"> PAGEREF _Toc4072 \h </w:instrText>
      </w:r>
      <w:r>
        <w:rPr>
          <w:color w:val="auto"/>
        </w:rPr>
        <w:fldChar w:fldCharType="separate"/>
      </w:r>
      <w:r>
        <w:rPr>
          <w:color w:val="auto"/>
        </w:rPr>
        <w:t>25</w:t>
      </w:r>
      <w:r>
        <w:rPr>
          <w:color w:val="auto"/>
        </w:rPr>
        <w:fldChar w:fldCharType="end"/>
      </w:r>
      <w:r>
        <w:rPr>
          <w:rFonts w:eastAsia="宋体"/>
          <w:color w:val="auto"/>
        </w:rPr>
        <w:fldChar w:fldCharType="end"/>
      </w:r>
    </w:p>
    <w:p w14:paraId="15C73FF0">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_Toc23569 </w:instrText>
      </w:r>
      <w:r>
        <w:rPr>
          <w:rFonts w:eastAsia="宋体"/>
          <w:color w:val="auto"/>
        </w:rPr>
        <w:fldChar w:fldCharType="separate"/>
      </w:r>
      <w:r>
        <w:rPr>
          <w:rFonts w:hint="eastAsia"/>
          <w:color w:val="auto"/>
          <w:highlight w:val="none"/>
        </w:rPr>
        <w:t>5.1 开标时间和地点</w:t>
      </w:r>
      <w:r>
        <w:rPr>
          <w:color w:val="auto"/>
        </w:rPr>
        <w:tab/>
      </w:r>
      <w:r>
        <w:rPr>
          <w:color w:val="auto"/>
        </w:rPr>
        <w:fldChar w:fldCharType="begin"/>
      </w:r>
      <w:r>
        <w:rPr>
          <w:color w:val="auto"/>
        </w:rPr>
        <w:instrText xml:space="preserve"> PAGEREF _Toc23569 \h </w:instrText>
      </w:r>
      <w:r>
        <w:rPr>
          <w:color w:val="auto"/>
        </w:rPr>
        <w:fldChar w:fldCharType="separate"/>
      </w:r>
      <w:r>
        <w:rPr>
          <w:color w:val="auto"/>
        </w:rPr>
        <w:t>25</w:t>
      </w:r>
      <w:r>
        <w:rPr>
          <w:color w:val="auto"/>
        </w:rPr>
        <w:fldChar w:fldCharType="end"/>
      </w:r>
      <w:r>
        <w:rPr>
          <w:rFonts w:eastAsia="宋体"/>
          <w:color w:val="auto"/>
        </w:rPr>
        <w:fldChar w:fldCharType="end"/>
      </w:r>
    </w:p>
    <w:p w14:paraId="1EF01CD0">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_Toc21212 </w:instrText>
      </w:r>
      <w:r>
        <w:rPr>
          <w:rFonts w:eastAsia="宋体"/>
          <w:color w:val="auto"/>
        </w:rPr>
        <w:fldChar w:fldCharType="separate"/>
      </w:r>
      <w:r>
        <w:rPr>
          <w:rFonts w:hint="eastAsia"/>
          <w:color w:val="auto"/>
          <w:highlight w:val="none"/>
        </w:rPr>
        <w:t>5.2 开标程序</w:t>
      </w:r>
      <w:r>
        <w:rPr>
          <w:color w:val="auto"/>
        </w:rPr>
        <w:tab/>
      </w:r>
      <w:r>
        <w:rPr>
          <w:color w:val="auto"/>
        </w:rPr>
        <w:fldChar w:fldCharType="begin"/>
      </w:r>
      <w:r>
        <w:rPr>
          <w:color w:val="auto"/>
        </w:rPr>
        <w:instrText xml:space="preserve"> PAGEREF _Toc21212 \h </w:instrText>
      </w:r>
      <w:r>
        <w:rPr>
          <w:color w:val="auto"/>
        </w:rPr>
        <w:fldChar w:fldCharType="separate"/>
      </w:r>
      <w:r>
        <w:rPr>
          <w:color w:val="auto"/>
        </w:rPr>
        <w:t>25</w:t>
      </w:r>
      <w:r>
        <w:rPr>
          <w:color w:val="auto"/>
        </w:rPr>
        <w:fldChar w:fldCharType="end"/>
      </w:r>
      <w:r>
        <w:rPr>
          <w:rFonts w:eastAsia="宋体"/>
          <w:color w:val="auto"/>
        </w:rPr>
        <w:fldChar w:fldCharType="end"/>
      </w:r>
    </w:p>
    <w:p w14:paraId="5516B95D">
      <w:pPr>
        <w:pStyle w:val="11"/>
        <w:tabs>
          <w:tab w:val="right" w:leader="dot" w:pos="8306"/>
        </w:tabs>
        <w:rPr>
          <w:color w:val="auto"/>
        </w:rPr>
      </w:pPr>
      <w:r>
        <w:rPr>
          <w:rFonts w:eastAsia="宋体"/>
          <w:color w:val="auto"/>
        </w:rPr>
        <w:fldChar w:fldCharType="begin"/>
      </w:r>
      <w:r>
        <w:rPr>
          <w:rFonts w:eastAsia="宋体"/>
          <w:color w:val="auto"/>
        </w:rPr>
        <w:instrText xml:space="preserve"> HYPERLINK \l _Toc6485 </w:instrText>
      </w:r>
      <w:r>
        <w:rPr>
          <w:rFonts w:eastAsia="宋体"/>
          <w:color w:val="auto"/>
        </w:rPr>
        <w:fldChar w:fldCharType="separate"/>
      </w:r>
      <w:r>
        <w:rPr>
          <w:rFonts w:hint="eastAsia"/>
          <w:color w:val="auto"/>
          <w:highlight w:val="none"/>
        </w:rPr>
        <w:t>5.3 开标异议</w:t>
      </w:r>
      <w:r>
        <w:rPr>
          <w:color w:val="auto"/>
        </w:rPr>
        <w:tab/>
      </w:r>
      <w:r>
        <w:rPr>
          <w:color w:val="auto"/>
        </w:rPr>
        <w:fldChar w:fldCharType="begin"/>
      </w:r>
      <w:r>
        <w:rPr>
          <w:color w:val="auto"/>
        </w:rPr>
        <w:instrText xml:space="preserve"> PAGEREF _Toc6485 \h </w:instrText>
      </w:r>
      <w:r>
        <w:rPr>
          <w:color w:val="auto"/>
        </w:rPr>
        <w:fldChar w:fldCharType="separate"/>
      </w:r>
      <w:r>
        <w:rPr>
          <w:color w:val="auto"/>
        </w:rPr>
        <w:t>26</w:t>
      </w:r>
      <w:r>
        <w:rPr>
          <w:color w:val="auto"/>
        </w:rPr>
        <w:fldChar w:fldCharType="end"/>
      </w:r>
      <w:r>
        <w:rPr>
          <w:rFonts w:eastAsia="宋体"/>
          <w:color w:val="auto"/>
        </w:rPr>
        <w:fldChar w:fldCharType="end"/>
      </w:r>
    </w:p>
    <w:p w14:paraId="2BD35C92">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_Toc20302 </w:instrText>
      </w:r>
      <w:r>
        <w:rPr>
          <w:rFonts w:eastAsia="宋体"/>
          <w:color w:val="auto"/>
        </w:rPr>
        <w:fldChar w:fldCharType="separate"/>
      </w:r>
      <w:r>
        <w:rPr>
          <w:color w:val="auto"/>
          <w:highlight w:val="none"/>
        </w:rPr>
        <w:t>5.</w:t>
      </w:r>
      <w:r>
        <w:rPr>
          <w:rFonts w:hint="eastAsia"/>
          <w:color w:val="auto"/>
          <w:highlight w:val="none"/>
        </w:rPr>
        <w:t xml:space="preserve">4 </w:t>
      </w:r>
      <w:r>
        <w:rPr>
          <w:color w:val="auto"/>
          <w:highlight w:val="none"/>
        </w:rPr>
        <w:t>特殊情况的处置</w:t>
      </w:r>
      <w:r>
        <w:rPr>
          <w:color w:val="auto"/>
        </w:rPr>
        <w:tab/>
      </w:r>
      <w:r>
        <w:rPr>
          <w:color w:val="auto"/>
        </w:rPr>
        <w:fldChar w:fldCharType="begin"/>
      </w:r>
      <w:r>
        <w:rPr>
          <w:color w:val="auto"/>
        </w:rPr>
        <w:instrText xml:space="preserve"> PAGEREF _Toc20302 \h </w:instrText>
      </w:r>
      <w:r>
        <w:rPr>
          <w:color w:val="auto"/>
        </w:rPr>
        <w:fldChar w:fldCharType="separate"/>
      </w:r>
      <w:r>
        <w:rPr>
          <w:color w:val="auto"/>
        </w:rPr>
        <w:t>26</w:t>
      </w:r>
      <w:r>
        <w:rPr>
          <w:color w:val="auto"/>
        </w:rPr>
        <w:fldChar w:fldCharType="end"/>
      </w:r>
      <w:r>
        <w:rPr>
          <w:rFonts w:eastAsia="宋体"/>
          <w:color w:val="auto"/>
        </w:rPr>
        <w:fldChar w:fldCharType="end"/>
      </w:r>
    </w:p>
    <w:p w14:paraId="105DC8C2">
      <w:pPr>
        <w:pStyle w:val="17"/>
        <w:tabs>
          <w:tab w:val="right" w:leader="dot" w:pos="8306"/>
        </w:tabs>
        <w:rPr>
          <w:color w:val="auto"/>
        </w:rPr>
      </w:pPr>
      <w:r>
        <w:rPr>
          <w:rFonts w:eastAsia="宋体"/>
          <w:color w:val="auto"/>
        </w:rPr>
        <w:fldChar w:fldCharType="begin"/>
      </w:r>
      <w:r>
        <w:rPr>
          <w:rFonts w:eastAsia="宋体"/>
          <w:color w:val="auto"/>
        </w:rPr>
        <w:instrText xml:space="preserve"> HYPERLINK \l _Toc13162 </w:instrText>
      </w:r>
      <w:r>
        <w:rPr>
          <w:rFonts w:eastAsia="宋体"/>
          <w:color w:val="auto"/>
        </w:rPr>
        <w:fldChar w:fldCharType="separate"/>
      </w:r>
      <w:r>
        <w:rPr>
          <w:rFonts w:hint="eastAsia"/>
          <w:color w:val="auto"/>
          <w:highlight w:val="none"/>
        </w:rPr>
        <w:t>6. 评标</w:t>
      </w:r>
      <w:r>
        <w:rPr>
          <w:color w:val="auto"/>
        </w:rPr>
        <w:tab/>
      </w:r>
      <w:r>
        <w:rPr>
          <w:color w:val="auto"/>
        </w:rPr>
        <w:fldChar w:fldCharType="begin"/>
      </w:r>
      <w:r>
        <w:rPr>
          <w:color w:val="auto"/>
        </w:rPr>
        <w:instrText xml:space="preserve"> PAGEREF _Toc13162 \h </w:instrText>
      </w:r>
      <w:r>
        <w:rPr>
          <w:color w:val="auto"/>
        </w:rPr>
        <w:fldChar w:fldCharType="separate"/>
      </w:r>
      <w:r>
        <w:rPr>
          <w:color w:val="auto"/>
        </w:rPr>
        <w:t>27</w:t>
      </w:r>
      <w:r>
        <w:rPr>
          <w:color w:val="auto"/>
        </w:rPr>
        <w:fldChar w:fldCharType="end"/>
      </w:r>
      <w:r>
        <w:rPr>
          <w:rFonts w:eastAsia="宋体"/>
          <w:color w:val="auto"/>
        </w:rPr>
        <w:fldChar w:fldCharType="end"/>
      </w:r>
    </w:p>
    <w:p w14:paraId="62AD6DC6">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_Toc20080 </w:instrText>
      </w:r>
      <w:r>
        <w:rPr>
          <w:rFonts w:eastAsia="宋体"/>
          <w:color w:val="auto"/>
        </w:rPr>
        <w:fldChar w:fldCharType="separate"/>
      </w:r>
      <w:r>
        <w:rPr>
          <w:rFonts w:hint="eastAsia"/>
          <w:color w:val="auto"/>
          <w:highlight w:val="none"/>
        </w:rPr>
        <w:t>6.1 评标委员会</w:t>
      </w:r>
      <w:r>
        <w:rPr>
          <w:color w:val="auto"/>
        </w:rPr>
        <w:tab/>
      </w:r>
      <w:r>
        <w:rPr>
          <w:color w:val="auto"/>
        </w:rPr>
        <w:fldChar w:fldCharType="begin"/>
      </w:r>
      <w:r>
        <w:rPr>
          <w:color w:val="auto"/>
        </w:rPr>
        <w:instrText xml:space="preserve"> PAGEREF _Toc20080 \h </w:instrText>
      </w:r>
      <w:r>
        <w:rPr>
          <w:color w:val="auto"/>
        </w:rPr>
        <w:fldChar w:fldCharType="separate"/>
      </w:r>
      <w:r>
        <w:rPr>
          <w:color w:val="auto"/>
        </w:rPr>
        <w:t>27</w:t>
      </w:r>
      <w:r>
        <w:rPr>
          <w:color w:val="auto"/>
        </w:rPr>
        <w:fldChar w:fldCharType="end"/>
      </w:r>
      <w:r>
        <w:rPr>
          <w:rFonts w:eastAsia="宋体"/>
          <w:color w:val="auto"/>
        </w:rPr>
        <w:fldChar w:fldCharType="end"/>
      </w:r>
    </w:p>
    <w:p w14:paraId="35281165">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_Toc23299 </w:instrText>
      </w:r>
      <w:r>
        <w:rPr>
          <w:rFonts w:eastAsia="宋体"/>
          <w:color w:val="auto"/>
        </w:rPr>
        <w:fldChar w:fldCharType="separate"/>
      </w:r>
      <w:r>
        <w:rPr>
          <w:rFonts w:hint="eastAsia"/>
          <w:color w:val="auto"/>
          <w:highlight w:val="none"/>
        </w:rPr>
        <w:t>6.2 评标原则</w:t>
      </w:r>
      <w:r>
        <w:rPr>
          <w:color w:val="auto"/>
        </w:rPr>
        <w:tab/>
      </w:r>
      <w:r>
        <w:rPr>
          <w:color w:val="auto"/>
        </w:rPr>
        <w:fldChar w:fldCharType="begin"/>
      </w:r>
      <w:r>
        <w:rPr>
          <w:color w:val="auto"/>
        </w:rPr>
        <w:instrText xml:space="preserve"> PAGEREF _Toc23299 \h </w:instrText>
      </w:r>
      <w:r>
        <w:rPr>
          <w:color w:val="auto"/>
        </w:rPr>
        <w:fldChar w:fldCharType="separate"/>
      </w:r>
      <w:r>
        <w:rPr>
          <w:color w:val="auto"/>
        </w:rPr>
        <w:t>27</w:t>
      </w:r>
      <w:r>
        <w:rPr>
          <w:color w:val="auto"/>
        </w:rPr>
        <w:fldChar w:fldCharType="end"/>
      </w:r>
      <w:r>
        <w:rPr>
          <w:rFonts w:eastAsia="宋体"/>
          <w:color w:val="auto"/>
        </w:rPr>
        <w:fldChar w:fldCharType="end"/>
      </w:r>
    </w:p>
    <w:p w14:paraId="5D4B1C9A">
      <w:pPr>
        <w:pStyle w:val="11"/>
        <w:tabs>
          <w:tab w:val="right" w:leader="dot" w:pos="8306"/>
        </w:tabs>
        <w:rPr>
          <w:color w:val="auto"/>
        </w:rPr>
      </w:pPr>
      <w:r>
        <w:rPr>
          <w:rFonts w:eastAsia="宋体"/>
          <w:color w:val="auto"/>
        </w:rPr>
        <w:fldChar w:fldCharType="begin"/>
      </w:r>
      <w:r>
        <w:rPr>
          <w:rFonts w:eastAsia="宋体"/>
          <w:color w:val="auto"/>
        </w:rPr>
        <w:instrText xml:space="preserve"> HYPERLINK \l _Toc16716 </w:instrText>
      </w:r>
      <w:r>
        <w:rPr>
          <w:rFonts w:eastAsia="宋体"/>
          <w:color w:val="auto"/>
        </w:rPr>
        <w:fldChar w:fldCharType="separate"/>
      </w:r>
      <w:r>
        <w:rPr>
          <w:rFonts w:hint="eastAsia"/>
          <w:color w:val="auto"/>
          <w:highlight w:val="none"/>
        </w:rPr>
        <w:t>6.3 评标</w:t>
      </w:r>
      <w:r>
        <w:rPr>
          <w:color w:val="auto"/>
        </w:rPr>
        <w:tab/>
      </w:r>
      <w:r>
        <w:rPr>
          <w:color w:val="auto"/>
        </w:rPr>
        <w:fldChar w:fldCharType="begin"/>
      </w:r>
      <w:r>
        <w:rPr>
          <w:color w:val="auto"/>
        </w:rPr>
        <w:instrText xml:space="preserve"> PAGEREF _Toc16716 \h </w:instrText>
      </w:r>
      <w:r>
        <w:rPr>
          <w:color w:val="auto"/>
        </w:rPr>
        <w:fldChar w:fldCharType="separate"/>
      </w:r>
      <w:r>
        <w:rPr>
          <w:color w:val="auto"/>
        </w:rPr>
        <w:t>27</w:t>
      </w:r>
      <w:r>
        <w:rPr>
          <w:color w:val="auto"/>
        </w:rPr>
        <w:fldChar w:fldCharType="end"/>
      </w:r>
      <w:r>
        <w:rPr>
          <w:rFonts w:eastAsia="宋体"/>
          <w:color w:val="auto"/>
        </w:rPr>
        <w:fldChar w:fldCharType="end"/>
      </w:r>
    </w:p>
    <w:p w14:paraId="297940EB">
      <w:pPr>
        <w:pStyle w:val="11"/>
        <w:tabs>
          <w:tab w:val="right" w:leader="dot" w:pos="8306"/>
        </w:tabs>
        <w:rPr>
          <w:color w:val="auto"/>
        </w:rPr>
      </w:pPr>
      <w:r>
        <w:rPr>
          <w:rFonts w:eastAsia="宋体"/>
          <w:color w:val="auto"/>
        </w:rPr>
        <w:fldChar w:fldCharType="begin"/>
      </w:r>
      <w:r>
        <w:rPr>
          <w:rFonts w:eastAsia="宋体"/>
          <w:color w:val="auto"/>
        </w:rPr>
        <w:instrText xml:space="preserve"> HYPERLINK \l _Toc15257 </w:instrText>
      </w:r>
      <w:r>
        <w:rPr>
          <w:rFonts w:eastAsia="宋体"/>
          <w:color w:val="auto"/>
        </w:rPr>
        <w:fldChar w:fldCharType="separate"/>
      </w:r>
      <w:r>
        <w:rPr>
          <w:rFonts w:hint="eastAsia"/>
          <w:color w:val="auto"/>
          <w:highlight w:val="none"/>
        </w:rPr>
        <w:t>6.4 评标结果公示</w:t>
      </w:r>
      <w:r>
        <w:rPr>
          <w:color w:val="auto"/>
        </w:rPr>
        <w:tab/>
      </w:r>
      <w:r>
        <w:rPr>
          <w:color w:val="auto"/>
        </w:rPr>
        <w:fldChar w:fldCharType="begin"/>
      </w:r>
      <w:r>
        <w:rPr>
          <w:color w:val="auto"/>
        </w:rPr>
        <w:instrText xml:space="preserve"> PAGEREF _Toc15257 \h </w:instrText>
      </w:r>
      <w:r>
        <w:rPr>
          <w:color w:val="auto"/>
        </w:rPr>
        <w:fldChar w:fldCharType="separate"/>
      </w:r>
      <w:r>
        <w:rPr>
          <w:color w:val="auto"/>
        </w:rPr>
        <w:t>27</w:t>
      </w:r>
      <w:r>
        <w:rPr>
          <w:color w:val="auto"/>
        </w:rPr>
        <w:fldChar w:fldCharType="end"/>
      </w:r>
      <w:r>
        <w:rPr>
          <w:rFonts w:eastAsia="宋体"/>
          <w:color w:val="auto"/>
        </w:rPr>
        <w:fldChar w:fldCharType="end"/>
      </w:r>
    </w:p>
    <w:p w14:paraId="0787EBD0">
      <w:pPr>
        <w:pStyle w:val="11"/>
        <w:tabs>
          <w:tab w:val="right" w:leader="dot" w:pos="8306"/>
        </w:tabs>
        <w:rPr>
          <w:color w:val="auto"/>
        </w:rPr>
      </w:pPr>
      <w:r>
        <w:rPr>
          <w:rFonts w:eastAsia="宋体"/>
          <w:color w:val="auto"/>
        </w:rPr>
        <w:fldChar w:fldCharType="begin"/>
      </w:r>
      <w:r>
        <w:rPr>
          <w:rFonts w:eastAsia="宋体"/>
          <w:color w:val="auto"/>
        </w:rPr>
        <w:instrText xml:space="preserve"> HYPERLINK \l _Toc4520 </w:instrText>
      </w:r>
      <w:r>
        <w:rPr>
          <w:rFonts w:eastAsia="宋体"/>
          <w:color w:val="auto"/>
        </w:rPr>
        <w:fldChar w:fldCharType="separate"/>
      </w:r>
      <w:r>
        <w:rPr>
          <w:rFonts w:hint="eastAsia"/>
          <w:color w:val="auto"/>
          <w:highlight w:val="none"/>
        </w:rPr>
        <w:t>6</w:t>
      </w:r>
      <w:r>
        <w:rPr>
          <w:color w:val="auto"/>
          <w:highlight w:val="none"/>
        </w:rPr>
        <w:t>.</w:t>
      </w:r>
      <w:r>
        <w:rPr>
          <w:rFonts w:hint="eastAsia"/>
          <w:color w:val="auto"/>
          <w:highlight w:val="none"/>
        </w:rPr>
        <w:t>5</w:t>
      </w:r>
      <w:r>
        <w:rPr>
          <w:color w:val="auto"/>
          <w:highlight w:val="none"/>
        </w:rPr>
        <w:t xml:space="preserve"> </w:t>
      </w:r>
      <w:r>
        <w:rPr>
          <w:rFonts w:hint="eastAsia"/>
          <w:color w:val="auto"/>
          <w:highlight w:val="none"/>
        </w:rPr>
        <w:t>履约能力的核查（如有）</w:t>
      </w:r>
      <w:r>
        <w:rPr>
          <w:color w:val="auto"/>
        </w:rPr>
        <w:tab/>
      </w:r>
      <w:r>
        <w:rPr>
          <w:color w:val="auto"/>
        </w:rPr>
        <w:fldChar w:fldCharType="begin"/>
      </w:r>
      <w:r>
        <w:rPr>
          <w:color w:val="auto"/>
        </w:rPr>
        <w:instrText xml:space="preserve"> PAGEREF _Toc4520 \h </w:instrText>
      </w:r>
      <w:r>
        <w:rPr>
          <w:color w:val="auto"/>
        </w:rPr>
        <w:fldChar w:fldCharType="separate"/>
      </w:r>
      <w:r>
        <w:rPr>
          <w:color w:val="auto"/>
        </w:rPr>
        <w:t>27</w:t>
      </w:r>
      <w:r>
        <w:rPr>
          <w:color w:val="auto"/>
        </w:rPr>
        <w:fldChar w:fldCharType="end"/>
      </w:r>
      <w:r>
        <w:rPr>
          <w:rFonts w:eastAsia="宋体"/>
          <w:color w:val="auto"/>
        </w:rPr>
        <w:fldChar w:fldCharType="end"/>
      </w:r>
    </w:p>
    <w:p w14:paraId="6565CD35">
      <w:pPr>
        <w:pStyle w:val="17"/>
        <w:tabs>
          <w:tab w:val="right" w:leader="dot" w:pos="8306"/>
        </w:tabs>
        <w:rPr>
          <w:color w:val="auto"/>
        </w:rPr>
      </w:pPr>
      <w:r>
        <w:rPr>
          <w:rFonts w:eastAsia="宋体"/>
          <w:color w:val="auto"/>
        </w:rPr>
        <w:fldChar w:fldCharType="begin"/>
      </w:r>
      <w:r>
        <w:rPr>
          <w:rFonts w:eastAsia="宋体"/>
          <w:color w:val="auto"/>
        </w:rPr>
        <w:instrText xml:space="preserve"> HYPERLINK \l _Toc6981 </w:instrText>
      </w:r>
      <w:r>
        <w:rPr>
          <w:rFonts w:eastAsia="宋体"/>
          <w:color w:val="auto"/>
        </w:rPr>
        <w:fldChar w:fldCharType="separate"/>
      </w:r>
      <w:r>
        <w:rPr>
          <w:rFonts w:hint="eastAsia"/>
          <w:color w:val="auto"/>
          <w:highlight w:val="none"/>
        </w:rPr>
        <w:t>7. 合同授予</w:t>
      </w:r>
      <w:r>
        <w:rPr>
          <w:color w:val="auto"/>
        </w:rPr>
        <w:tab/>
      </w:r>
      <w:r>
        <w:rPr>
          <w:color w:val="auto"/>
        </w:rPr>
        <w:fldChar w:fldCharType="begin"/>
      </w:r>
      <w:r>
        <w:rPr>
          <w:color w:val="auto"/>
        </w:rPr>
        <w:instrText xml:space="preserve"> PAGEREF _Toc6981 \h </w:instrText>
      </w:r>
      <w:r>
        <w:rPr>
          <w:color w:val="auto"/>
        </w:rPr>
        <w:fldChar w:fldCharType="separate"/>
      </w:r>
      <w:r>
        <w:rPr>
          <w:color w:val="auto"/>
        </w:rPr>
        <w:t>27</w:t>
      </w:r>
      <w:r>
        <w:rPr>
          <w:color w:val="auto"/>
        </w:rPr>
        <w:fldChar w:fldCharType="end"/>
      </w:r>
      <w:r>
        <w:rPr>
          <w:rFonts w:eastAsia="宋体"/>
          <w:color w:val="auto"/>
        </w:rPr>
        <w:fldChar w:fldCharType="end"/>
      </w:r>
    </w:p>
    <w:p w14:paraId="2BC0A33C">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_Toc2814 </w:instrText>
      </w:r>
      <w:r>
        <w:rPr>
          <w:rFonts w:eastAsia="宋体"/>
          <w:color w:val="auto"/>
        </w:rPr>
        <w:fldChar w:fldCharType="separate"/>
      </w:r>
      <w:r>
        <w:rPr>
          <w:rFonts w:hint="eastAsia"/>
          <w:color w:val="auto"/>
          <w:highlight w:val="none"/>
        </w:rPr>
        <w:t>7.1 定标方式</w:t>
      </w:r>
      <w:r>
        <w:rPr>
          <w:color w:val="auto"/>
        </w:rPr>
        <w:tab/>
      </w:r>
      <w:r>
        <w:rPr>
          <w:color w:val="auto"/>
        </w:rPr>
        <w:fldChar w:fldCharType="begin"/>
      </w:r>
      <w:r>
        <w:rPr>
          <w:color w:val="auto"/>
        </w:rPr>
        <w:instrText xml:space="preserve"> PAGEREF _Toc2814 \h </w:instrText>
      </w:r>
      <w:r>
        <w:rPr>
          <w:color w:val="auto"/>
        </w:rPr>
        <w:fldChar w:fldCharType="separate"/>
      </w:r>
      <w:r>
        <w:rPr>
          <w:color w:val="auto"/>
        </w:rPr>
        <w:t>27</w:t>
      </w:r>
      <w:r>
        <w:rPr>
          <w:color w:val="auto"/>
        </w:rPr>
        <w:fldChar w:fldCharType="end"/>
      </w:r>
      <w:r>
        <w:rPr>
          <w:rFonts w:eastAsia="宋体"/>
          <w:color w:val="auto"/>
        </w:rPr>
        <w:fldChar w:fldCharType="end"/>
      </w:r>
    </w:p>
    <w:p w14:paraId="2D234F7B">
      <w:pPr>
        <w:pStyle w:val="11"/>
        <w:tabs>
          <w:tab w:val="right" w:leader="dot" w:pos="8306"/>
        </w:tabs>
        <w:rPr>
          <w:color w:val="auto"/>
        </w:rPr>
      </w:pPr>
      <w:r>
        <w:rPr>
          <w:rFonts w:eastAsia="宋体"/>
          <w:color w:val="auto"/>
        </w:rPr>
        <w:fldChar w:fldCharType="begin"/>
      </w:r>
      <w:r>
        <w:rPr>
          <w:rFonts w:eastAsia="宋体"/>
          <w:color w:val="auto"/>
        </w:rPr>
        <w:instrText xml:space="preserve"> HYPERLINK \l _Toc18007 </w:instrText>
      </w:r>
      <w:r>
        <w:rPr>
          <w:rFonts w:eastAsia="宋体"/>
          <w:color w:val="auto"/>
        </w:rPr>
        <w:fldChar w:fldCharType="separate"/>
      </w:r>
      <w:r>
        <w:rPr>
          <w:rFonts w:hint="eastAsia"/>
          <w:color w:val="auto"/>
          <w:highlight w:val="none"/>
        </w:rPr>
        <w:t>7.2 中标通知</w:t>
      </w:r>
      <w:r>
        <w:rPr>
          <w:color w:val="auto"/>
        </w:rPr>
        <w:tab/>
      </w:r>
      <w:r>
        <w:rPr>
          <w:color w:val="auto"/>
        </w:rPr>
        <w:fldChar w:fldCharType="begin"/>
      </w:r>
      <w:r>
        <w:rPr>
          <w:color w:val="auto"/>
        </w:rPr>
        <w:instrText xml:space="preserve"> PAGEREF _Toc18007 \h </w:instrText>
      </w:r>
      <w:r>
        <w:rPr>
          <w:color w:val="auto"/>
        </w:rPr>
        <w:fldChar w:fldCharType="separate"/>
      </w:r>
      <w:r>
        <w:rPr>
          <w:color w:val="auto"/>
        </w:rPr>
        <w:t>28</w:t>
      </w:r>
      <w:r>
        <w:rPr>
          <w:color w:val="auto"/>
        </w:rPr>
        <w:fldChar w:fldCharType="end"/>
      </w:r>
      <w:r>
        <w:rPr>
          <w:rFonts w:eastAsia="宋体"/>
          <w:color w:val="auto"/>
        </w:rPr>
        <w:fldChar w:fldCharType="end"/>
      </w:r>
    </w:p>
    <w:p w14:paraId="0C0F718C">
      <w:pPr>
        <w:pStyle w:val="11"/>
        <w:tabs>
          <w:tab w:val="right" w:leader="dot" w:pos="8306"/>
        </w:tabs>
        <w:rPr>
          <w:color w:val="auto"/>
        </w:rPr>
      </w:pPr>
      <w:r>
        <w:rPr>
          <w:rFonts w:eastAsia="宋体"/>
          <w:color w:val="auto"/>
        </w:rPr>
        <w:fldChar w:fldCharType="begin"/>
      </w:r>
      <w:r>
        <w:rPr>
          <w:rFonts w:eastAsia="宋体"/>
          <w:color w:val="auto"/>
        </w:rPr>
        <w:instrText xml:space="preserve"> HYPERLINK \l _Toc9260 </w:instrText>
      </w:r>
      <w:r>
        <w:rPr>
          <w:rFonts w:eastAsia="宋体"/>
          <w:color w:val="auto"/>
        </w:rPr>
        <w:fldChar w:fldCharType="separate"/>
      </w:r>
      <w:r>
        <w:rPr>
          <w:rFonts w:hint="eastAsia"/>
          <w:color w:val="auto"/>
          <w:highlight w:val="none"/>
        </w:rPr>
        <w:t>7.3 履约保证金</w:t>
      </w:r>
      <w:r>
        <w:rPr>
          <w:color w:val="auto"/>
        </w:rPr>
        <w:tab/>
      </w:r>
      <w:r>
        <w:rPr>
          <w:color w:val="auto"/>
        </w:rPr>
        <w:fldChar w:fldCharType="begin"/>
      </w:r>
      <w:r>
        <w:rPr>
          <w:color w:val="auto"/>
        </w:rPr>
        <w:instrText xml:space="preserve"> PAGEREF _Toc9260 \h </w:instrText>
      </w:r>
      <w:r>
        <w:rPr>
          <w:color w:val="auto"/>
        </w:rPr>
        <w:fldChar w:fldCharType="separate"/>
      </w:r>
      <w:r>
        <w:rPr>
          <w:color w:val="auto"/>
        </w:rPr>
        <w:t>28</w:t>
      </w:r>
      <w:r>
        <w:rPr>
          <w:color w:val="auto"/>
        </w:rPr>
        <w:fldChar w:fldCharType="end"/>
      </w:r>
      <w:r>
        <w:rPr>
          <w:rFonts w:eastAsia="宋体"/>
          <w:color w:val="auto"/>
        </w:rPr>
        <w:fldChar w:fldCharType="end"/>
      </w:r>
    </w:p>
    <w:p w14:paraId="10F50221">
      <w:pPr>
        <w:pStyle w:val="11"/>
        <w:tabs>
          <w:tab w:val="right" w:leader="dot" w:pos="8306"/>
        </w:tabs>
        <w:rPr>
          <w:color w:val="auto"/>
        </w:rPr>
      </w:pPr>
      <w:r>
        <w:rPr>
          <w:rFonts w:eastAsia="宋体"/>
          <w:color w:val="auto"/>
        </w:rPr>
        <w:fldChar w:fldCharType="begin"/>
      </w:r>
      <w:r>
        <w:rPr>
          <w:rFonts w:eastAsia="宋体"/>
          <w:color w:val="auto"/>
        </w:rPr>
        <w:instrText xml:space="preserve"> HYPERLINK \l _Toc3260 </w:instrText>
      </w:r>
      <w:r>
        <w:rPr>
          <w:rFonts w:eastAsia="宋体"/>
          <w:color w:val="auto"/>
        </w:rPr>
        <w:fldChar w:fldCharType="separate"/>
      </w:r>
      <w:r>
        <w:rPr>
          <w:rFonts w:hint="eastAsia"/>
          <w:color w:val="auto"/>
          <w:highlight w:val="none"/>
        </w:rPr>
        <w:t>7.4 签订合同</w:t>
      </w:r>
      <w:r>
        <w:rPr>
          <w:color w:val="auto"/>
        </w:rPr>
        <w:tab/>
      </w:r>
      <w:r>
        <w:rPr>
          <w:color w:val="auto"/>
        </w:rPr>
        <w:fldChar w:fldCharType="begin"/>
      </w:r>
      <w:r>
        <w:rPr>
          <w:color w:val="auto"/>
        </w:rPr>
        <w:instrText xml:space="preserve"> PAGEREF _Toc3260 \h </w:instrText>
      </w:r>
      <w:r>
        <w:rPr>
          <w:color w:val="auto"/>
        </w:rPr>
        <w:fldChar w:fldCharType="separate"/>
      </w:r>
      <w:r>
        <w:rPr>
          <w:color w:val="auto"/>
        </w:rPr>
        <w:t>28</w:t>
      </w:r>
      <w:r>
        <w:rPr>
          <w:color w:val="auto"/>
        </w:rPr>
        <w:fldChar w:fldCharType="end"/>
      </w:r>
      <w:r>
        <w:rPr>
          <w:rFonts w:eastAsia="宋体"/>
          <w:color w:val="auto"/>
        </w:rPr>
        <w:fldChar w:fldCharType="end"/>
      </w:r>
    </w:p>
    <w:p w14:paraId="63A5E06E">
      <w:pPr>
        <w:pStyle w:val="17"/>
        <w:tabs>
          <w:tab w:val="right" w:leader="dot" w:pos="8306"/>
        </w:tabs>
        <w:rPr>
          <w:color w:val="auto"/>
        </w:rPr>
      </w:pPr>
      <w:r>
        <w:rPr>
          <w:rFonts w:eastAsia="宋体"/>
          <w:color w:val="auto"/>
        </w:rPr>
        <w:fldChar w:fldCharType="begin"/>
      </w:r>
      <w:r>
        <w:rPr>
          <w:rFonts w:eastAsia="宋体"/>
          <w:color w:val="auto"/>
        </w:rPr>
        <w:instrText xml:space="preserve"> HYPERLINK \l _Toc30675 </w:instrText>
      </w:r>
      <w:r>
        <w:rPr>
          <w:rFonts w:eastAsia="宋体"/>
          <w:color w:val="auto"/>
        </w:rPr>
        <w:fldChar w:fldCharType="separate"/>
      </w:r>
      <w:r>
        <w:rPr>
          <w:rFonts w:hint="eastAsia"/>
          <w:color w:val="auto"/>
          <w:highlight w:val="none"/>
        </w:rPr>
        <w:t>8. 重新招标、不再招标和终止招标</w:t>
      </w:r>
      <w:r>
        <w:rPr>
          <w:color w:val="auto"/>
        </w:rPr>
        <w:tab/>
      </w:r>
      <w:r>
        <w:rPr>
          <w:color w:val="auto"/>
        </w:rPr>
        <w:fldChar w:fldCharType="begin"/>
      </w:r>
      <w:r>
        <w:rPr>
          <w:color w:val="auto"/>
        </w:rPr>
        <w:instrText xml:space="preserve"> PAGEREF _Toc30675 \h </w:instrText>
      </w:r>
      <w:r>
        <w:rPr>
          <w:color w:val="auto"/>
        </w:rPr>
        <w:fldChar w:fldCharType="separate"/>
      </w:r>
      <w:r>
        <w:rPr>
          <w:color w:val="auto"/>
        </w:rPr>
        <w:t>28</w:t>
      </w:r>
      <w:r>
        <w:rPr>
          <w:color w:val="auto"/>
        </w:rPr>
        <w:fldChar w:fldCharType="end"/>
      </w:r>
      <w:r>
        <w:rPr>
          <w:rFonts w:eastAsia="宋体"/>
          <w:color w:val="auto"/>
        </w:rPr>
        <w:fldChar w:fldCharType="end"/>
      </w:r>
    </w:p>
    <w:p w14:paraId="7CF72A1C">
      <w:pPr>
        <w:pStyle w:val="11"/>
        <w:tabs>
          <w:tab w:val="right" w:leader="dot" w:pos="8306"/>
        </w:tabs>
        <w:rPr>
          <w:color w:val="auto"/>
        </w:rPr>
      </w:pPr>
      <w:r>
        <w:rPr>
          <w:rFonts w:eastAsia="宋体"/>
          <w:color w:val="auto"/>
        </w:rPr>
        <w:fldChar w:fldCharType="begin"/>
      </w:r>
      <w:r>
        <w:rPr>
          <w:rFonts w:eastAsia="宋体"/>
          <w:color w:val="auto"/>
        </w:rPr>
        <w:instrText xml:space="preserve"> HYPERLINK \l _Toc1899 </w:instrText>
      </w:r>
      <w:r>
        <w:rPr>
          <w:rFonts w:eastAsia="宋体"/>
          <w:color w:val="auto"/>
        </w:rPr>
        <w:fldChar w:fldCharType="separate"/>
      </w:r>
      <w:r>
        <w:rPr>
          <w:rFonts w:hint="eastAsia"/>
          <w:color w:val="auto"/>
          <w:highlight w:val="none"/>
        </w:rPr>
        <w:t>8.1 重新招标</w:t>
      </w:r>
      <w:r>
        <w:rPr>
          <w:color w:val="auto"/>
        </w:rPr>
        <w:tab/>
      </w:r>
      <w:r>
        <w:rPr>
          <w:color w:val="auto"/>
        </w:rPr>
        <w:fldChar w:fldCharType="begin"/>
      </w:r>
      <w:r>
        <w:rPr>
          <w:color w:val="auto"/>
        </w:rPr>
        <w:instrText xml:space="preserve"> PAGEREF _Toc1899 \h </w:instrText>
      </w:r>
      <w:r>
        <w:rPr>
          <w:color w:val="auto"/>
        </w:rPr>
        <w:fldChar w:fldCharType="separate"/>
      </w:r>
      <w:r>
        <w:rPr>
          <w:color w:val="auto"/>
        </w:rPr>
        <w:t>28</w:t>
      </w:r>
      <w:r>
        <w:rPr>
          <w:color w:val="auto"/>
        </w:rPr>
        <w:fldChar w:fldCharType="end"/>
      </w:r>
      <w:r>
        <w:rPr>
          <w:rFonts w:eastAsia="宋体"/>
          <w:color w:val="auto"/>
        </w:rPr>
        <w:fldChar w:fldCharType="end"/>
      </w:r>
    </w:p>
    <w:p w14:paraId="1B69CE45">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_Toc26747 </w:instrText>
      </w:r>
      <w:r>
        <w:rPr>
          <w:rFonts w:eastAsia="宋体"/>
          <w:color w:val="auto"/>
        </w:rPr>
        <w:fldChar w:fldCharType="separate"/>
      </w:r>
      <w:r>
        <w:rPr>
          <w:rFonts w:hint="eastAsia"/>
          <w:color w:val="auto"/>
          <w:highlight w:val="none"/>
        </w:rPr>
        <w:t>8.2 不再招标</w:t>
      </w:r>
      <w:r>
        <w:rPr>
          <w:color w:val="auto"/>
        </w:rPr>
        <w:tab/>
      </w:r>
      <w:r>
        <w:rPr>
          <w:color w:val="auto"/>
        </w:rPr>
        <w:fldChar w:fldCharType="begin"/>
      </w:r>
      <w:r>
        <w:rPr>
          <w:color w:val="auto"/>
        </w:rPr>
        <w:instrText xml:space="preserve"> PAGEREF _Toc26747 \h </w:instrText>
      </w:r>
      <w:r>
        <w:rPr>
          <w:color w:val="auto"/>
        </w:rPr>
        <w:fldChar w:fldCharType="separate"/>
      </w:r>
      <w:r>
        <w:rPr>
          <w:color w:val="auto"/>
        </w:rPr>
        <w:t>29</w:t>
      </w:r>
      <w:r>
        <w:rPr>
          <w:color w:val="auto"/>
        </w:rPr>
        <w:fldChar w:fldCharType="end"/>
      </w:r>
      <w:r>
        <w:rPr>
          <w:rFonts w:eastAsia="宋体"/>
          <w:color w:val="auto"/>
        </w:rPr>
        <w:fldChar w:fldCharType="end"/>
      </w:r>
    </w:p>
    <w:p w14:paraId="6F88CF96">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_Toc20086 </w:instrText>
      </w:r>
      <w:r>
        <w:rPr>
          <w:rFonts w:eastAsia="宋体"/>
          <w:color w:val="auto"/>
        </w:rPr>
        <w:fldChar w:fldCharType="separate"/>
      </w:r>
      <w:r>
        <w:rPr>
          <w:rFonts w:hint="eastAsia"/>
          <w:color w:val="auto"/>
          <w:highlight w:val="none"/>
        </w:rPr>
        <w:t>8.3 终止招标</w:t>
      </w:r>
      <w:r>
        <w:rPr>
          <w:color w:val="auto"/>
        </w:rPr>
        <w:tab/>
      </w:r>
      <w:r>
        <w:rPr>
          <w:color w:val="auto"/>
        </w:rPr>
        <w:fldChar w:fldCharType="begin"/>
      </w:r>
      <w:r>
        <w:rPr>
          <w:color w:val="auto"/>
        </w:rPr>
        <w:instrText xml:space="preserve"> PAGEREF _Toc20086 \h </w:instrText>
      </w:r>
      <w:r>
        <w:rPr>
          <w:color w:val="auto"/>
        </w:rPr>
        <w:fldChar w:fldCharType="separate"/>
      </w:r>
      <w:r>
        <w:rPr>
          <w:color w:val="auto"/>
        </w:rPr>
        <w:t>29</w:t>
      </w:r>
      <w:r>
        <w:rPr>
          <w:color w:val="auto"/>
        </w:rPr>
        <w:fldChar w:fldCharType="end"/>
      </w:r>
      <w:r>
        <w:rPr>
          <w:rFonts w:eastAsia="宋体"/>
          <w:color w:val="auto"/>
        </w:rPr>
        <w:fldChar w:fldCharType="end"/>
      </w:r>
    </w:p>
    <w:p w14:paraId="57C9FAD6">
      <w:pPr>
        <w:pStyle w:val="17"/>
        <w:tabs>
          <w:tab w:val="right" w:leader="dot" w:pos="8306"/>
        </w:tabs>
        <w:rPr>
          <w:color w:val="auto"/>
        </w:rPr>
      </w:pPr>
      <w:r>
        <w:rPr>
          <w:rFonts w:eastAsia="宋体"/>
          <w:color w:val="auto"/>
        </w:rPr>
        <w:fldChar w:fldCharType="begin"/>
      </w:r>
      <w:r>
        <w:rPr>
          <w:rFonts w:eastAsia="宋体"/>
          <w:color w:val="auto"/>
        </w:rPr>
        <w:instrText xml:space="preserve"> HYPERLINK \l _Toc5871 </w:instrText>
      </w:r>
      <w:r>
        <w:rPr>
          <w:rFonts w:eastAsia="宋体"/>
          <w:color w:val="auto"/>
        </w:rPr>
        <w:fldChar w:fldCharType="separate"/>
      </w:r>
      <w:r>
        <w:rPr>
          <w:rFonts w:hint="eastAsia"/>
          <w:color w:val="auto"/>
          <w:highlight w:val="none"/>
        </w:rPr>
        <w:t>9. 纪律和监督</w:t>
      </w:r>
      <w:r>
        <w:rPr>
          <w:color w:val="auto"/>
        </w:rPr>
        <w:tab/>
      </w:r>
      <w:r>
        <w:rPr>
          <w:color w:val="auto"/>
        </w:rPr>
        <w:fldChar w:fldCharType="begin"/>
      </w:r>
      <w:r>
        <w:rPr>
          <w:color w:val="auto"/>
        </w:rPr>
        <w:instrText xml:space="preserve"> PAGEREF _Toc5871 \h </w:instrText>
      </w:r>
      <w:r>
        <w:rPr>
          <w:color w:val="auto"/>
        </w:rPr>
        <w:fldChar w:fldCharType="separate"/>
      </w:r>
      <w:r>
        <w:rPr>
          <w:color w:val="auto"/>
        </w:rPr>
        <w:t>29</w:t>
      </w:r>
      <w:r>
        <w:rPr>
          <w:color w:val="auto"/>
        </w:rPr>
        <w:fldChar w:fldCharType="end"/>
      </w:r>
      <w:r>
        <w:rPr>
          <w:rFonts w:eastAsia="宋体"/>
          <w:color w:val="auto"/>
        </w:rPr>
        <w:fldChar w:fldCharType="end"/>
      </w:r>
    </w:p>
    <w:p w14:paraId="7A159AE6">
      <w:pPr>
        <w:pStyle w:val="11"/>
        <w:tabs>
          <w:tab w:val="right" w:leader="dot" w:pos="8306"/>
        </w:tabs>
        <w:rPr>
          <w:color w:val="auto"/>
        </w:rPr>
      </w:pPr>
      <w:r>
        <w:rPr>
          <w:rFonts w:eastAsia="宋体"/>
          <w:color w:val="auto"/>
        </w:rPr>
        <w:fldChar w:fldCharType="begin"/>
      </w:r>
      <w:r>
        <w:rPr>
          <w:rFonts w:eastAsia="宋体"/>
          <w:color w:val="auto"/>
        </w:rPr>
        <w:instrText xml:space="preserve"> HYPERLINK \l _Toc17525 </w:instrText>
      </w:r>
      <w:r>
        <w:rPr>
          <w:rFonts w:eastAsia="宋体"/>
          <w:color w:val="auto"/>
        </w:rPr>
        <w:fldChar w:fldCharType="separate"/>
      </w:r>
      <w:r>
        <w:rPr>
          <w:rFonts w:hint="eastAsia"/>
          <w:color w:val="auto"/>
          <w:highlight w:val="none"/>
        </w:rPr>
        <w:t>9.1 对招标人的纪律要求</w:t>
      </w:r>
      <w:r>
        <w:rPr>
          <w:color w:val="auto"/>
        </w:rPr>
        <w:tab/>
      </w:r>
      <w:r>
        <w:rPr>
          <w:color w:val="auto"/>
        </w:rPr>
        <w:fldChar w:fldCharType="begin"/>
      </w:r>
      <w:r>
        <w:rPr>
          <w:color w:val="auto"/>
        </w:rPr>
        <w:instrText xml:space="preserve"> PAGEREF _Toc17525 \h </w:instrText>
      </w:r>
      <w:r>
        <w:rPr>
          <w:color w:val="auto"/>
        </w:rPr>
        <w:fldChar w:fldCharType="separate"/>
      </w:r>
      <w:r>
        <w:rPr>
          <w:color w:val="auto"/>
        </w:rPr>
        <w:t>29</w:t>
      </w:r>
      <w:r>
        <w:rPr>
          <w:color w:val="auto"/>
        </w:rPr>
        <w:fldChar w:fldCharType="end"/>
      </w:r>
      <w:r>
        <w:rPr>
          <w:rFonts w:eastAsia="宋体"/>
          <w:color w:val="auto"/>
        </w:rPr>
        <w:fldChar w:fldCharType="end"/>
      </w:r>
    </w:p>
    <w:p w14:paraId="2F1950A4">
      <w:pPr>
        <w:pStyle w:val="11"/>
        <w:tabs>
          <w:tab w:val="right" w:leader="dot" w:pos="8306"/>
        </w:tabs>
        <w:rPr>
          <w:color w:val="auto"/>
        </w:rPr>
      </w:pPr>
      <w:r>
        <w:rPr>
          <w:rFonts w:eastAsia="宋体"/>
          <w:color w:val="auto"/>
        </w:rPr>
        <w:fldChar w:fldCharType="begin"/>
      </w:r>
      <w:r>
        <w:rPr>
          <w:rFonts w:eastAsia="宋体"/>
          <w:color w:val="auto"/>
        </w:rPr>
        <w:instrText xml:space="preserve"> HYPERLINK \l _Toc18381 </w:instrText>
      </w:r>
      <w:r>
        <w:rPr>
          <w:rFonts w:eastAsia="宋体"/>
          <w:color w:val="auto"/>
        </w:rPr>
        <w:fldChar w:fldCharType="separate"/>
      </w:r>
      <w:r>
        <w:rPr>
          <w:rFonts w:hint="eastAsia"/>
          <w:color w:val="auto"/>
          <w:highlight w:val="none"/>
        </w:rPr>
        <w:t>9.2 对投标人的纪律要求</w:t>
      </w:r>
      <w:r>
        <w:rPr>
          <w:color w:val="auto"/>
        </w:rPr>
        <w:tab/>
      </w:r>
      <w:r>
        <w:rPr>
          <w:color w:val="auto"/>
        </w:rPr>
        <w:fldChar w:fldCharType="begin"/>
      </w:r>
      <w:r>
        <w:rPr>
          <w:color w:val="auto"/>
        </w:rPr>
        <w:instrText xml:space="preserve"> PAGEREF _Toc18381 \h </w:instrText>
      </w:r>
      <w:r>
        <w:rPr>
          <w:color w:val="auto"/>
        </w:rPr>
        <w:fldChar w:fldCharType="separate"/>
      </w:r>
      <w:r>
        <w:rPr>
          <w:color w:val="auto"/>
        </w:rPr>
        <w:t>29</w:t>
      </w:r>
      <w:r>
        <w:rPr>
          <w:color w:val="auto"/>
        </w:rPr>
        <w:fldChar w:fldCharType="end"/>
      </w:r>
      <w:r>
        <w:rPr>
          <w:rFonts w:eastAsia="宋体"/>
          <w:color w:val="auto"/>
        </w:rPr>
        <w:fldChar w:fldCharType="end"/>
      </w:r>
    </w:p>
    <w:p w14:paraId="7DC2E5AD">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_Toc26393 </w:instrText>
      </w:r>
      <w:r>
        <w:rPr>
          <w:rFonts w:eastAsia="宋体"/>
          <w:color w:val="auto"/>
        </w:rPr>
        <w:fldChar w:fldCharType="separate"/>
      </w:r>
      <w:r>
        <w:rPr>
          <w:rFonts w:hint="eastAsia"/>
          <w:color w:val="auto"/>
          <w:highlight w:val="none"/>
        </w:rPr>
        <w:t>9.3 对评标委员会成员的纪律要求</w:t>
      </w:r>
      <w:r>
        <w:rPr>
          <w:color w:val="auto"/>
        </w:rPr>
        <w:tab/>
      </w:r>
      <w:r>
        <w:rPr>
          <w:color w:val="auto"/>
        </w:rPr>
        <w:fldChar w:fldCharType="begin"/>
      </w:r>
      <w:r>
        <w:rPr>
          <w:color w:val="auto"/>
        </w:rPr>
        <w:instrText xml:space="preserve"> PAGEREF _Toc26393 \h </w:instrText>
      </w:r>
      <w:r>
        <w:rPr>
          <w:color w:val="auto"/>
        </w:rPr>
        <w:fldChar w:fldCharType="separate"/>
      </w:r>
      <w:r>
        <w:rPr>
          <w:color w:val="auto"/>
        </w:rPr>
        <w:t>29</w:t>
      </w:r>
      <w:r>
        <w:rPr>
          <w:color w:val="auto"/>
        </w:rPr>
        <w:fldChar w:fldCharType="end"/>
      </w:r>
      <w:r>
        <w:rPr>
          <w:rFonts w:eastAsia="宋体"/>
          <w:color w:val="auto"/>
        </w:rPr>
        <w:fldChar w:fldCharType="end"/>
      </w:r>
    </w:p>
    <w:p w14:paraId="627A9891">
      <w:pPr>
        <w:pStyle w:val="11"/>
        <w:tabs>
          <w:tab w:val="right" w:leader="dot" w:pos="8306"/>
        </w:tabs>
        <w:rPr>
          <w:color w:val="auto"/>
        </w:rPr>
      </w:pPr>
      <w:r>
        <w:rPr>
          <w:rFonts w:eastAsia="宋体"/>
          <w:color w:val="auto"/>
        </w:rPr>
        <w:fldChar w:fldCharType="begin"/>
      </w:r>
      <w:r>
        <w:rPr>
          <w:rFonts w:eastAsia="宋体"/>
          <w:color w:val="auto"/>
        </w:rPr>
        <w:instrText xml:space="preserve"> HYPERLINK \l _Toc13084 </w:instrText>
      </w:r>
      <w:r>
        <w:rPr>
          <w:rFonts w:eastAsia="宋体"/>
          <w:color w:val="auto"/>
        </w:rPr>
        <w:fldChar w:fldCharType="separate"/>
      </w:r>
      <w:r>
        <w:rPr>
          <w:rFonts w:hint="eastAsia"/>
          <w:color w:val="auto"/>
          <w:highlight w:val="none"/>
        </w:rPr>
        <w:t>9.4 对与评标活动有关的工作人员的纪律要求</w:t>
      </w:r>
      <w:r>
        <w:rPr>
          <w:color w:val="auto"/>
        </w:rPr>
        <w:tab/>
      </w:r>
      <w:r>
        <w:rPr>
          <w:color w:val="auto"/>
        </w:rPr>
        <w:fldChar w:fldCharType="begin"/>
      </w:r>
      <w:r>
        <w:rPr>
          <w:color w:val="auto"/>
        </w:rPr>
        <w:instrText xml:space="preserve"> PAGEREF _Toc13084 \h </w:instrText>
      </w:r>
      <w:r>
        <w:rPr>
          <w:color w:val="auto"/>
        </w:rPr>
        <w:fldChar w:fldCharType="separate"/>
      </w:r>
      <w:r>
        <w:rPr>
          <w:color w:val="auto"/>
        </w:rPr>
        <w:t>29</w:t>
      </w:r>
      <w:r>
        <w:rPr>
          <w:color w:val="auto"/>
        </w:rPr>
        <w:fldChar w:fldCharType="end"/>
      </w:r>
      <w:r>
        <w:rPr>
          <w:rFonts w:eastAsia="宋体"/>
          <w:color w:val="auto"/>
        </w:rPr>
        <w:fldChar w:fldCharType="end"/>
      </w:r>
    </w:p>
    <w:p w14:paraId="05BC2F79">
      <w:pPr>
        <w:pStyle w:val="11"/>
        <w:tabs>
          <w:tab w:val="right" w:leader="dot" w:pos="8306"/>
        </w:tabs>
        <w:rPr>
          <w:color w:val="auto"/>
        </w:rPr>
      </w:pPr>
      <w:r>
        <w:rPr>
          <w:rFonts w:eastAsia="宋体"/>
          <w:color w:val="auto"/>
        </w:rPr>
        <w:fldChar w:fldCharType="begin"/>
      </w:r>
      <w:r>
        <w:rPr>
          <w:rFonts w:eastAsia="宋体"/>
          <w:color w:val="auto"/>
        </w:rPr>
        <w:instrText xml:space="preserve"> HYPERLINK \l _Toc10256 </w:instrText>
      </w:r>
      <w:r>
        <w:rPr>
          <w:rFonts w:eastAsia="宋体"/>
          <w:color w:val="auto"/>
        </w:rPr>
        <w:fldChar w:fldCharType="separate"/>
      </w:r>
      <w:r>
        <w:rPr>
          <w:rFonts w:hint="eastAsia"/>
          <w:color w:val="auto"/>
          <w:highlight w:val="none"/>
        </w:rPr>
        <w:t>9.5 投诉</w:t>
      </w:r>
      <w:r>
        <w:rPr>
          <w:color w:val="auto"/>
        </w:rPr>
        <w:tab/>
      </w:r>
      <w:r>
        <w:rPr>
          <w:color w:val="auto"/>
        </w:rPr>
        <w:fldChar w:fldCharType="begin"/>
      </w:r>
      <w:r>
        <w:rPr>
          <w:color w:val="auto"/>
        </w:rPr>
        <w:instrText xml:space="preserve"> PAGEREF _Toc10256 \h </w:instrText>
      </w:r>
      <w:r>
        <w:rPr>
          <w:color w:val="auto"/>
        </w:rPr>
        <w:fldChar w:fldCharType="separate"/>
      </w:r>
      <w:r>
        <w:rPr>
          <w:color w:val="auto"/>
        </w:rPr>
        <w:t>29</w:t>
      </w:r>
      <w:r>
        <w:rPr>
          <w:color w:val="auto"/>
        </w:rPr>
        <w:fldChar w:fldCharType="end"/>
      </w:r>
      <w:r>
        <w:rPr>
          <w:rFonts w:eastAsia="宋体"/>
          <w:color w:val="auto"/>
        </w:rPr>
        <w:fldChar w:fldCharType="end"/>
      </w:r>
    </w:p>
    <w:p w14:paraId="2E258410">
      <w:pPr>
        <w:pStyle w:val="17"/>
        <w:tabs>
          <w:tab w:val="right" w:leader="dot" w:pos="8306"/>
        </w:tabs>
        <w:rPr>
          <w:color w:val="auto"/>
        </w:rPr>
      </w:pPr>
      <w:r>
        <w:rPr>
          <w:rFonts w:eastAsia="宋体"/>
          <w:color w:val="auto"/>
        </w:rPr>
        <w:fldChar w:fldCharType="begin"/>
      </w:r>
      <w:r>
        <w:rPr>
          <w:rFonts w:eastAsia="宋体"/>
          <w:color w:val="auto"/>
        </w:rPr>
        <w:instrText xml:space="preserve"> HYPERLINK \l _Toc31273 </w:instrText>
      </w:r>
      <w:r>
        <w:rPr>
          <w:rFonts w:eastAsia="宋体"/>
          <w:color w:val="auto"/>
        </w:rPr>
        <w:fldChar w:fldCharType="separate"/>
      </w:r>
      <w:r>
        <w:rPr>
          <w:rFonts w:hint="eastAsia"/>
          <w:color w:val="auto"/>
          <w:highlight w:val="none"/>
        </w:rPr>
        <w:t>10. 需要补充的其他内容</w:t>
      </w:r>
      <w:r>
        <w:rPr>
          <w:color w:val="auto"/>
        </w:rPr>
        <w:tab/>
      </w:r>
      <w:r>
        <w:rPr>
          <w:color w:val="auto"/>
        </w:rPr>
        <w:fldChar w:fldCharType="begin"/>
      </w:r>
      <w:r>
        <w:rPr>
          <w:color w:val="auto"/>
        </w:rPr>
        <w:instrText xml:space="preserve"> PAGEREF _Toc31273 \h </w:instrText>
      </w:r>
      <w:r>
        <w:rPr>
          <w:color w:val="auto"/>
        </w:rPr>
        <w:fldChar w:fldCharType="separate"/>
      </w:r>
      <w:r>
        <w:rPr>
          <w:color w:val="auto"/>
        </w:rPr>
        <w:t>30</w:t>
      </w:r>
      <w:r>
        <w:rPr>
          <w:color w:val="auto"/>
        </w:rPr>
        <w:fldChar w:fldCharType="end"/>
      </w:r>
      <w:r>
        <w:rPr>
          <w:rFonts w:eastAsia="宋体"/>
          <w:color w:val="auto"/>
        </w:rPr>
        <w:fldChar w:fldCharType="end"/>
      </w:r>
    </w:p>
    <w:p w14:paraId="2B9703C5">
      <w:pPr>
        <w:pStyle w:val="11"/>
        <w:tabs>
          <w:tab w:val="right" w:leader="dot" w:pos="8306"/>
        </w:tabs>
        <w:rPr>
          <w:color w:val="auto"/>
        </w:rPr>
      </w:pPr>
      <w:r>
        <w:rPr>
          <w:rFonts w:eastAsia="宋体"/>
          <w:color w:val="auto"/>
        </w:rPr>
        <w:fldChar w:fldCharType="begin"/>
      </w:r>
      <w:r>
        <w:rPr>
          <w:rFonts w:eastAsia="宋体"/>
          <w:color w:val="auto"/>
        </w:rPr>
        <w:instrText xml:space="preserve"> HYPERLINK \l _Toc9115 </w:instrText>
      </w:r>
      <w:r>
        <w:rPr>
          <w:rFonts w:eastAsia="宋体"/>
          <w:color w:val="auto"/>
        </w:rPr>
        <w:fldChar w:fldCharType="separate"/>
      </w:r>
      <w:r>
        <w:rPr>
          <w:rFonts w:hint="eastAsia"/>
          <w:color w:val="auto"/>
          <w:highlight w:val="none"/>
        </w:rPr>
        <w:t xml:space="preserve">10.1 </w:t>
      </w:r>
      <w:r>
        <w:rPr>
          <w:rFonts w:hint="eastAsia"/>
          <w:color w:val="auto"/>
          <w:szCs w:val="21"/>
          <w:highlight w:val="none"/>
        </w:rPr>
        <w:t>词语定义</w:t>
      </w:r>
      <w:r>
        <w:rPr>
          <w:color w:val="auto"/>
        </w:rPr>
        <w:tab/>
      </w:r>
      <w:r>
        <w:rPr>
          <w:color w:val="auto"/>
        </w:rPr>
        <w:fldChar w:fldCharType="begin"/>
      </w:r>
      <w:r>
        <w:rPr>
          <w:color w:val="auto"/>
        </w:rPr>
        <w:instrText xml:space="preserve"> PAGEREF _Toc9115 \h </w:instrText>
      </w:r>
      <w:r>
        <w:rPr>
          <w:color w:val="auto"/>
        </w:rPr>
        <w:fldChar w:fldCharType="separate"/>
      </w:r>
      <w:r>
        <w:rPr>
          <w:color w:val="auto"/>
        </w:rPr>
        <w:t>30</w:t>
      </w:r>
      <w:r>
        <w:rPr>
          <w:color w:val="auto"/>
        </w:rPr>
        <w:fldChar w:fldCharType="end"/>
      </w:r>
      <w:r>
        <w:rPr>
          <w:rFonts w:eastAsia="宋体"/>
          <w:color w:val="auto"/>
        </w:rPr>
        <w:fldChar w:fldCharType="end"/>
      </w:r>
    </w:p>
    <w:p w14:paraId="4955DA17">
      <w:pPr>
        <w:pStyle w:val="11"/>
        <w:tabs>
          <w:tab w:val="right" w:leader="dot" w:pos="8306"/>
        </w:tabs>
        <w:rPr>
          <w:color w:val="auto"/>
        </w:rPr>
      </w:pPr>
      <w:r>
        <w:rPr>
          <w:rFonts w:eastAsia="宋体"/>
          <w:color w:val="auto"/>
        </w:rPr>
        <w:fldChar w:fldCharType="begin"/>
      </w:r>
      <w:r>
        <w:rPr>
          <w:rFonts w:eastAsia="宋体"/>
          <w:color w:val="auto"/>
        </w:rPr>
        <w:instrText xml:space="preserve"> HYPERLINK \l _Toc3977 </w:instrText>
      </w:r>
      <w:r>
        <w:rPr>
          <w:rFonts w:eastAsia="宋体"/>
          <w:color w:val="auto"/>
        </w:rPr>
        <w:fldChar w:fldCharType="separate"/>
      </w:r>
      <w:r>
        <w:rPr>
          <w:rFonts w:hint="eastAsia"/>
          <w:color w:val="auto"/>
          <w:highlight w:val="none"/>
        </w:rPr>
        <w:t>10.</w:t>
      </w:r>
      <w:r>
        <w:rPr>
          <w:color w:val="auto"/>
          <w:highlight w:val="none"/>
        </w:rPr>
        <w:t>2</w:t>
      </w:r>
      <w:r>
        <w:rPr>
          <w:rFonts w:hint="eastAsia"/>
          <w:color w:val="auto"/>
          <w:highlight w:val="none"/>
        </w:rPr>
        <w:t xml:space="preserve"> 中标人的投标文件</w:t>
      </w:r>
      <w:r>
        <w:rPr>
          <w:color w:val="auto"/>
        </w:rPr>
        <w:tab/>
      </w:r>
      <w:r>
        <w:rPr>
          <w:color w:val="auto"/>
        </w:rPr>
        <w:fldChar w:fldCharType="begin"/>
      </w:r>
      <w:r>
        <w:rPr>
          <w:color w:val="auto"/>
        </w:rPr>
        <w:instrText xml:space="preserve"> PAGEREF _Toc3977 \h </w:instrText>
      </w:r>
      <w:r>
        <w:rPr>
          <w:color w:val="auto"/>
        </w:rPr>
        <w:fldChar w:fldCharType="separate"/>
      </w:r>
      <w:r>
        <w:rPr>
          <w:color w:val="auto"/>
        </w:rPr>
        <w:t>30</w:t>
      </w:r>
      <w:r>
        <w:rPr>
          <w:color w:val="auto"/>
        </w:rPr>
        <w:fldChar w:fldCharType="end"/>
      </w:r>
      <w:r>
        <w:rPr>
          <w:rFonts w:eastAsia="宋体"/>
          <w:color w:val="auto"/>
        </w:rPr>
        <w:fldChar w:fldCharType="end"/>
      </w:r>
    </w:p>
    <w:p w14:paraId="25CEE408">
      <w:pPr>
        <w:pStyle w:val="11"/>
        <w:tabs>
          <w:tab w:val="right" w:leader="dot" w:pos="8306"/>
        </w:tabs>
        <w:rPr>
          <w:color w:val="auto"/>
        </w:rPr>
      </w:pPr>
      <w:r>
        <w:rPr>
          <w:rFonts w:eastAsia="宋体"/>
          <w:color w:val="auto"/>
        </w:rPr>
        <w:fldChar w:fldCharType="begin"/>
      </w:r>
      <w:r>
        <w:rPr>
          <w:rFonts w:eastAsia="宋体"/>
          <w:color w:val="auto"/>
        </w:rPr>
        <w:instrText xml:space="preserve"> HYPERLINK \l _Toc9501 </w:instrText>
      </w:r>
      <w:r>
        <w:rPr>
          <w:rFonts w:eastAsia="宋体"/>
          <w:color w:val="auto"/>
        </w:rPr>
        <w:fldChar w:fldCharType="separate"/>
      </w:r>
      <w:r>
        <w:rPr>
          <w:rFonts w:hint="eastAsia"/>
          <w:color w:val="auto"/>
          <w:highlight w:val="none"/>
        </w:rPr>
        <w:t>10.</w:t>
      </w:r>
      <w:r>
        <w:rPr>
          <w:color w:val="auto"/>
          <w:highlight w:val="none"/>
        </w:rPr>
        <w:t xml:space="preserve">3 </w:t>
      </w:r>
      <w:r>
        <w:rPr>
          <w:rFonts w:hint="eastAsia"/>
          <w:color w:val="auto"/>
          <w:highlight w:val="none"/>
        </w:rPr>
        <w:t>知识产权</w:t>
      </w:r>
      <w:r>
        <w:rPr>
          <w:color w:val="auto"/>
        </w:rPr>
        <w:tab/>
      </w:r>
      <w:r>
        <w:rPr>
          <w:color w:val="auto"/>
        </w:rPr>
        <w:fldChar w:fldCharType="begin"/>
      </w:r>
      <w:r>
        <w:rPr>
          <w:color w:val="auto"/>
        </w:rPr>
        <w:instrText xml:space="preserve"> PAGEREF _Toc9501 \h </w:instrText>
      </w:r>
      <w:r>
        <w:rPr>
          <w:color w:val="auto"/>
        </w:rPr>
        <w:fldChar w:fldCharType="separate"/>
      </w:r>
      <w:r>
        <w:rPr>
          <w:color w:val="auto"/>
        </w:rPr>
        <w:t>30</w:t>
      </w:r>
      <w:r>
        <w:rPr>
          <w:color w:val="auto"/>
        </w:rPr>
        <w:fldChar w:fldCharType="end"/>
      </w:r>
      <w:r>
        <w:rPr>
          <w:rFonts w:eastAsia="宋体"/>
          <w:color w:val="auto"/>
        </w:rPr>
        <w:fldChar w:fldCharType="end"/>
      </w:r>
    </w:p>
    <w:p w14:paraId="2CC15D4D">
      <w:pPr>
        <w:pStyle w:val="11"/>
        <w:tabs>
          <w:tab w:val="right" w:leader="dot" w:pos="8306"/>
        </w:tabs>
        <w:rPr>
          <w:color w:val="auto"/>
        </w:rPr>
      </w:pPr>
      <w:r>
        <w:rPr>
          <w:rFonts w:eastAsia="宋体"/>
          <w:color w:val="auto"/>
        </w:rPr>
        <w:fldChar w:fldCharType="begin"/>
      </w:r>
      <w:r>
        <w:rPr>
          <w:rFonts w:eastAsia="宋体"/>
          <w:color w:val="auto"/>
        </w:rPr>
        <w:instrText xml:space="preserve"> HYPERLINK \l _Toc13178 </w:instrText>
      </w:r>
      <w:r>
        <w:rPr>
          <w:rFonts w:eastAsia="宋体"/>
          <w:color w:val="auto"/>
        </w:rPr>
        <w:fldChar w:fldCharType="separate"/>
      </w:r>
      <w:r>
        <w:rPr>
          <w:rFonts w:hint="eastAsia"/>
          <w:color w:val="auto"/>
          <w:highlight w:val="none"/>
        </w:rPr>
        <w:t>10.</w:t>
      </w:r>
      <w:r>
        <w:rPr>
          <w:color w:val="auto"/>
          <w:highlight w:val="none"/>
        </w:rPr>
        <w:t xml:space="preserve">4 </w:t>
      </w:r>
      <w:r>
        <w:rPr>
          <w:rFonts w:hint="eastAsia"/>
          <w:color w:val="auto"/>
          <w:highlight w:val="none"/>
        </w:rPr>
        <w:t>同义词语</w:t>
      </w:r>
      <w:r>
        <w:rPr>
          <w:color w:val="auto"/>
        </w:rPr>
        <w:tab/>
      </w:r>
      <w:r>
        <w:rPr>
          <w:color w:val="auto"/>
        </w:rPr>
        <w:fldChar w:fldCharType="begin"/>
      </w:r>
      <w:r>
        <w:rPr>
          <w:color w:val="auto"/>
        </w:rPr>
        <w:instrText xml:space="preserve"> PAGEREF _Toc13178 \h </w:instrText>
      </w:r>
      <w:r>
        <w:rPr>
          <w:color w:val="auto"/>
        </w:rPr>
        <w:fldChar w:fldCharType="separate"/>
      </w:r>
      <w:r>
        <w:rPr>
          <w:color w:val="auto"/>
        </w:rPr>
        <w:t>30</w:t>
      </w:r>
      <w:r>
        <w:rPr>
          <w:color w:val="auto"/>
        </w:rPr>
        <w:fldChar w:fldCharType="end"/>
      </w:r>
      <w:r>
        <w:rPr>
          <w:rFonts w:eastAsia="宋体"/>
          <w:color w:val="auto"/>
        </w:rPr>
        <w:fldChar w:fldCharType="end"/>
      </w:r>
    </w:p>
    <w:p w14:paraId="524F7085">
      <w:pPr>
        <w:pStyle w:val="11"/>
        <w:tabs>
          <w:tab w:val="right" w:leader="dot" w:pos="8306"/>
        </w:tabs>
        <w:rPr>
          <w:color w:val="auto"/>
        </w:rPr>
      </w:pPr>
      <w:r>
        <w:rPr>
          <w:rFonts w:eastAsia="宋体"/>
          <w:color w:val="auto"/>
        </w:rPr>
        <w:fldChar w:fldCharType="begin"/>
      </w:r>
      <w:r>
        <w:rPr>
          <w:rFonts w:eastAsia="宋体"/>
          <w:color w:val="auto"/>
        </w:rPr>
        <w:instrText xml:space="preserve"> HYPERLINK \l _Toc18824 </w:instrText>
      </w:r>
      <w:r>
        <w:rPr>
          <w:rFonts w:eastAsia="宋体"/>
          <w:color w:val="auto"/>
        </w:rPr>
        <w:fldChar w:fldCharType="separate"/>
      </w:r>
      <w:r>
        <w:rPr>
          <w:rFonts w:hint="eastAsia"/>
          <w:color w:val="auto"/>
          <w:highlight w:val="none"/>
        </w:rPr>
        <w:t>10.</w:t>
      </w:r>
      <w:r>
        <w:rPr>
          <w:color w:val="auto"/>
          <w:highlight w:val="none"/>
        </w:rPr>
        <w:t>5</w:t>
      </w:r>
      <w:r>
        <w:rPr>
          <w:rFonts w:hint="eastAsia"/>
          <w:color w:val="auto"/>
          <w:highlight w:val="none"/>
        </w:rPr>
        <w:t xml:space="preserve"> 解释权</w:t>
      </w:r>
      <w:r>
        <w:rPr>
          <w:color w:val="auto"/>
        </w:rPr>
        <w:tab/>
      </w:r>
      <w:r>
        <w:rPr>
          <w:color w:val="auto"/>
        </w:rPr>
        <w:fldChar w:fldCharType="begin"/>
      </w:r>
      <w:r>
        <w:rPr>
          <w:color w:val="auto"/>
        </w:rPr>
        <w:instrText xml:space="preserve"> PAGEREF _Toc18824 \h </w:instrText>
      </w:r>
      <w:r>
        <w:rPr>
          <w:color w:val="auto"/>
        </w:rPr>
        <w:fldChar w:fldCharType="separate"/>
      </w:r>
      <w:r>
        <w:rPr>
          <w:color w:val="auto"/>
        </w:rPr>
        <w:t>30</w:t>
      </w:r>
      <w:r>
        <w:rPr>
          <w:color w:val="auto"/>
        </w:rPr>
        <w:fldChar w:fldCharType="end"/>
      </w:r>
      <w:r>
        <w:rPr>
          <w:rFonts w:eastAsia="宋体"/>
          <w:color w:val="auto"/>
        </w:rPr>
        <w:fldChar w:fldCharType="end"/>
      </w:r>
    </w:p>
    <w:p w14:paraId="72571E0A">
      <w:pPr>
        <w:pStyle w:val="11"/>
        <w:tabs>
          <w:tab w:val="right" w:leader="dot" w:pos="8306"/>
        </w:tabs>
        <w:rPr>
          <w:color w:val="auto"/>
        </w:rPr>
      </w:pPr>
      <w:r>
        <w:rPr>
          <w:rFonts w:eastAsia="宋体"/>
          <w:color w:val="auto"/>
        </w:rPr>
        <w:fldChar w:fldCharType="begin"/>
      </w:r>
      <w:r>
        <w:rPr>
          <w:rFonts w:eastAsia="宋体"/>
          <w:color w:val="auto"/>
        </w:rPr>
        <w:instrText xml:space="preserve"> HYPERLINK \l _Toc30879 </w:instrText>
      </w:r>
      <w:r>
        <w:rPr>
          <w:rFonts w:eastAsia="宋体"/>
          <w:color w:val="auto"/>
        </w:rPr>
        <w:fldChar w:fldCharType="separate"/>
      </w:r>
      <w:r>
        <w:rPr>
          <w:rFonts w:hint="eastAsia"/>
          <w:color w:val="auto"/>
          <w:highlight w:val="none"/>
        </w:rPr>
        <w:t>10.6 招标人补充的其他内容</w:t>
      </w:r>
      <w:r>
        <w:rPr>
          <w:color w:val="auto"/>
        </w:rPr>
        <w:tab/>
      </w:r>
      <w:r>
        <w:rPr>
          <w:color w:val="auto"/>
        </w:rPr>
        <w:fldChar w:fldCharType="begin"/>
      </w:r>
      <w:r>
        <w:rPr>
          <w:color w:val="auto"/>
        </w:rPr>
        <w:instrText xml:space="preserve"> PAGEREF _Toc30879 \h </w:instrText>
      </w:r>
      <w:r>
        <w:rPr>
          <w:color w:val="auto"/>
        </w:rPr>
        <w:fldChar w:fldCharType="separate"/>
      </w:r>
      <w:r>
        <w:rPr>
          <w:color w:val="auto"/>
        </w:rPr>
        <w:t>30</w:t>
      </w:r>
      <w:r>
        <w:rPr>
          <w:color w:val="auto"/>
        </w:rPr>
        <w:fldChar w:fldCharType="end"/>
      </w:r>
      <w:r>
        <w:rPr>
          <w:rFonts w:eastAsia="宋体"/>
          <w:color w:val="auto"/>
        </w:rPr>
        <w:fldChar w:fldCharType="end"/>
      </w:r>
    </w:p>
    <w:p w14:paraId="150CCFFA">
      <w:pPr>
        <w:pStyle w:val="17"/>
        <w:tabs>
          <w:tab w:val="right" w:leader="dot" w:pos="8306"/>
        </w:tabs>
        <w:rPr>
          <w:color w:val="auto"/>
        </w:rPr>
      </w:pPr>
      <w:r>
        <w:rPr>
          <w:rFonts w:eastAsia="宋体"/>
          <w:color w:val="auto"/>
        </w:rPr>
        <w:fldChar w:fldCharType="begin"/>
      </w:r>
      <w:r>
        <w:rPr>
          <w:rFonts w:eastAsia="宋体"/>
          <w:color w:val="auto"/>
        </w:rPr>
        <w:instrText xml:space="preserve"> HYPERLINK \l _Toc14730 </w:instrText>
      </w:r>
      <w:r>
        <w:rPr>
          <w:rFonts w:eastAsia="宋体"/>
          <w:color w:val="auto"/>
        </w:rPr>
        <w:fldChar w:fldCharType="separate"/>
      </w:r>
      <w:r>
        <w:rPr>
          <w:rFonts w:hint="eastAsia"/>
          <w:color w:val="auto"/>
          <w:szCs w:val="24"/>
          <w:highlight w:val="none"/>
        </w:rPr>
        <w:t>附表一：招标文件澄清申请函</w:t>
      </w:r>
      <w:r>
        <w:rPr>
          <w:color w:val="auto"/>
        </w:rPr>
        <w:tab/>
      </w:r>
      <w:r>
        <w:rPr>
          <w:color w:val="auto"/>
        </w:rPr>
        <w:fldChar w:fldCharType="begin"/>
      </w:r>
      <w:r>
        <w:rPr>
          <w:color w:val="auto"/>
        </w:rPr>
        <w:instrText xml:space="preserve"> PAGEREF _Toc14730 \h </w:instrText>
      </w:r>
      <w:r>
        <w:rPr>
          <w:color w:val="auto"/>
        </w:rPr>
        <w:fldChar w:fldCharType="separate"/>
      </w:r>
      <w:r>
        <w:rPr>
          <w:color w:val="auto"/>
        </w:rPr>
        <w:t>31</w:t>
      </w:r>
      <w:r>
        <w:rPr>
          <w:color w:val="auto"/>
        </w:rPr>
        <w:fldChar w:fldCharType="end"/>
      </w:r>
      <w:r>
        <w:rPr>
          <w:rFonts w:eastAsia="宋体"/>
          <w:color w:val="auto"/>
        </w:rPr>
        <w:fldChar w:fldCharType="end"/>
      </w:r>
    </w:p>
    <w:p w14:paraId="108998A3">
      <w:pPr>
        <w:pStyle w:val="17"/>
        <w:tabs>
          <w:tab w:val="right" w:leader="dot" w:pos="8306"/>
        </w:tabs>
        <w:rPr>
          <w:color w:val="auto"/>
        </w:rPr>
      </w:pPr>
      <w:r>
        <w:rPr>
          <w:rFonts w:eastAsia="宋体"/>
          <w:color w:val="auto"/>
        </w:rPr>
        <w:fldChar w:fldCharType="begin"/>
      </w:r>
      <w:r>
        <w:rPr>
          <w:rFonts w:eastAsia="宋体"/>
          <w:color w:val="auto"/>
        </w:rPr>
        <w:instrText xml:space="preserve"> HYPERLINK \l _Toc26215 </w:instrText>
      </w:r>
      <w:r>
        <w:rPr>
          <w:rFonts w:eastAsia="宋体"/>
          <w:color w:val="auto"/>
        </w:rPr>
        <w:fldChar w:fldCharType="separate"/>
      </w:r>
      <w:r>
        <w:rPr>
          <w:rFonts w:hint="eastAsia"/>
          <w:color w:val="auto"/>
          <w:szCs w:val="24"/>
          <w:highlight w:val="none"/>
        </w:rPr>
        <w:t>附表二：招标文件澄清通知</w:t>
      </w:r>
      <w:r>
        <w:rPr>
          <w:color w:val="auto"/>
        </w:rPr>
        <w:tab/>
      </w:r>
      <w:r>
        <w:rPr>
          <w:color w:val="auto"/>
        </w:rPr>
        <w:fldChar w:fldCharType="begin"/>
      </w:r>
      <w:r>
        <w:rPr>
          <w:color w:val="auto"/>
        </w:rPr>
        <w:instrText xml:space="preserve"> PAGEREF _Toc26215 \h </w:instrText>
      </w:r>
      <w:r>
        <w:rPr>
          <w:color w:val="auto"/>
        </w:rPr>
        <w:fldChar w:fldCharType="separate"/>
      </w:r>
      <w:r>
        <w:rPr>
          <w:color w:val="auto"/>
        </w:rPr>
        <w:t>32</w:t>
      </w:r>
      <w:r>
        <w:rPr>
          <w:color w:val="auto"/>
        </w:rPr>
        <w:fldChar w:fldCharType="end"/>
      </w:r>
      <w:r>
        <w:rPr>
          <w:rFonts w:eastAsia="宋体"/>
          <w:color w:val="auto"/>
        </w:rPr>
        <w:fldChar w:fldCharType="end"/>
      </w:r>
    </w:p>
    <w:p w14:paraId="5F3AD32F">
      <w:pPr>
        <w:pStyle w:val="17"/>
        <w:tabs>
          <w:tab w:val="right" w:leader="dot" w:pos="8306"/>
        </w:tabs>
        <w:rPr>
          <w:color w:val="auto"/>
        </w:rPr>
      </w:pPr>
      <w:r>
        <w:rPr>
          <w:rFonts w:eastAsia="宋体"/>
          <w:color w:val="auto"/>
        </w:rPr>
        <w:fldChar w:fldCharType="begin"/>
      </w:r>
      <w:r>
        <w:rPr>
          <w:rFonts w:eastAsia="宋体"/>
          <w:color w:val="auto"/>
        </w:rPr>
        <w:instrText xml:space="preserve"> HYPERLINK \l _Toc16998 </w:instrText>
      </w:r>
      <w:r>
        <w:rPr>
          <w:rFonts w:eastAsia="宋体"/>
          <w:color w:val="auto"/>
        </w:rPr>
        <w:fldChar w:fldCharType="separate"/>
      </w:r>
      <w:r>
        <w:rPr>
          <w:rFonts w:hint="eastAsia"/>
          <w:color w:val="auto"/>
          <w:szCs w:val="24"/>
          <w:highlight w:val="none"/>
        </w:rPr>
        <w:t>附表三：招标文件修改通知</w:t>
      </w:r>
      <w:r>
        <w:rPr>
          <w:color w:val="auto"/>
        </w:rPr>
        <w:tab/>
      </w:r>
      <w:r>
        <w:rPr>
          <w:color w:val="auto"/>
        </w:rPr>
        <w:fldChar w:fldCharType="begin"/>
      </w:r>
      <w:r>
        <w:rPr>
          <w:color w:val="auto"/>
        </w:rPr>
        <w:instrText xml:space="preserve"> PAGEREF _Toc16998 \h </w:instrText>
      </w:r>
      <w:r>
        <w:rPr>
          <w:color w:val="auto"/>
        </w:rPr>
        <w:fldChar w:fldCharType="separate"/>
      </w:r>
      <w:r>
        <w:rPr>
          <w:color w:val="auto"/>
        </w:rPr>
        <w:t>33</w:t>
      </w:r>
      <w:r>
        <w:rPr>
          <w:color w:val="auto"/>
        </w:rPr>
        <w:fldChar w:fldCharType="end"/>
      </w:r>
      <w:r>
        <w:rPr>
          <w:rFonts w:eastAsia="宋体"/>
          <w:color w:val="auto"/>
        </w:rPr>
        <w:fldChar w:fldCharType="end"/>
      </w:r>
    </w:p>
    <w:p w14:paraId="03560138">
      <w:pPr>
        <w:pStyle w:val="17"/>
        <w:tabs>
          <w:tab w:val="right" w:leader="dot" w:pos="8306"/>
        </w:tabs>
        <w:rPr>
          <w:color w:val="auto"/>
        </w:rPr>
      </w:pPr>
      <w:r>
        <w:rPr>
          <w:rFonts w:eastAsia="宋体"/>
          <w:color w:val="auto"/>
        </w:rPr>
        <w:fldChar w:fldCharType="begin"/>
      </w:r>
      <w:r>
        <w:rPr>
          <w:rFonts w:eastAsia="宋体"/>
          <w:color w:val="auto"/>
        </w:rPr>
        <w:instrText xml:space="preserve"> HYPERLINK \l _Toc12884 </w:instrText>
      </w:r>
      <w:r>
        <w:rPr>
          <w:rFonts w:eastAsia="宋体"/>
          <w:color w:val="auto"/>
        </w:rPr>
        <w:fldChar w:fldCharType="separate"/>
      </w:r>
      <w:r>
        <w:rPr>
          <w:rFonts w:hint="eastAsia"/>
          <w:color w:val="auto"/>
          <w:szCs w:val="24"/>
          <w:highlight w:val="none"/>
        </w:rPr>
        <w:t>附表四：投标文件递交电子签收凭证</w:t>
      </w:r>
      <w:r>
        <w:rPr>
          <w:color w:val="auto"/>
        </w:rPr>
        <w:tab/>
      </w:r>
      <w:r>
        <w:rPr>
          <w:color w:val="auto"/>
        </w:rPr>
        <w:fldChar w:fldCharType="begin"/>
      </w:r>
      <w:r>
        <w:rPr>
          <w:color w:val="auto"/>
        </w:rPr>
        <w:instrText xml:space="preserve"> PAGEREF _Toc12884 \h </w:instrText>
      </w:r>
      <w:r>
        <w:rPr>
          <w:color w:val="auto"/>
        </w:rPr>
        <w:fldChar w:fldCharType="separate"/>
      </w:r>
      <w:r>
        <w:rPr>
          <w:color w:val="auto"/>
        </w:rPr>
        <w:t>34</w:t>
      </w:r>
      <w:r>
        <w:rPr>
          <w:color w:val="auto"/>
        </w:rPr>
        <w:fldChar w:fldCharType="end"/>
      </w:r>
      <w:r>
        <w:rPr>
          <w:rFonts w:eastAsia="宋体"/>
          <w:color w:val="auto"/>
        </w:rPr>
        <w:fldChar w:fldCharType="end"/>
      </w:r>
    </w:p>
    <w:p w14:paraId="2016231B">
      <w:pPr>
        <w:pStyle w:val="17"/>
        <w:tabs>
          <w:tab w:val="right" w:leader="dot" w:pos="8306"/>
        </w:tabs>
        <w:rPr>
          <w:color w:val="auto"/>
        </w:rPr>
      </w:pPr>
      <w:r>
        <w:rPr>
          <w:rFonts w:eastAsia="宋体"/>
          <w:color w:val="auto"/>
        </w:rPr>
        <w:fldChar w:fldCharType="begin"/>
      </w:r>
      <w:r>
        <w:rPr>
          <w:rFonts w:eastAsia="宋体"/>
          <w:color w:val="auto"/>
        </w:rPr>
        <w:instrText xml:space="preserve"> HYPERLINK \l _Toc5049 </w:instrText>
      </w:r>
      <w:r>
        <w:rPr>
          <w:rFonts w:eastAsia="宋体"/>
          <w:color w:val="auto"/>
        </w:rPr>
        <w:fldChar w:fldCharType="separate"/>
      </w:r>
      <w:r>
        <w:rPr>
          <w:rFonts w:hint="eastAsia"/>
          <w:color w:val="auto"/>
          <w:szCs w:val="24"/>
          <w:highlight w:val="none"/>
        </w:rPr>
        <w:t>附表五：开标记录表</w:t>
      </w:r>
      <w:r>
        <w:rPr>
          <w:color w:val="auto"/>
        </w:rPr>
        <w:tab/>
      </w:r>
      <w:r>
        <w:rPr>
          <w:color w:val="auto"/>
        </w:rPr>
        <w:fldChar w:fldCharType="begin"/>
      </w:r>
      <w:r>
        <w:rPr>
          <w:color w:val="auto"/>
        </w:rPr>
        <w:instrText xml:space="preserve"> PAGEREF _Toc5049 \h </w:instrText>
      </w:r>
      <w:r>
        <w:rPr>
          <w:color w:val="auto"/>
        </w:rPr>
        <w:fldChar w:fldCharType="separate"/>
      </w:r>
      <w:r>
        <w:rPr>
          <w:color w:val="auto"/>
        </w:rPr>
        <w:t>35</w:t>
      </w:r>
      <w:r>
        <w:rPr>
          <w:color w:val="auto"/>
        </w:rPr>
        <w:fldChar w:fldCharType="end"/>
      </w:r>
      <w:r>
        <w:rPr>
          <w:rFonts w:eastAsia="宋体"/>
          <w:color w:val="auto"/>
        </w:rPr>
        <w:fldChar w:fldCharType="end"/>
      </w:r>
    </w:p>
    <w:p w14:paraId="7FC62EEB">
      <w:pPr>
        <w:pStyle w:val="17"/>
        <w:tabs>
          <w:tab w:val="right" w:leader="dot" w:pos="8306"/>
        </w:tabs>
        <w:rPr>
          <w:color w:val="auto"/>
        </w:rPr>
      </w:pPr>
      <w:r>
        <w:rPr>
          <w:rFonts w:eastAsia="宋体"/>
          <w:color w:val="auto"/>
        </w:rPr>
        <w:fldChar w:fldCharType="begin"/>
      </w:r>
      <w:r>
        <w:rPr>
          <w:rFonts w:eastAsia="宋体"/>
          <w:color w:val="auto"/>
        </w:rPr>
        <w:instrText xml:space="preserve"> HYPERLINK \l _Toc25897 </w:instrText>
      </w:r>
      <w:r>
        <w:rPr>
          <w:rFonts w:eastAsia="宋体"/>
          <w:color w:val="auto"/>
        </w:rPr>
        <w:fldChar w:fldCharType="separate"/>
      </w:r>
      <w:r>
        <w:rPr>
          <w:rFonts w:hint="eastAsia"/>
          <w:color w:val="auto"/>
          <w:szCs w:val="24"/>
          <w:highlight w:val="none"/>
        </w:rPr>
        <w:t>附表六：投标文件问题澄清通知</w:t>
      </w:r>
      <w:r>
        <w:rPr>
          <w:color w:val="auto"/>
        </w:rPr>
        <w:tab/>
      </w:r>
      <w:r>
        <w:rPr>
          <w:color w:val="auto"/>
        </w:rPr>
        <w:fldChar w:fldCharType="begin"/>
      </w:r>
      <w:r>
        <w:rPr>
          <w:color w:val="auto"/>
        </w:rPr>
        <w:instrText xml:space="preserve"> PAGEREF _Toc25897 \h </w:instrText>
      </w:r>
      <w:r>
        <w:rPr>
          <w:color w:val="auto"/>
        </w:rPr>
        <w:fldChar w:fldCharType="separate"/>
      </w:r>
      <w:r>
        <w:rPr>
          <w:color w:val="auto"/>
        </w:rPr>
        <w:t>36</w:t>
      </w:r>
      <w:r>
        <w:rPr>
          <w:color w:val="auto"/>
        </w:rPr>
        <w:fldChar w:fldCharType="end"/>
      </w:r>
      <w:r>
        <w:rPr>
          <w:rFonts w:eastAsia="宋体"/>
          <w:color w:val="auto"/>
        </w:rPr>
        <w:fldChar w:fldCharType="end"/>
      </w:r>
    </w:p>
    <w:p w14:paraId="14D9DFAF">
      <w:pPr>
        <w:pStyle w:val="17"/>
        <w:tabs>
          <w:tab w:val="right" w:leader="dot" w:pos="8306"/>
        </w:tabs>
        <w:rPr>
          <w:color w:val="auto"/>
        </w:rPr>
      </w:pPr>
      <w:r>
        <w:rPr>
          <w:rFonts w:eastAsia="宋体"/>
          <w:color w:val="auto"/>
        </w:rPr>
        <w:fldChar w:fldCharType="begin"/>
      </w:r>
      <w:r>
        <w:rPr>
          <w:rFonts w:eastAsia="宋体"/>
          <w:color w:val="auto"/>
        </w:rPr>
        <w:instrText xml:space="preserve"> HYPERLINK \l _Toc13422 </w:instrText>
      </w:r>
      <w:r>
        <w:rPr>
          <w:rFonts w:eastAsia="宋体"/>
          <w:color w:val="auto"/>
        </w:rPr>
        <w:fldChar w:fldCharType="separate"/>
      </w:r>
      <w:r>
        <w:rPr>
          <w:rFonts w:hint="eastAsia"/>
          <w:color w:val="auto"/>
          <w:szCs w:val="24"/>
          <w:highlight w:val="none"/>
        </w:rPr>
        <w:t>附表七：投标文件问题的澄清</w:t>
      </w:r>
      <w:r>
        <w:rPr>
          <w:color w:val="auto"/>
        </w:rPr>
        <w:tab/>
      </w:r>
      <w:r>
        <w:rPr>
          <w:color w:val="auto"/>
        </w:rPr>
        <w:fldChar w:fldCharType="begin"/>
      </w:r>
      <w:r>
        <w:rPr>
          <w:color w:val="auto"/>
        </w:rPr>
        <w:instrText xml:space="preserve"> PAGEREF _Toc13422 \h </w:instrText>
      </w:r>
      <w:r>
        <w:rPr>
          <w:color w:val="auto"/>
        </w:rPr>
        <w:fldChar w:fldCharType="separate"/>
      </w:r>
      <w:r>
        <w:rPr>
          <w:color w:val="auto"/>
        </w:rPr>
        <w:t>37</w:t>
      </w:r>
      <w:r>
        <w:rPr>
          <w:color w:val="auto"/>
        </w:rPr>
        <w:fldChar w:fldCharType="end"/>
      </w:r>
      <w:r>
        <w:rPr>
          <w:rFonts w:eastAsia="宋体"/>
          <w:color w:val="auto"/>
        </w:rPr>
        <w:fldChar w:fldCharType="end"/>
      </w:r>
    </w:p>
    <w:p w14:paraId="38BD7E15">
      <w:pPr>
        <w:pStyle w:val="17"/>
        <w:tabs>
          <w:tab w:val="right" w:leader="dot" w:pos="8306"/>
        </w:tabs>
        <w:rPr>
          <w:color w:val="auto"/>
        </w:rPr>
      </w:pPr>
      <w:r>
        <w:rPr>
          <w:rFonts w:eastAsia="宋体"/>
          <w:color w:val="auto"/>
        </w:rPr>
        <w:fldChar w:fldCharType="begin"/>
      </w:r>
      <w:r>
        <w:rPr>
          <w:rFonts w:eastAsia="宋体"/>
          <w:color w:val="auto"/>
        </w:rPr>
        <w:instrText xml:space="preserve"> HYPERLINK \l _Toc20114 </w:instrText>
      </w:r>
      <w:r>
        <w:rPr>
          <w:rFonts w:eastAsia="宋体"/>
          <w:color w:val="auto"/>
        </w:rPr>
        <w:fldChar w:fldCharType="separate"/>
      </w:r>
      <w:r>
        <w:rPr>
          <w:rFonts w:hint="eastAsia"/>
          <w:color w:val="auto"/>
          <w:szCs w:val="24"/>
          <w:highlight w:val="none"/>
        </w:rPr>
        <w:t>附表八：中标通知书</w:t>
      </w:r>
      <w:r>
        <w:rPr>
          <w:color w:val="auto"/>
        </w:rPr>
        <w:tab/>
      </w:r>
      <w:r>
        <w:rPr>
          <w:color w:val="auto"/>
        </w:rPr>
        <w:fldChar w:fldCharType="begin"/>
      </w:r>
      <w:r>
        <w:rPr>
          <w:color w:val="auto"/>
        </w:rPr>
        <w:instrText xml:space="preserve"> PAGEREF _Toc20114 \h </w:instrText>
      </w:r>
      <w:r>
        <w:rPr>
          <w:color w:val="auto"/>
        </w:rPr>
        <w:fldChar w:fldCharType="separate"/>
      </w:r>
      <w:r>
        <w:rPr>
          <w:color w:val="auto"/>
        </w:rPr>
        <w:t>38</w:t>
      </w:r>
      <w:r>
        <w:rPr>
          <w:color w:val="auto"/>
        </w:rPr>
        <w:fldChar w:fldCharType="end"/>
      </w:r>
      <w:r>
        <w:rPr>
          <w:rFonts w:eastAsia="宋体"/>
          <w:color w:val="auto"/>
        </w:rPr>
        <w:fldChar w:fldCharType="end"/>
      </w:r>
    </w:p>
    <w:p w14:paraId="133D124C">
      <w:pPr>
        <w:pStyle w:val="17"/>
        <w:tabs>
          <w:tab w:val="right" w:leader="dot" w:pos="8306"/>
        </w:tabs>
        <w:rPr>
          <w:color w:val="auto"/>
        </w:rPr>
      </w:pPr>
      <w:r>
        <w:rPr>
          <w:rFonts w:eastAsia="宋体"/>
          <w:color w:val="auto"/>
        </w:rPr>
        <w:fldChar w:fldCharType="begin"/>
      </w:r>
      <w:r>
        <w:rPr>
          <w:rFonts w:eastAsia="宋体"/>
          <w:color w:val="auto"/>
        </w:rPr>
        <w:instrText xml:space="preserve"> HYPERLINK \l _Toc12354 </w:instrText>
      </w:r>
      <w:r>
        <w:rPr>
          <w:rFonts w:eastAsia="宋体"/>
          <w:color w:val="auto"/>
        </w:rPr>
        <w:fldChar w:fldCharType="separate"/>
      </w:r>
      <w:r>
        <w:rPr>
          <w:rFonts w:hint="eastAsia"/>
          <w:color w:val="auto"/>
          <w:szCs w:val="24"/>
          <w:highlight w:val="none"/>
        </w:rPr>
        <w:t>附表九：中标结果通知书</w:t>
      </w:r>
      <w:r>
        <w:rPr>
          <w:color w:val="auto"/>
        </w:rPr>
        <w:tab/>
      </w:r>
      <w:r>
        <w:rPr>
          <w:color w:val="auto"/>
        </w:rPr>
        <w:fldChar w:fldCharType="begin"/>
      </w:r>
      <w:r>
        <w:rPr>
          <w:color w:val="auto"/>
        </w:rPr>
        <w:instrText xml:space="preserve"> PAGEREF _Toc12354 \h </w:instrText>
      </w:r>
      <w:r>
        <w:rPr>
          <w:color w:val="auto"/>
        </w:rPr>
        <w:fldChar w:fldCharType="separate"/>
      </w:r>
      <w:r>
        <w:rPr>
          <w:color w:val="auto"/>
        </w:rPr>
        <w:t>39</w:t>
      </w:r>
      <w:r>
        <w:rPr>
          <w:color w:val="auto"/>
        </w:rPr>
        <w:fldChar w:fldCharType="end"/>
      </w:r>
      <w:r>
        <w:rPr>
          <w:rFonts w:eastAsia="宋体"/>
          <w:color w:val="auto"/>
        </w:rPr>
        <w:fldChar w:fldCharType="end"/>
      </w:r>
    </w:p>
    <w:p w14:paraId="7EED20DD">
      <w:pPr>
        <w:pStyle w:val="17"/>
        <w:tabs>
          <w:tab w:val="right" w:leader="dot" w:pos="8306"/>
        </w:tabs>
        <w:rPr>
          <w:color w:val="auto"/>
        </w:rPr>
      </w:pPr>
      <w:r>
        <w:rPr>
          <w:rFonts w:eastAsia="宋体"/>
          <w:color w:val="auto"/>
        </w:rPr>
        <w:fldChar w:fldCharType="begin"/>
      </w:r>
      <w:r>
        <w:rPr>
          <w:rFonts w:eastAsia="宋体"/>
          <w:color w:val="auto"/>
        </w:rPr>
        <w:instrText xml:space="preserve"> HYPERLINK \l _Toc25355 </w:instrText>
      </w:r>
      <w:r>
        <w:rPr>
          <w:rFonts w:eastAsia="宋体"/>
          <w:color w:val="auto"/>
        </w:rPr>
        <w:fldChar w:fldCharType="separate"/>
      </w:r>
      <w:r>
        <w:rPr>
          <w:rFonts w:hint="eastAsia"/>
          <w:color w:val="auto"/>
          <w:szCs w:val="24"/>
          <w:highlight w:val="none"/>
        </w:rPr>
        <w:t>附表十：异议书</w:t>
      </w:r>
      <w:r>
        <w:rPr>
          <w:color w:val="auto"/>
        </w:rPr>
        <w:tab/>
      </w:r>
      <w:r>
        <w:rPr>
          <w:color w:val="auto"/>
        </w:rPr>
        <w:fldChar w:fldCharType="begin"/>
      </w:r>
      <w:r>
        <w:rPr>
          <w:color w:val="auto"/>
        </w:rPr>
        <w:instrText xml:space="preserve"> PAGEREF _Toc25355 \h </w:instrText>
      </w:r>
      <w:r>
        <w:rPr>
          <w:color w:val="auto"/>
        </w:rPr>
        <w:fldChar w:fldCharType="separate"/>
      </w:r>
      <w:r>
        <w:rPr>
          <w:color w:val="auto"/>
        </w:rPr>
        <w:t>40</w:t>
      </w:r>
      <w:r>
        <w:rPr>
          <w:color w:val="auto"/>
        </w:rPr>
        <w:fldChar w:fldCharType="end"/>
      </w:r>
      <w:r>
        <w:rPr>
          <w:rFonts w:eastAsia="宋体"/>
          <w:color w:val="auto"/>
        </w:rPr>
        <w:fldChar w:fldCharType="end"/>
      </w:r>
    </w:p>
    <w:p w14:paraId="692516B9">
      <w:pPr>
        <w:pStyle w:val="17"/>
        <w:tabs>
          <w:tab w:val="right" w:leader="dot" w:pos="8306"/>
        </w:tabs>
        <w:rPr>
          <w:color w:val="auto"/>
        </w:rPr>
      </w:pPr>
      <w:r>
        <w:rPr>
          <w:rFonts w:eastAsia="宋体"/>
          <w:color w:val="auto"/>
        </w:rPr>
        <w:fldChar w:fldCharType="begin"/>
      </w:r>
      <w:r>
        <w:rPr>
          <w:rFonts w:eastAsia="宋体"/>
          <w:color w:val="auto"/>
        </w:rPr>
        <w:instrText xml:space="preserve"> HYPERLINK \l _Toc19087 </w:instrText>
      </w:r>
      <w:r>
        <w:rPr>
          <w:rFonts w:eastAsia="宋体"/>
          <w:color w:val="auto"/>
        </w:rPr>
        <w:fldChar w:fldCharType="separate"/>
      </w:r>
      <w:r>
        <w:rPr>
          <w:rFonts w:hint="eastAsia"/>
          <w:color w:val="auto"/>
          <w:szCs w:val="24"/>
          <w:highlight w:val="none"/>
        </w:rPr>
        <w:t>附表十一：异议答复函</w:t>
      </w:r>
      <w:r>
        <w:rPr>
          <w:color w:val="auto"/>
        </w:rPr>
        <w:tab/>
      </w:r>
      <w:r>
        <w:rPr>
          <w:color w:val="auto"/>
        </w:rPr>
        <w:fldChar w:fldCharType="begin"/>
      </w:r>
      <w:r>
        <w:rPr>
          <w:color w:val="auto"/>
        </w:rPr>
        <w:instrText xml:space="preserve"> PAGEREF _Toc19087 \h </w:instrText>
      </w:r>
      <w:r>
        <w:rPr>
          <w:color w:val="auto"/>
        </w:rPr>
        <w:fldChar w:fldCharType="separate"/>
      </w:r>
      <w:r>
        <w:rPr>
          <w:color w:val="auto"/>
        </w:rPr>
        <w:t>41</w:t>
      </w:r>
      <w:r>
        <w:rPr>
          <w:color w:val="auto"/>
        </w:rPr>
        <w:fldChar w:fldCharType="end"/>
      </w:r>
      <w:r>
        <w:rPr>
          <w:rFonts w:eastAsia="宋体"/>
          <w:color w:val="auto"/>
        </w:rPr>
        <w:fldChar w:fldCharType="end"/>
      </w:r>
    </w:p>
    <w:p w14:paraId="6F663DF3">
      <w:pPr>
        <w:pStyle w:val="15"/>
        <w:tabs>
          <w:tab w:val="right" w:leader="dot" w:pos="8306"/>
        </w:tabs>
        <w:rPr>
          <w:color w:val="auto"/>
        </w:rPr>
      </w:pPr>
      <w:r>
        <w:rPr>
          <w:rFonts w:eastAsia="宋体"/>
          <w:color w:val="auto"/>
        </w:rPr>
        <w:fldChar w:fldCharType="begin"/>
      </w:r>
      <w:r>
        <w:rPr>
          <w:rFonts w:eastAsia="宋体"/>
          <w:color w:val="auto"/>
        </w:rPr>
        <w:instrText xml:space="preserve"> HYPERLINK \l _Toc15897 </w:instrText>
      </w:r>
      <w:r>
        <w:rPr>
          <w:rFonts w:eastAsia="宋体"/>
          <w:color w:val="auto"/>
        </w:rPr>
        <w:fldChar w:fldCharType="separate"/>
      </w:r>
      <w:r>
        <w:rPr>
          <w:rFonts w:ascii="黑体" w:hAnsi="黑体" w:eastAsia="黑体"/>
          <w:bCs w:val="0"/>
          <w:color w:val="auto"/>
        </w:rPr>
        <w:t>第三章</w:t>
      </w:r>
      <w:r>
        <w:rPr>
          <w:rFonts w:hint="eastAsia" w:ascii="黑体" w:hAnsi="黑体" w:eastAsia="黑体"/>
          <w:bCs w:val="0"/>
          <w:color w:val="auto"/>
        </w:rPr>
        <w:t xml:space="preserve"> </w:t>
      </w:r>
      <w:r>
        <w:rPr>
          <w:rFonts w:hint="eastAsia" w:ascii="黑体" w:hAnsi="黑体" w:eastAsia="黑体"/>
          <w:bCs w:val="0"/>
          <w:color w:val="auto"/>
          <w:lang w:val="en-US" w:eastAsia="zh-CN"/>
        </w:rPr>
        <w:t xml:space="preserve"> </w:t>
      </w:r>
      <w:r>
        <w:rPr>
          <w:rFonts w:ascii="黑体" w:hAnsi="黑体" w:eastAsia="黑体"/>
          <w:bCs w:val="0"/>
          <w:color w:val="auto"/>
        </w:rPr>
        <w:t>评标办法</w:t>
      </w:r>
      <w:r>
        <w:rPr>
          <w:color w:val="auto"/>
        </w:rPr>
        <w:tab/>
      </w:r>
      <w:r>
        <w:rPr>
          <w:color w:val="auto"/>
        </w:rPr>
        <w:fldChar w:fldCharType="begin"/>
      </w:r>
      <w:r>
        <w:rPr>
          <w:color w:val="auto"/>
        </w:rPr>
        <w:instrText xml:space="preserve"> PAGEREF _Toc15897 \h </w:instrText>
      </w:r>
      <w:r>
        <w:rPr>
          <w:color w:val="auto"/>
        </w:rPr>
        <w:fldChar w:fldCharType="separate"/>
      </w:r>
      <w:r>
        <w:rPr>
          <w:color w:val="auto"/>
        </w:rPr>
        <w:t>42</w:t>
      </w:r>
      <w:r>
        <w:rPr>
          <w:color w:val="auto"/>
        </w:rPr>
        <w:fldChar w:fldCharType="end"/>
      </w:r>
      <w:r>
        <w:rPr>
          <w:rFonts w:eastAsia="宋体"/>
          <w:color w:val="auto"/>
        </w:rPr>
        <w:fldChar w:fldCharType="end"/>
      </w:r>
    </w:p>
    <w:p w14:paraId="3EFBBB8B">
      <w:pPr>
        <w:pStyle w:val="17"/>
        <w:tabs>
          <w:tab w:val="right" w:leader="dot" w:pos="8306"/>
        </w:tabs>
        <w:rPr>
          <w:color w:val="auto"/>
        </w:rPr>
      </w:pPr>
      <w:r>
        <w:rPr>
          <w:rFonts w:eastAsia="宋体"/>
          <w:color w:val="auto"/>
        </w:rPr>
        <w:fldChar w:fldCharType="begin"/>
      </w:r>
      <w:r>
        <w:rPr>
          <w:rFonts w:eastAsia="宋体"/>
          <w:color w:val="auto"/>
        </w:rPr>
        <w:instrText xml:space="preserve"> HYPERLINK \l _Toc10285 </w:instrText>
      </w:r>
      <w:r>
        <w:rPr>
          <w:rFonts w:eastAsia="宋体"/>
          <w:color w:val="auto"/>
        </w:rPr>
        <w:fldChar w:fldCharType="separate"/>
      </w:r>
      <w:r>
        <w:rPr>
          <w:rFonts w:hint="eastAsia"/>
          <w:color w:val="auto"/>
          <w:highlight w:val="none"/>
        </w:rPr>
        <w:t>评标办法前附表（综合评估法）</w:t>
      </w:r>
      <w:r>
        <w:rPr>
          <w:color w:val="auto"/>
        </w:rPr>
        <w:tab/>
      </w:r>
      <w:r>
        <w:rPr>
          <w:color w:val="auto"/>
        </w:rPr>
        <w:fldChar w:fldCharType="begin"/>
      </w:r>
      <w:r>
        <w:rPr>
          <w:color w:val="auto"/>
        </w:rPr>
        <w:instrText xml:space="preserve"> PAGEREF _Toc10285 \h </w:instrText>
      </w:r>
      <w:r>
        <w:rPr>
          <w:color w:val="auto"/>
        </w:rPr>
        <w:fldChar w:fldCharType="separate"/>
      </w:r>
      <w:r>
        <w:rPr>
          <w:color w:val="auto"/>
        </w:rPr>
        <w:t>43</w:t>
      </w:r>
      <w:r>
        <w:rPr>
          <w:color w:val="auto"/>
        </w:rPr>
        <w:fldChar w:fldCharType="end"/>
      </w:r>
      <w:r>
        <w:rPr>
          <w:rFonts w:eastAsia="宋体"/>
          <w:color w:val="auto"/>
        </w:rPr>
        <w:fldChar w:fldCharType="end"/>
      </w:r>
    </w:p>
    <w:p w14:paraId="2B08D812">
      <w:pPr>
        <w:pStyle w:val="17"/>
        <w:tabs>
          <w:tab w:val="right" w:leader="dot" w:pos="8306"/>
        </w:tabs>
        <w:rPr>
          <w:color w:val="auto"/>
        </w:rPr>
      </w:pPr>
      <w:r>
        <w:rPr>
          <w:rFonts w:eastAsia="宋体"/>
          <w:color w:val="auto"/>
        </w:rPr>
        <w:fldChar w:fldCharType="begin"/>
      </w:r>
      <w:r>
        <w:rPr>
          <w:rFonts w:eastAsia="宋体"/>
          <w:color w:val="auto"/>
        </w:rPr>
        <w:instrText xml:space="preserve"> HYPERLINK \l _Toc4869 </w:instrText>
      </w:r>
      <w:r>
        <w:rPr>
          <w:rFonts w:eastAsia="宋体"/>
          <w:color w:val="auto"/>
        </w:rPr>
        <w:fldChar w:fldCharType="separate"/>
      </w:r>
      <w:r>
        <w:rPr>
          <w:rFonts w:hint="eastAsia"/>
          <w:color w:val="auto"/>
        </w:rPr>
        <w:t>评标办法正文部分</w:t>
      </w:r>
      <w:r>
        <w:rPr>
          <w:color w:val="auto"/>
        </w:rPr>
        <w:tab/>
      </w:r>
      <w:r>
        <w:rPr>
          <w:color w:val="auto"/>
        </w:rPr>
        <w:fldChar w:fldCharType="begin"/>
      </w:r>
      <w:r>
        <w:rPr>
          <w:color w:val="auto"/>
        </w:rPr>
        <w:instrText xml:space="preserve"> PAGEREF _Toc4869 \h </w:instrText>
      </w:r>
      <w:r>
        <w:rPr>
          <w:color w:val="auto"/>
        </w:rPr>
        <w:fldChar w:fldCharType="separate"/>
      </w:r>
      <w:r>
        <w:rPr>
          <w:color w:val="auto"/>
        </w:rPr>
        <w:t>48</w:t>
      </w:r>
      <w:r>
        <w:rPr>
          <w:color w:val="auto"/>
        </w:rPr>
        <w:fldChar w:fldCharType="end"/>
      </w:r>
      <w:r>
        <w:rPr>
          <w:rFonts w:eastAsia="宋体"/>
          <w:color w:val="auto"/>
        </w:rPr>
        <w:fldChar w:fldCharType="end"/>
      </w:r>
    </w:p>
    <w:p w14:paraId="2C66AA19">
      <w:pPr>
        <w:pStyle w:val="17"/>
        <w:tabs>
          <w:tab w:val="right" w:leader="dot" w:pos="8306"/>
        </w:tabs>
        <w:rPr>
          <w:color w:val="auto"/>
        </w:rPr>
      </w:pPr>
      <w:r>
        <w:rPr>
          <w:rFonts w:eastAsia="宋体"/>
          <w:color w:val="auto"/>
        </w:rPr>
        <w:fldChar w:fldCharType="begin"/>
      </w:r>
      <w:r>
        <w:rPr>
          <w:rFonts w:eastAsia="宋体"/>
          <w:color w:val="auto"/>
        </w:rPr>
        <w:instrText xml:space="preserve"> HYPERLINK \l _Toc12723 </w:instrText>
      </w:r>
      <w:r>
        <w:rPr>
          <w:rFonts w:eastAsia="宋体"/>
          <w:color w:val="auto"/>
        </w:rPr>
        <w:fldChar w:fldCharType="separate"/>
      </w:r>
      <w:r>
        <w:rPr>
          <w:rFonts w:hint="eastAsia"/>
          <w:color w:val="auto"/>
        </w:rPr>
        <w:t>1. 评标方法</w:t>
      </w:r>
      <w:r>
        <w:rPr>
          <w:color w:val="auto"/>
        </w:rPr>
        <w:tab/>
      </w:r>
      <w:r>
        <w:rPr>
          <w:color w:val="auto"/>
        </w:rPr>
        <w:fldChar w:fldCharType="begin"/>
      </w:r>
      <w:r>
        <w:rPr>
          <w:color w:val="auto"/>
        </w:rPr>
        <w:instrText xml:space="preserve"> PAGEREF _Toc12723 \h </w:instrText>
      </w:r>
      <w:r>
        <w:rPr>
          <w:color w:val="auto"/>
        </w:rPr>
        <w:fldChar w:fldCharType="separate"/>
      </w:r>
      <w:r>
        <w:rPr>
          <w:color w:val="auto"/>
        </w:rPr>
        <w:t>48</w:t>
      </w:r>
      <w:r>
        <w:rPr>
          <w:color w:val="auto"/>
        </w:rPr>
        <w:fldChar w:fldCharType="end"/>
      </w:r>
      <w:r>
        <w:rPr>
          <w:rFonts w:eastAsia="宋体"/>
          <w:color w:val="auto"/>
        </w:rPr>
        <w:fldChar w:fldCharType="end"/>
      </w:r>
    </w:p>
    <w:p w14:paraId="7366DA3B">
      <w:pPr>
        <w:pStyle w:val="17"/>
        <w:tabs>
          <w:tab w:val="right" w:leader="dot" w:pos="8306"/>
        </w:tabs>
        <w:rPr>
          <w:color w:val="auto"/>
        </w:rPr>
      </w:pPr>
      <w:r>
        <w:rPr>
          <w:rFonts w:eastAsia="宋体"/>
          <w:color w:val="auto"/>
        </w:rPr>
        <w:fldChar w:fldCharType="begin"/>
      </w:r>
      <w:r>
        <w:rPr>
          <w:rFonts w:eastAsia="宋体"/>
          <w:color w:val="auto"/>
        </w:rPr>
        <w:instrText xml:space="preserve"> HYPERLINK \l _Toc26812 </w:instrText>
      </w:r>
      <w:r>
        <w:rPr>
          <w:rFonts w:eastAsia="宋体"/>
          <w:color w:val="auto"/>
        </w:rPr>
        <w:fldChar w:fldCharType="separate"/>
      </w:r>
      <w:r>
        <w:rPr>
          <w:rFonts w:hint="eastAsia"/>
          <w:color w:val="auto"/>
        </w:rPr>
        <w:t>2. 评审标准</w:t>
      </w:r>
      <w:r>
        <w:rPr>
          <w:color w:val="auto"/>
        </w:rPr>
        <w:tab/>
      </w:r>
      <w:r>
        <w:rPr>
          <w:color w:val="auto"/>
        </w:rPr>
        <w:fldChar w:fldCharType="begin"/>
      </w:r>
      <w:r>
        <w:rPr>
          <w:color w:val="auto"/>
        </w:rPr>
        <w:instrText xml:space="preserve"> PAGEREF _Toc26812 \h </w:instrText>
      </w:r>
      <w:r>
        <w:rPr>
          <w:color w:val="auto"/>
        </w:rPr>
        <w:fldChar w:fldCharType="separate"/>
      </w:r>
      <w:r>
        <w:rPr>
          <w:color w:val="auto"/>
        </w:rPr>
        <w:t>48</w:t>
      </w:r>
      <w:r>
        <w:rPr>
          <w:color w:val="auto"/>
        </w:rPr>
        <w:fldChar w:fldCharType="end"/>
      </w:r>
      <w:r>
        <w:rPr>
          <w:rFonts w:eastAsia="宋体"/>
          <w:color w:val="auto"/>
        </w:rPr>
        <w:fldChar w:fldCharType="end"/>
      </w:r>
    </w:p>
    <w:p w14:paraId="5BDFCE12">
      <w:pPr>
        <w:pStyle w:val="11"/>
        <w:tabs>
          <w:tab w:val="right" w:leader="dot" w:pos="8306"/>
        </w:tabs>
        <w:rPr>
          <w:color w:val="auto"/>
        </w:rPr>
      </w:pPr>
      <w:r>
        <w:rPr>
          <w:rFonts w:eastAsia="宋体"/>
          <w:color w:val="auto"/>
        </w:rPr>
        <w:fldChar w:fldCharType="begin"/>
      </w:r>
      <w:r>
        <w:rPr>
          <w:rFonts w:eastAsia="宋体"/>
          <w:color w:val="auto"/>
        </w:rPr>
        <w:instrText xml:space="preserve"> HYPERLINK \l _Toc14424 </w:instrText>
      </w:r>
      <w:r>
        <w:rPr>
          <w:rFonts w:eastAsia="宋体"/>
          <w:color w:val="auto"/>
        </w:rPr>
        <w:fldChar w:fldCharType="separate"/>
      </w:r>
      <w:r>
        <w:rPr>
          <w:rFonts w:hint="eastAsia"/>
          <w:color w:val="auto"/>
        </w:rPr>
        <w:t>2.1 初步评审标准</w:t>
      </w:r>
      <w:r>
        <w:rPr>
          <w:color w:val="auto"/>
        </w:rPr>
        <w:tab/>
      </w:r>
      <w:r>
        <w:rPr>
          <w:color w:val="auto"/>
        </w:rPr>
        <w:fldChar w:fldCharType="begin"/>
      </w:r>
      <w:r>
        <w:rPr>
          <w:color w:val="auto"/>
        </w:rPr>
        <w:instrText xml:space="preserve"> PAGEREF _Toc14424 \h </w:instrText>
      </w:r>
      <w:r>
        <w:rPr>
          <w:color w:val="auto"/>
        </w:rPr>
        <w:fldChar w:fldCharType="separate"/>
      </w:r>
      <w:r>
        <w:rPr>
          <w:color w:val="auto"/>
        </w:rPr>
        <w:t>48</w:t>
      </w:r>
      <w:r>
        <w:rPr>
          <w:color w:val="auto"/>
        </w:rPr>
        <w:fldChar w:fldCharType="end"/>
      </w:r>
      <w:r>
        <w:rPr>
          <w:rFonts w:eastAsia="宋体"/>
          <w:color w:val="auto"/>
        </w:rPr>
        <w:fldChar w:fldCharType="end"/>
      </w:r>
    </w:p>
    <w:p w14:paraId="24679394">
      <w:pPr>
        <w:pStyle w:val="11"/>
        <w:tabs>
          <w:tab w:val="right" w:leader="dot" w:pos="8306"/>
        </w:tabs>
        <w:rPr>
          <w:color w:val="auto"/>
        </w:rPr>
      </w:pPr>
      <w:r>
        <w:rPr>
          <w:rFonts w:eastAsia="宋体"/>
          <w:color w:val="auto"/>
        </w:rPr>
        <w:fldChar w:fldCharType="begin"/>
      </w:r>
      <w:r>
        <w:rPr>
          <w:rFonts w:eastAsia="宋体"/>
          <w:color w:val="auto"/>
        </w:rPr>
        <w:instrText xml:space="preserve"> HYPERLINK \l _Toc8589 </w:instrText>
      </w:r>
      <w:r>
        <w:rPr>
          <w:rFonts w:eastAsia="宋体"/>
          <w:color w:val="auto"/>
        </w:rPr>
        <w:fldChar w:fldCharType="separate"/>
      </w:r>
      <w:r>
        <w:rPr>
          <w:rFonts w:hint="eastAsia"/>
          <w:color w:val="auto"/>
        </w:rPr>
        <w:t>2.2 分值构成与评分标准</w:t>
      </w:r>
      <w:r>
        <w:rPr>
          <w:color w:val="auto"/>
        </w:rPr>
        <w:tab/>
      </w:r>
      <w:r>
        <w:rPr>
          <w:color w:val="auto"/>
        </w:rPr>
        <w:fldChar w:fldCharType="begin"/>
      </w:r>
      <w:r>
        <w:rPr>
          <w:color w:val="auto"/>
        </w:rPr>
        <w:instrText xml:space="preserve"> PAGEREF _Toc8589 \h </w:instrText>
      </w:r>
      <w:r>
        <w:rPr>
          <w:color w:val="auto"/>
        </w:rPr>
        <w:fldChar w:fldCharType="separate"/>
      </w:r>
      <w:r>
        <w:rPr>
          <w:color w:val="auto"/>
        </w:rPr>
        <w:t>48</w:t>
      </w:r>
      <w:r>
        <w:rPr>
          <w:color w:val="auto"/>
        </w:rPr>
        <w:fldChar w:fldCharType="end"/>
      </w:r>
      <w:r>
        <w:rPr>
          <w:rFonts w:eastAsia="宋体"/>
          <w:color w:val="auto"/>
        </w:rPr>
        <w:fldChar w:fldCharType="end"/>
      </w:r>
    </w:p>
    <w:p w14:paraId="473A53C6">
      <w:pPr>
        <w:pStyle w:val="17"/>
        <w:tabs>
          <w:tab w:val="right" w:leader="dot" w:pos="8306"/>
        </w:tabs>
        <w:rPr>
          <w:color w:val="auto"/>
        </w:rPr>
      </w:pPr>
      <w:r>
        <w:rPr>
          <w:rFonts w:eastAsia="宋体"/>
          <w:color w:val="auto"/>
        </w:rPr>
        <w:fldChar w:fldCharType="begin"/>
      </w:r>
      <w:r>
        <w:rPr>
          <w:rFonts w:eastAsia="宋体"/>
          <w:color w:val="auto"/>
        </w:rPr>
        <w:instrText xml:space="preserve"> HYPERLINK \l _Toc31556 </w:instrText>
      </w:r>
      <w:r>
        <w:rPr>
          <w:rFonts w:eastAsia="宋体"/>
          <w:color w:val="auto"/>
        </w:rPr>
        <w:fldChar w:fldCharType="separate"/>
      </w:r>
      <w:r>
        <w:rPr>
          <w:rFonts w:hint="eastAsia"/>
          <w:color w:val="auto"/>
        </w:rPr>
        <w:t>3. 评标程序</w:t>
      </w:r>
      <w:r>
        <w:rPr>
          <w:color w:val="auto"/>
        </w:rPr>
        <w:tab/>
      </w:r>
      <w:r>
        <w:rPr>
          <w:color w:val="auto"/>
        </w:rPr>
        <w:fldChar w:fldCharType="begin"/>
      </w:r>
      <w:r>
        <w:rPr>
          <w:color w:val="auto"/>
        </w:rPr>
        <w:instrText xml:space="preserve"> PAGEREF _Toc31556 \h </w:instrText>
      </w:r>
      <w:r>
        <w:rPr>
          <w:color w:val="auto"/>
        </w:rPr>
        <w:fldChar w:fldCharType="separate"/>
      </w:r>
      <w:r>
        <w:rPr>
          <w:color w:val="auto"/>
        </w:rPr>
        <w:t>48</w:t>
      </w:r>
      <w:r>
        <w:rPr>
          <w:color w:val="auto"/>
        </w:rPr>
        <w:fldChar w:fldCharType="end"/>
      </w:r>
      <w:r>
        <w:rPr>
          <w:rFonts w:eastAsia="宋体"/>
          <w:color w:val="auto"/>
        </w:rPr>
        <w:fldChar w:fldCharType="end"/>
      </w:r>
    </w:p>
    <w:p w14:paraId="07073D57">
      <w:pPr>
        <w:pStyle w:val="11"/>
        <w:tabs>
          <w:tab w:val="right" w:leader="dot" w:pos="8306"/>
        </w:tabs>
        <w:rPr>
          <w:color w:val="auto"/>
        </w:rPr>
      </w:pPr>
      <w:r>
        <w:rPr>
          <w:rFonts w:eastAsia="宋体"/>
          <w:color w:val="auto"/>
        </w:rPr>
        <w:fldChar w:fldCharType="begin"/>
      </w:r>
      <w:r>
        <w:rPr>
          <w:rFonts w:eastAsia="宋体"/>
          <w:color w:val="auto"/>
        </w:rPr>
        <w:instrText xml:space="preserve"> HYPERLINK \l _Toc5581 </w:instrText>
      </w:r>
      <w:r>
        <w:rPr>
          <w:rFonts w:eastAsia="宋体"/>
          <w:color w:val="auto"/>
        </w:rPr>
        <w:fldChar w:fldCharType="separate"/>
      </w:r>
      <w:r>
        <w:rPr>
          <w:rFonts w:hint="eastAsia"/>
          <w:color w:val="auto"/>
        </w:rPr>
        <w:t>3.1 初步评审</w:t>
      </w:r>
      <w:r>
        <w:rPr>
          <w:color w:val="auto"/>
        </w:rPr>
        <w:tab/>
      </w:r>
      <w:r>
        <w:rPr>
          <w:color w:val="auto"/>
        </w:rPr>
        <w:fldChar w:fldCharType="begin"/>
      </w:r>
      <w:r>
        <w:rPr>
          <w:color w:val="auto"/>
        </w:rPr>
        <w:instrText xml:space="preserve"> PAGEREF _Toc5581 \h </w:instrText>
      </w:r>
      <w:r>
        <w:rPr>
          <w:color w:val="auto"/>
        </w:rPr>
        <w:fldChar w:fldCharType="separate"/>
      </w:r>
      <w:r>
        <w:rPr>
          <w:color w:val="auto"/>
        </w:rPr>
        <w:t>48</w:t>
      </w:r>
      <w:r>
        <w:rPr>
          <w:color w:val="auto"/>
        </w:rPr>
        <w:fldChar w:fldCharType="end"/>
      </w:r>
      <w:r>
        <w:rPr>
          <w:rFonts w:eastAsia="宋体"/>
          <w:color w:val="auto"/>
        </w:rPr>
        <w:fldChar w:fldCharType="end"/>
      </w:r>
    </w:p>
    <w:p w14:paraId="37A3B635">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_Toc22552 </w:instrText>
      </w:r>
      <w:r>
        <w:rPr>
          <w:rFonts w:eastAsia="宋体"/>
          <w:color w:val="auto"/>
        </w:rPr>
        <w:fldChar w:fldCharType="separate"/>
      </w:r>
      <w:r>
        <w:rPr>
          <w:rFonts w:hint="eastAsia"/>
          <w:color w:val="auto"/>
        </w:rPr>
        <w:t>3.2 详细评审</w:t>
      </w:r>
      <w:r>
        <w:rPr>
          <w:color w:val="auto"/>
        </w:rPr>
        <w:tab/>
      </w:r>
      <w:r>
        <w:rPr>
          <w:color w:val="auto"/>
        </w:rPr>
        <w:fldChar w:fldCharType="begin"/>
      </w:r>
      <w:r>
        <w:rPr>
          <w:color w:val="auto"/>
        </w:rPr>
        <w:instrText xml:space="preserve"> PAGEREF _Toc22552 \h </w:instrText>
      </w:r>
      <w:r>
        <w:rPr>
          <w:color w:val="auto"/>
        </w:rPr>
        <w:fldChar w:fldCharType="separate"/>
      </w:r>
      <w:r>
        <w:rPr>
          <w:color w:val="auto"/>
        </w:rPr>
        <w:t>49</w:t>
      </w:r>
      <w:r>
        <w:rPr>
          <w:color w:val="auto"/>
        </w:rPr>
        <w:fldChar w:fldCharType="end"/>
      </w:r>
      <w:r>
        <w:rPr>
          <w:rFonts w:eastAsia="宋体"/>
          <w:color w:val="auto"/>
        </w:rPr>
        <w:fldChar w:fldCharType="end"/>
      </w:r>
    </w:p>
    <w:p w14:paraId="17B24604">
      <w:pPr>
        <w:pStyle w:val="11"/>
        <w:tabs>
          <w:tab w:val="right" w:leader="dot" w:pos="8306"/>
        </w:tabs>
        <w:rPr>
          <w:color w:val="auto"/>
        </w:rPr>
      </w:pPr>
      <w:r>
        <w:rPr>
          <w:rFonts w:eastAsia="宋体"/>
          <w:color w:val="auto"/>
        </w:rPr>
        <w:fldChar w:fldCharType="begin"/>
      </w:r>
      <w:r>
        <w:rPr>
          <w:rFonts w:eastAsia="宋体"/>
          <w:color w:val="auto"/>
        </w:rPr>
        <w:instrText xml:space="preserve"> HYPERLINK \l _Toc175 </w:instrText>
      </w:r>
      <w:r>
        <w:rPr>
          <w:rFonts w:eastAsia="宋体"/>
          <w:color w:val="auto"/>
        </w:rPr>
        <w:fldChar w:fldCharType="separate"/>
      </w:r>
      <w:r>
        <w:rPr>
          <w:rFonts w:hint="eastAsia"/>
          <w:color w:val="auto"/>
        </w:rPr>
        <w:t>3.3 投标文件的澄清和补正</w:t>
      </w:r>
      <w:r>
        <w:rPr>
          <w:color w:val="auto"/>
        </w:rPr>
        <w:tab/>
      </w:r>
      <w:r>
        <w:rPr>
          <w:color w:val="auto"/>
        </w:rPr>
        <w:fldChar w:fldCharType="begin"/>
      </w:r>
      <w:r>
        <w:rPr>
          <w:color w:val="auto"/>
        </w:rPr>
        <w:instrText xml:space="preserve"> PAGEREF _Toc175 \h </w:instrText>
      </w:r>
      <w:r>
        <w:rPr>
          <w:color w:val="auto"/>
        </w:rPr>
        <w:fldChar w:fldCharType="separate"/>
      </w:r>
      <w:r>
        <w:rPr>
          <w:color w:val="auto"/>
        </w:rPr>
        <w:t>50</w:t>
      </w:r>
      <w:r>
        <w:rPr>
          <w:color w:val="auto"/>
        </w:rPr>
        <w:fldChar w:fldCharType="end"/>
      </w:r>
      <w:r>
        <w:rPr>
          <w:rFonts w:eastAsia="宋体"/>
          <w:color w:val="auto"/>
        </w:rPr>
        <w:fldChar w:fldCharType="end"/>
      </w:r>
    </w:p>
    <w:p w14:paraId="57D435F8">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_Toc2286 </w:instrText>
      </w:r>
      <w:r>
        <w:rPr>
          <w:rFonts w:eastAsia="宋体"/>
          <w:color w:val="auto"/>
        </w:rPr>
        <w:fldChar w:fldCharType="separate"/>
      </w:r>
      <w:r>
        <w:rPr>
          <w:rFonts w:hint="eastAsia"/>
          <w:color w:val="auto"/>
        </w:rPr>
        <w:t>3.4 评标结果</w:t>
      </w:r>
      <w:r>
        <w:rPr>
          <w:color w:val="auto"/>
        </w:rPr>
        <w:tab/>
      </w:r>
      <w:r>
        <w:rPr>
          <w:color w:val="auto"/>
        </w:rPr>
        <w:fldChar w:fldCharType="begin"/>
      </w:r>
      <w:r>
        <w:rPr>
          <w:color w:val="auto"/>
        </w:rPr>
        <w:instrText xml:space="preserve"> PAGEREF _Toc2286 \h </w:instrText>
      </w:r>
      <w:r>
        <w:rPr>
          <w:color w:val="auto"/>
        </w:rPr>
        <w:fldChar w:fldCharType="separate"/>
      </w:r>
      <w:r>
        <w:rPr>
          <w:color w:val="auto"/>
        </w:rPr>
        <w:t>50</w:t>
      </w:r>
      <w:r>
        <w:rPr>
          <w:color w:val="auto"/>
        </w:rPr>
        <w:fldChar w:fldCharType="end"/>
      </w:r>
      <w:r>
        <w:rPr>
          <w:rFonts w:eastAsia="宋体"/>
          <w:color w:val="auto"/>
        </w:rPr>
        <w:fldChar w:fldCharType="end"/>
      </w:r>
    </w:p>
    <w:p w14:paraId="16230B39">
      <w:pPr>
        <w:pStyle w:val="17"/>
        <w:tabs>
          <w:tab w:val="right" w:leader="dot" w:pos="8306"/>
        </w:tabs>
        <w:rPr>
          <w:color w:val="auto"/>
        </w:rPr>
      </w:pPr>
      <w:r>
        <w:rPr>
          <w:rFonts w:eastAsia="宋体"/>
          <w:color w:val="auto"/>
        </w:rPr>
        <w:fldChar w:fldCharType="begin"/>
      </w:r>
      <w:r>
        <w:rPr>
          <w:rFonts w:eastAsia="宋体"/>
          <w:color w:val="auto"/>
        </w:rPr>
        <w:instrText xml:space="preserve"> HYPERLINK \l _Toc14550 </w:instrText>
      </w:r>
      <w:r>
        <w:rPr>
          <w:rFonts w:eastAsia="宋体"/>
          <w:color w:val="auto"/>
        </w:rPr>
        <w:fldChar w:fldCharType="separate"/>
      </w:r>
      <w:r>
        <w:rPr>
          <w:rFonts w:hint="eastAsia"/>
          <w:color w:val="auto"/>
          <w:szCs w:val="24"/>
        </w:rPr>
        <w:t>附件A：评标详细程序</w:t>
      </w:r>
      <w:r>
        <w:rPr>
          <w:color w:val="auto"/>
        </w:rPr>
        <w:tab/>
      </w:r>
      <w:r>
        <w:rPr>
          <w:color w:val="auto"/>
        </w:rPr>
        <w:fldChar w:fldCharType="begin"/>
      </w:r>
      <w:r>
        <w:rPr>
          <w:color w:val="auto"/>
        </w:rPr>
        <w:instrText xml:space="preserve"> PAGEREF _Toc14550 \h </w:instrText>
      </w:r>
      <w:r>
        <w:rPr>
          <w:color w:val="auto"/>
        </w:rPr>
        <w:fldChar w:fldCharType="separate"/>
      </w:r>
      <w:r>
        <w:rPr>
          <w:color w:val="auto"/>
        </w:rPr>
        <w:t>51</w:t>
      </w:r>
      <w:r>
        <w:rPr>
          <w:color w:val="auto"/>
        </w:rPr>
        <w:fldChar w:fldCharType="end"/>
      </w:r>
      <w:r>
        <w:rPr>
          <w:rFonts w:eastAsia="宋体"/>
          <w:color w:val="auto"/>
        </w:rPr>
        <w:fldChar w:fldCharType="end"/>
      </w:r>
    </w:p>
    <w:p w14:paraId="4D11D164">
      <w:pPr>
        <w:pStyle w:val="11"/>
        <w:tabs>
          <w:tab w:val="right" w:leader="dot" w:pos="8306"/>
        </w:tabs>
        <w:rPr>
          <w:color w:val="auto"/>
        </w:rPr>
      </w:pPr>
      <w:r>
        <w:rPr>
          <w:rFonts w:eastAsia="宋体"/>
          <w:color w:val="auto"/>
        </w:rPr>
        <w:fldChar w:fldCharType="begin"/>
      </w:r>
      <w:r>
        <w:rPr>
          <w:rFonts w:eastAsia="宋体"/>
          <w:color w:val="auto"/>
        </w:rPr>
        <w:instrText xml:space="preserve"> HYPERLINK \l _Toc8995 </w:instrText>
      </w:r>
      <w:r>
        <w:rPr>
          <w:rFonts w:eastAsia="宋体"/>
          <w:color w:val="auto"/>
        </w:rPr>
        <w:fldChar w:fldCharType="separate"/>
      </w:r>
      <w:r>
        <w:rPr>
          <w:rFonts w:hint="eastAsia"/>
          <w:color w:val="auto"/>
        </w:rPr>
        <w:t>A0.总  则</w:t>
      </w:r>
      <w:r>
        <w:rPr>
          <w:color w:val="auto"/>
        </w:rPr>
        <w:tab/>
      </w:r>
      <w:r>
        <w:rPr>
          <w:color w:val="auto"/>
        </w:rPr>
        <w:fldChar w:fldCharType="begin"/>
      </w:r>
      <w:r>
        <w:rPr>
          <w:color w:val="auto"/>
        </w:rPr>
        <w:instrText xml:space="preserve"> PAGEREF _Toc8995 \h </w:instrText>
      </w:r>
      <w:r>
        <w:rPr>
          <w:color w:val="auto"/>
        </w:rPr>
        <w:fldChar w:fldCharType="separate"/>
      </w:r>
      <w:r>
        <w:rPr>
          <w:color w:val="auto"/>
        </w:rPr>
        <w:t>51</w:t>
      </w:r>
      <w:r>
        <w:rPr>
          <w:color w:val="auto"/>
        </w:rPr>
        <w:fldChar w:fldCharType="end"/>
      </w:r>
      <w:r>
        <w:rPr>
          <w:rFonts w:eastAsia="宋体"/>
          <w:color w:val="auto"/>
        </w:rPr>
        <w:fldChar w:fldCharType="end"/>
      </w:r>
    </w:p>
    <w:p w14:paraId="62FE3240">
      <w:pPr>
        <w:pStyle w:val="11"/>
        <w:tabs>
          <w:tab w:val="right" w:leader="dot" w:pos="8306"/>
        </w:tabs>
        <w:rPr>
          <w:color w:val="auto"/>
        </w:rPr>
      </w:pPr>
      <w:r>
        <w:rPr>
          <w:rFonts w:eastAsia="宋体"/>
          <w:color w:val="auto"/>
        </w:rPr>
        <w:fldChar w:fldCharType="begin"/>
      </w:r>
      <w:r>
        <w:rPr>
          <w:rFonts w:eastAsia="宋体"/>
          <w:color w:val="auto"/>
        </w:rPr>
        <w:instrText xml:space="preserve"> HYPERLINK \l _Toc14944 </w:instrText>
      </w:r>
      <w:r>
        <w:rPr>
          <w:rFonts w:eastAsia="宋体"/>
          <w:color w:val="auto"/>
        </w:rPr>
        <w:fldChar w:fldCharType="separate"/>
      </w:r>
      <w:r>
        <w:rPr>
          <w:rFonts w:hint="eastAsia"/>
          <w:color w:val="auto"/>
        </w:rPr>
        <w:t>A1.基本程序</w:t>
      </w:r>
      <w:r>
        <w:rPr>
          <w:color w:val="auto"/>
        </w:rPr>
        <w:tab/>
      </w:r>
      <w:r>
        <w:rPr>
          <w:color w:val="auto"/>
        </w:rPr>
        <w:fldChar w:fldCharType="begin"/>
      </w:r>
      <w:r>
        <w:rPr>
          <w:color w:val="auto"/>
        </w:rPr>
        <w:instrText xml:space="preserve"> PAGEREF _Toc14944 \h </w:instrText>
      </w:r>
      <w:r>
        <w:rPr>
          <w:color w:val="auto"/>
        </w:rPr>
        <w:fldChar w:fldCharType="separate"/>
      </w:r>
      <w:r>
        <w:rPr>
          <w:color w:val="auto"/>
        </w:rPr>
        <w:t>51</w:t>
      </w:r>
      <w:r>
        <w:rPr>
          <w:color w:val="auto"/>
        </w:rPr>
        <w:fldChar w:fldCharType="end"/>
      </w:r>
      <w:r>
        <w:rPr>
          <w:rFonts w:eastAsia="宋体"/>
          <w:color w:val="auto"/>
        </w:rPr>
        <w:fldChar w:fldCharType="end"/>
      </w:r>
    </w:p>
    <w:p w14:paraId="66F5D945">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_Toc26023 </w:instrText>
      </w:r>
      <w:r>
        <w:rPr>
          <w:rFonts w:eastAsia="宋体"/>
          <w:color w:val="auto"/>
        </w:rPr>
        <w:fldChar w:fldCharType="separate"/>
      </w:r>
      <w:r>
        <w:rPr>
          <w:rFonts w:hint="eastAsia"/>
          <w:color w:val="auto"/>
        </w:rPr>
        <w:t>A2.评标准备</w:t>
      </w:r>
      <w:r>
        <w:rPr>
          <w:color w:val="auto"/>
        </w:rPr>
        <w:tab/>
      </w:r>
      <w:r>
        <w:rPr>
          <w:color w:val="auto"/>
        </w:rPr>
        <w:fldChar w:fldCharType="begin"/>
      </w:r>
      <w:r>
        <w:rPr>
          <w:color w:val="auto"/>
        </w:rPr>
        <w:instrText xml:space="preserve"> PAGEREF _Toc26023 \h </w:instrText>
      </w:r>
      <w:r>
        <w:rPr>
          <w:color w:val="auto"/>
        </w:rPr>
        <w:fldChar w:fldCharType="separate"/>
      </w:r>
      <w:r>
        <w:rPr>
          <w:color w:val="auto"/>
        </w:rPr>
        <w:t>51</w:t>
      </w:r>
      <w:r>
        <w:rPr>
          <w:color w:val="auto"/>
        </w:rPr>
        <w:fldChar w:fldCharType="end"/>
      </w:r>
      <w:r>
        <w:rPr>
          <w:rFonts w:eastAsia="宋体"/>
          <w:color w:val="auto"/>
        </w:rPr>
        <w:fldChar w:fldCharType="end"/>
      </w:r>
    </w:p>
    <w:p w14:paraId="4375A768">
      <w:pPr>
        <w:pStyle w:val="11"/>
        <w:tabs>
          <w:tab w:val="right" w:leader="dot" w:pos="8306"/>
        </w:tabs>
        <w:rPr>
          <w:color w:val="auto"/>
        </w:rPr>
      </w:pPr>
      <w:r>
        <w:rPr>
          <w:rFonts w:eastAsia="宋体"/>
          <w:color w:val="auto"/>
        </w:rPr>
        <w:fldChar w:fldCharType="begin"/>
      </w:r>
      <w:r>
        <w:rPr>
          <w:rFonts w:eastAsia="宋体"/>
          <w:color w:val="auto"/>
        </w:rPr>
        <w:instrText xml:space="preserve"> HYPERLINK \l _Toc30345 </w:instrText>
      </w:r>
      <w:r>
        <w:rPr>
          <w:rFonts w:eastAsia="宋体"/>
          <w:color w:val="auto"/>
        </w:rPr>
        <w:fldChar w:fldCharType="separate"/>
      </w:r>
      <w:r>
        <w:rPr>
          <w:rFonts w:hint="eastAsia"/>
          <w:bCs/>
          <w:color w:val="auto"/>
          <w:szCs w:val="21"/>
        </w:rPr>
        <w:t>A2.1评标委员会成员签到</w:t>
      </w:r>
      <w:r>
        <w:rPr>
          <w:color w:val="auto"/>
        </w:rPr>
        <w:tab/>
      </w:r>
      <w:r>
        <w:rPr>
          <w:color w:val="auto"/>
        </w:rPr>
        <w:fldChar w:fldCharType="begin"/>
      </w:r>
      <w:r>
        <w:rPr>
          <w:color w:val="auto"/>
        </w:rPr>
        <w:instrText xml:space="preserve"> PAGEREF _Toc30345 \h </w:instrText>
      </w:r>
      <w:r>
        <w:rPr>
          <w:color w:val="auto"/>
        </w:rPr>
        <w:fldChar w:fldCharType="separate"/>
      </w:r>
      <w:r>
        <w:rPr>
          <w:color w:val="auto"/>
        </w:rPr>
        <w:t>51</w:t>
      </w:r>
      <w:r>
        <w:rPr>
          <w:color w:val="auto"/>
        </w:rPr>
        <w:fldChar w:fldCharType="end"/>
      </w:r>
      <w:r>
        <w:rPr>
          <w:rFonts w:eastAsia="宋体"/>
          <w:color w:val="auto"/>
        </w:rPr>
        <w:fldChar w:fldCharType="end"/>
      </w:r>
    </w:p>
    <w:p w14:paraId="42B39F0A">
      <w:pPr>
        <w:pStyle w:val="11"/>
        <w:tabs>
          <w:tab w:val="right" w:leader="dot" w:pos="8306"/>
        </w:tabs>
        <w:rPr>
          <w:color w:val="auto"/>
        </w:rPr>
      </w:pPr>
      <w:r>
        <w:rPr>
          <w:rFonts w:eastAsia="宋体"/>
          <w:color w:val="auto"/>
        </w:rPr>
        <w:fldChar w:fldCharType="begin"/>
      </w:r>
      <w:r>
        <w:rPr>
          <w:rFonts w:eastAsia="宋体"/>
          <w:color w:val="auto"/>
        </w:rPr>
        <w:instrText xml:space="preserve"> HYPERLINK \l _Toc6830 </w:instrText>
      </w:r>
      <w:r>
        <w:rPr>
          <w:rFonts w:eastAsia="宋体"/>
          <w:color w:val="auto"/>
        </w:rPr>
        <w:fldChar w:fldCharType="separate"/>
      </w:r>
      <w:r>
        <w:rPr>
          <w:rFonts w:hint="eastAsia"/>
          <w:bCs/>
          <w:color w:val="auto"/>
          <w:szCs w:val="21"/>
        </w:rPr>
        <w:t>A2.2评标委员会的分工</w:t>
      </w:r>
      <w:r>
        <w:rPr>
          <w:color w:val="auto"/>
        </w:rPr>
        <w:tab/>
      </w:r>
      <w:r>
        <w:rPr>
          <w:color w:val="auto"/>
        </w:rPr>
        <w:fldChar w:fldCharType="begin"/>
      </w:r>
      <w:r>
        <w:rPr>
          <w:color w:val="auto"/>
        </w:rPr>
        <w:instrText xml:space="preserve"> PAGEREF _Toc6830 \h </w:instrText>
      </w:r>
      <w:r>
        <w:rPr>
          <w:color w:val="auto"/>
        </w:rPr>
        <w:fldChar w:fldCharType="separate"/>
      </w:r>
      <w:r>
        <w:rPr>
          <w:color w:val="auto"/>
        </w:rPr>
        <w:t>51</w:t>
      </w:r>
      <w:r>
        <w:rPr>
          <w:color w:val="auto"/>
        </w:rPr>
        <w:fldChar w:fldCharType="end"/>
      </w:r>
      <w:r>
        <w:rPr>
          <w:rFonts w:eastAsia="宋体"/>
          <w:color w:val="auto"/>
        </w:rPr>
        <w:fldChar w:fldCharType="end"/>
      </w:r>
    </w:p>
    <w:p w14:paraId="67B99B3F">
      <w:pPr>
        <w:pStyle w:val="11"/>
        <w:tabs>
          <w:tab w:val="right" w:leader="dot" w:pos="8306"/>
        </w:tabs>
        <w:rPr>
          <w:color w:val="auto"/>
        </w:rPr>
      </w:pPr>
      <w:r>
        <w:rPr>
          <w:rFonts w:eastAsia="宋体"/>
          <w:color w:val="auto"/>
        </w:rPr>
        <w:fldChar w:fldCharType="begin"/>
      </w:r>
      <w:r>
        <w:rPr>
          <w:rFonts w:eastAsia="宋体"/>
          <w:color w:val="auto"/>
        </w:rPr>
        <w:instrText xml:space="preserve"> HYPERLINK \l _Toc15632 </w:instrText>
      </w:r>
      <w:r>
        <w:rPr>
          <w:rFonts w:eastAsia="宋体"/>
          <w:color w:val="auto"/>
        </w:rPr>
        <w:fldChar w:fldCharType="separate"/>
      </w:r>
      <w:r>
        <w:rPr>
          <w:rFonts w:hint="eastAsia"/>
          <w:bCs/>
          <w:color w:val="auto"/>
          <w:szCs w:val="21"/>
        </w:rPr>
        <w:t>A2.3熟悉文件资料</w:t>
      </w:r>
      <w:r>
        <w:rPr>
          <w:color w:val="auto"/>
        </w:rPr>
        <w:tab/>
      </w:r>
      <w:r>
        <w:rPr>
          <w:color w:val="auto"/>
        </w:rPr>
        <w:fldChar w:fldCharType="begin"/>
      </w:r>
      <w:r>
        <w:rPr>
          <w:color w:val="auto"/>
        </w:rPr>
        <w:instrText xml:space="preserve"> PAGEREF _Toc15632 \h </w:instrText>
      </w:r>
      <w:r>
        <w:rPr>
          <w:color w:val="auto"/>
        </w:rPr>
        <w:fldChar w:fldCharType="separate"/>
      </w:r>
      <w:r>
        <w:rPr>
          <w:color w:val="auto"/>
        </w:rPr>
        <w:t>52</w:t>
      </w:r>
      <w:r>
        <w:rPr>
          <w:color w:val="auto"/>
        </w:rPr>
        <w:fldChar w:fldCharType="end"/>
      </w:r>
      <w:r>
        <w:rPr>
          <w:rFonts w:eastAsia="宋体"/>
          <w:color w:val="auto"/>
        </w:rPr>
        <w:fldChar w:fldCharType="end"/>
      </w:r>
    </w:p>
    <w:p w14:paraId="0308EFDE">
      <w:pPr>
        <w:pStyle w:val="11"/>
        <w:tabs>
          <w:tab w:val="right" w:leader="dot" w:pos="8306"/>
        </w:tabs>
        <w:rPr>
          <w:color w:val="auto"/>
        </w:rPr>
      </w:pPr>
      <w:r>
        <w:rPr>
          <w:rFonts w:eastAsia="宋体"/>
          <w:color w:val="auto"/>
        </w:rPr>
        <w:fldChar w:fldCharType="begin"/>
      </w:r>
      <w:r>
        <w:rPr>
          <w:rFonts w:eastAsia="宋体"/>
          <w:color w:val="auto"/>
        </w:rPr>
        <w:instrText xml:space="preserve"> HYPERLINK \l _Toc12269 </w:instrText>
      </w:r>
      <w:r>
        <w:rPr>
          <w:rFonts w:eastAsia="宋体"/>
          <w:color w:val="auto"/>
        </w:rPr>
        <w:fldChar w:fldCharType="separate"/>
      </w:r>
      <w:r>
        <w:rPr>
          <w:rFonts w:hint="eastAsia"/>
          <w:bCs/>
          <w:color w:val="auto"/>
          <w:szCs w:val="21"/>
        </w:rPr>
        <w:t>A2.4暗标编号</w:t>
      </w:r>
      <w:r>
        <w:rPr>
          <w:color w:val="auto"/>
        </w:rPr>
        <w:tab/>
      </w:r>
      <w:r>
        <w:rPr>
          <w:color w:val="auto"/>
        </w:rPr>
        <w:fldChar w:fldCharType="begin"/>
      </w:r>
      <w:r>
        <w:rPr>
          <w:color w:val="auto"/>
        </w:rPr>
        <w:instrText xml:space="preserve"> PAGEREF _Toc12269 \h </w:instrText>
      </w:r>
      <w:r>
        <w:rPr>
          <w:color w:val="auto"/>
        </w:rPr>
        <w:fldChar w:fldCharType="separate"/>
      </w:r>
      <w:r>
        <w:rPr>
          <w:color w:val="auto"/>
        </w:rPr>
        <w:t>52</w:t>
      </w:r>
      <w:r>
        <w:rPr>
          <w:color w:val="auto"/>
        </w:rPr>
        <w:fldChar w:fldCharType="end"/>
      </w:r>
      <w:r>
        <w:rPr>
          <w:rFonts w:eastAsia="宋体"/>
          <w:color w:val="auto"/>
        </w:rPr>
        <w:fldChar w:fldCharType="end"/>
      </w:r>
    </w:p>
    <w:p w14:paraId="623EAF40">
      <w:pPr>
        <w:pStyle w:val="11"/>
        <w:tabs>
          <w:tab w:val="right" w:leader="dot" w:pos="8306"/>
        </w:tabs>
        <w:rPr>
          <w:color w:val="auto"/>
        </w:rPr>
      </w:pPr>
      <w:r>
        <w:rPr>
          <w:rFonts w:eastAsia="宋体"/>
          <w:color w:val="auto"/>
        </w:rPr>
        <w:fldChar w:fldCharType="begin"/>
      </w:r>
      <w:r>
        <w:rPr>
          <w:rFonts w:eastAsia="宋体"/>
          <w:color w:val="auto"/>
        </w:rPr>
        <w:instrText xml:space="preserve"> HYPERLINK \l _Toc30202 </w:instrText>
      </w:r>
      <w:r>
        <w:rPr>
          <w:rFonts w:eastAsia="宋体"/>
          <w:color w:val="auto"/>
        </w:rPr>
        <w:fldChar w:fldCharType="separate"/>
      </w:r>
      <w:r>
        <w:rPr>
          <w:rFonts w:hint="eastAsia"/>
          <w:bCs/>
          <w:color w:val="auto"/>
          <w:szCs w:val="21"/>
        </w:rPr>
        <w:t>A2.5对投标文件进行基础性数据分析和整理工作</w:t>
      </w:r>
      <w:r>
        <w:rPr>
          <w:color w:val="auto"/>
        </w:rPr>
        <w:tab/>
      </w:r>
      <w:r>
        <w:rPr>
          <w:color w:val="auto"/>
        </w:rPr>
        <w:fldChar w:fldCharType="begin"/>
      </w:r>
      <w:r>
        <w:rPr>
          <w:color w:val="auto"/>
        </w:rPr>
        <w:instrText xml:space="preserve"> PAGEREF _Toc30202 \h </w:instrText>
      </w:r>
      <w:r>
        <w:rPr>
          <w:color w:val="auto"/>
        </w:rPr>
        <w:fldChar w:fldCharType="separate"/>
      </w:r>
      <w:r>
        <w:rPr>
          <w:color w:val="auto"/>
        </w:rPr>
        <w:t>52</w:t>
      </w:r>
      <w:r>
        <w:rPr>
          <w:color w:val="auto"/>
        </w:rPr>
        <w:fldChar w:fldCharType="end"/>
      </w:r>
      <w:r>
        <w:rPr>
          <w:rFonts w:eastAsia="宋体"/>
          <w:color w:val="auto"/>
        </w:rPr>
        <w:fldChar w:fldCharType="end"/>
      </w:r>
    </w:p>
    <w:p w14:paraId="54974BCE">
      <w:pPr>
        <w:pStyle w:val="11"/>
        <w:tabs>
          <w:tab w:val="right" w:leader="dot" w:pos="8306"/>
        </w:tabs>
        <w:rPr>
          <w:color w:val="auto"/>
        </w:rPr>
      </w:pPr>
      <w:r>
        <w:rPr>
          <w:rFonts w:eastAsia="宋体"/>
          <w:color w:val="auto"/>
        </w:rPr>
        <w:fldChar w:fldCharType="begin"/>
      </w:r>
      <w:r>
        <w:rPr>
          <w:rFonts w:eastAsia="宋体"/>
          <w:color w:val="auto"/>
        </w:rPr>
        <w:instrText xml:space="preserve"> HYPERLINK \l _Toc466 </w:instrText>
      </w:r>
      <w:r>
        <w:rPr>
          <w:rFonts w:eastAsia="宋体"/>
          <w:color w:val="auto"/>
        </w:rPr>
        <w:fldChar w:fldCharType="separate"/>
      </w:r>
      <w:r>
        <w:rPr>
          <w:rFonts w:hint="eastAsia"/>
          <w:color w:val="auto"/>
        </w:rPr>
        <w:t>A3</w:t>
      </w:r>
      <w:r>
        <w:rPr>
          <w:color w:val="auto"/>
        </w:rPr>
        <w:t>.</w:t>
      </w:r>
      <w:r>
        <w:rPr>
          <w:rFonts w:hint="eastAsia"/>
          <w:color w:val="auto"/>
        </w:rPr>
        <w:t>初步评审</w:t>
      </w:r>
      <w:r>
        <w:rPr>
          <w:color w:val="auto"/>
        </w:rPr>
        <w:tab/>
      </w:r>
      <w:r>
        <w:rPr>
          <w:color w:val="auto"/>
        </w:rPr>
        <w:fldChar w:fldCharType="begin"/>
      </w:r>
      <w:r>
        <w:rPr>
          <w:color w:val="auto"/>
        </w:rPr>
        <w:instrText xml:space="preserve"> PAGEREF _Toc466 \h </w:instrText>
      </w:r>
      <w:r>
        <w:rPr>
          <w:color w:val="auto"/>
        </w:rPr>
        <w:fldChar w:fldCharType="separate"/>
      </w:r>
      <w:r>
        <w:rPr>
          <w:color w:val="auto"/>
        </w:rPr>
        <w:t>52</w:t>
      </w:r>
      <w:r>
        <w:rPr>
          <w:color w:val="auto"/>
        </w:rPr>
        <w:fldChar w:fldCharType="end"/>
      </w:r>
      <w:r>
        <w:rPr>
          <w:rFonts w:eastAsia="宋体"/>
          <w:color w:val="auto"/>
        </w:rPr>
        <w:fldChar w:fldCharType="end"/>
      </w:r>
    </w:p>
    <w:p w14:paraId="11F0290E">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_Toc22142 </w:instrText>
      </w:r>
      <w:r>
        <w:rPr>
          <w:rFonts w:eastAsia="宋体"/>
          <w:color w:val="auto"/>
        </w:rPr>
        <w:fldChar w:fldCharType="separate"/>
      </w:r>
      <w:r>
        <w:rPr>
          <w:rFonts w:hint="eastAsia"/>
          <w:bCs/>
          <w:color w:val="auto"/>
          <w:szCs w:val="21"/>
        </w:rPr>
        <w:t>A3.1形式评审</w:t>
      </w:r>
      <w:r>
        <w:rPr>
          <w:color w:val="auto"/>
        </w:rPr>
        <w:tab/>
      </w:r>
      <w:r>
        <w:rPr>
          <w:color w:val="auto"/>
        </w:rPr>
        <w:fldChar w:fldCharType="begin"/>
      </w:r>
      <w:r>
        <w:rPr>
          <w:color w:val="auto"/>
        </w:rPr>
        <w:instrText xml:space="preserve"> PAGEREF _Toc22142 \h </w:instrText>
      </w:r>
      <w:r>
        <w:rPr>
          <w:color w:val="auto"/>
        </w:rPr>
        <w:fldChar w:fldCharType="separate"/>
      </w:r>
      <w:r>
        <w:rPr>
          <w:color w:val="auto"/>
        </w:rPr>
        <w:t>52</w:t>
      </w:r>
      <w:r>
        <w:rPr>
          <w:color w:val="auto"/>
        </w:rPr>
        <w:fldChar w:fldCharType="end"/>
      </w:r>
      <w:r>
        <w:rPr>
          <w:rFonts w:eastAsia="宋体"/>
          <w:color w:val="auto"/>
        </w:rPr>
        <w:fldChar w:fldCharType="end"/>
      </w:r>
    </w:p>
    <w:p w14:paraId="7ADF945F">
      <w:pPr>
        <w:pStyle w:val="11"/>
        <w:tabs>
          <w:tab w:val="right" w:leader="dot" w:pos="8306"/>
        </w:tabs>
        <w:rPr>
          <w:color w:val="auto"/>
        </w:rPr>
      </w:pPr>
      <w:r>
        <w:rPr>
          <w:rFonts w:eastAsia="宋体"/>
          <w:color w:val="auto"/>
        </w:rPr>
        <w:fldChar w:fldCharType="begin"/>
      </w:r>
      <w:r>
        <w:rPr>
          <w:rFonts w:eastAsia="宋体"/>
          <w:color w:val="auto"/>
        </w:rPr>
        <w:instrText xml:space="preserve"> HYPERLINK \l _Toc31055 </w:instrText>
      </w:r>
      <w:r>
        <w:rPr>
          <w:rFonts w:eastAsia="宋体"/>
          <w:color w:val="auto"/>
        </w:rPr>
        <w:fldChar w:fldCharType="separate"/>
      </w:r>
      <w:r>
        <w:rPr>
          <w:rFonts w:hint="eastAsia"/>
          <w:bCs/>
          <w:color w:val="auto"/>
          <w:szCs w:val="21"/>
        </w:rPr>
        <w:t>A3.2资格评审</w:t>
      </w:r>
      <w:r>
        <w:rPr>
          <w:color w:val="auto"/>
        </w:rPr>
        <w:tab/>
      </w:r>
      <w:r>
        <w:rPr>
          <w:color w:val="auto"/>
        </w:rPr>
        <w:fldChar w:fldCharType="begin"/>
      </w:r>
      <w:r>
        <w:rPr>
          <w:color w:val="auto"/>
        </w:rPr>
        <w:instrText xml:space="preserve"> PAGEREF _Toc31055 \h </w:instrText>
      </w:r>
      <w:r>
        <w:rPr>
          <w:color w:val="auto"/>
        </w:rPr>
        <w:fldChar w:fldCharType="separate"/>
      </w:r>
      <w:r>
        <w:rPr>
          <w:color w:val="auto"/>
        </w:rPr>
        <w:t>53</w:t>
      </w:r>
      <w:r>
        <w:rPr>
          <w:color w:val="auto"/>
        </w:rPr>
        <w:fldChar w:fldCharType="end"/>
      </w:r>
      <w:r>
        <w:rPr>
          <w:rFonts w:eastAsia="宋体"/>
          <w:color w:val="auto"/>
        </w:rPr>
        <w:fldChar w:fldCharType="end"/>
      </w:r>
    </w:p>
    <w:p w14:paraId="60CA7FC2">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_Toc21004 </w:instrText>
      </w:r>
      <w:r>
        <w:rPr>
          <w:rFonts w:eastAsia="宋体"/>
          <w:color w:val="auto"/>
        </w:rPr>
        <w:fldChar w:fldCharType="separate"/>
      </w:r>
      <w:r>
        <w:rPr>
          <w:rFonts w:hint="eastAsia"/>
          <w:bCs/>
          <w:color w:val="auto"/>
          <w:szCs w:val="21"/>
        </w:rPr>
        <w:t>A3.3响应性评审</w:t>
      </w:r>
      <w:r>
        <w:rPr>
          <w:color w:val="auto"/>
        </w:rPr>
        <w:tab/>
      </w:r>
      <w:r>
        <w:rPr>
          <w:color w:val="auto"/>
        </w:rPr>
        <w:fldChar w:fldCharType="begin"/>
      </w:r>
      <w:r>
        <w:rPr>
          <w:color w:val="auto"/>
        </w:rPr>
        <w:instrText xml:space="preserve"> PAGEREF _Toc21004 \h </w:instrText>
      </w:r>
      <w:r>
        <w:rPr>
          <w:color w:val="auto"/>
        </w:rPr>
        <w:fldChar w:fldCharType="separate"/>
      </w:r>
      <w:r>
        <w:rPr>
          <w:color w:val="auto"/>
        </w:rPr>
        <w:t>53</w:t>
      </w:r>
      <w:r>
        <w:rPr>
          <w:color w:val="auto"/>
        </w:rPr>
        <w:fldChar w:fldCharType="end"/>
      </w:r>
      <w:r>
        <w:rPr>
          <w:rFonts w:eastAsia="宋体"/>
          <w:color w:val="auto"/>
        </w:rPr>
        <w:fldChar w:fldCharType="end"/>
      </w:r>
    </w:p>
    <w:p w14:paraId="195B2D6A">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_Toc22836 </w:instrText>
      </w:r>
      <w:r>
        <w:rPr>
          <w:rFonts w:eastAsia="宋体"/>
          <w:color w:val="auto"/>
        </w:rPr>
        <w:fldChar w:fldCharType="separate"/>
      </w:r>
      <w:r>
        <w:rPr>
          <w:rFonts w:hint="eastAsia"/>
          <w:bCs/>
          <w:color w:val="auto"/>
          <w:szCs w:val="21"/>
        </w:rPr>
        <w:t>A3.</w:t>
      </w:r>
      <w:r>
        <w:rPr>
          <w:bCs/>
          <w:color w:val="auto"/>
          <w:szCs w:val="21"/>
        </w:rPr>
        <w:t>4</w:t>
      </w:r>
      <w:r>
        <w:rPr>
          <w:rFonts w:hint="eastAsia"/>
          <w:bCs/>
          <w:color w:val="auto"/>
          <w:szCs w:val="21"/>
        </w:rPr>
        <w:t>算术错误修正</w:t>
      </w:r>
      <w:r>
        <w:rPr>
          <w:color w:val="auto"/>
        </w:rPr>
        <w:tab/>
      </w:r>
      <w:r>
        <w:rPr>
          <w:color w:val="auto"/>
        </w:rPr>
        <w:fldChar w:fldCharType="begin"/>
      </w:r>
      <w:r>
        <w:rPr>
          <w:color w:val="auto"/>
        </w:rPr>
        <w:instrText xml:space="preserve"> PAGEREF _Toc22836 \h </w:instrText>
      </w:r>
      <w:r>
        <w:rPr>
          <w:color w:val="auto"/>
        </w:rPr>
        <w:fldChar w:fldCharType="separate"/>
      </w:r>
      <w:r>
        <w:rPr>
          <w:color w:val="auto"/>
        </w:rPr>
        <w:t>53</w:t>
      </w:r>
      <w:r>
        <w:rPr>
          <w:color w:val="auto"/>
        </w:rPr>
        <w:fldChar w:fldCharType="end"/>
      </w:r>
      <w:r>
        <w:rPr>
          <w:rFonts w:eastAsia="宋体"/>
          <w:color w:val="auto"/>
        </w:rPr>
        <w:fldChar w:fldCharType="end"/>
      </w:r>
    </w:p>
    <w:p w14:paraId="5CA91386">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_Toc20688 </w:instrText>
      </w:r>
      <w:r>
        <w:rPr>
          <w:rFonts w:eastAsia="宋体"/>
          <w:color w:val="auto"/>
        </w:rPr>
        <w:fldChar w:fldCharType="separate"/>
      </w:r>
      <w:r>
        <w:rPr>
          <w:rFonts w:hint="eastAsia"/>
          <w:bCs/>
          <w:color w:val="auto"/>
          <w:szCs w:val="21"/>
        </w:rPr>
        <w:t>A3.</w:t>
      </w:r>
      <w:r>
        <w:rPr>
          <w:bCs/>
          <w:color w:val="auto"/>
          <w:szCs w:val="21"/>
        </w:rPr>
        <w:t>5</w:t>
      </w:r>
      <w:r>
        <w:rPr>
          <w:rFonts w:hint="eastAsia"/>
          <w:bCs/>
          <w:color w:val="auto"/>
          <w:szCs w:val="21"/>
        </w:rPr>
        <w:t>判断投标报价是否低于成本</w:t>
      </w:r>
      <w:r>
        <w:rPr>
          <w:color w:val="auto"/>
        </w:rPr>
        <w:tab/>
      </w:r>
      <w:r>
        <w:rPr>
          <w:color w:val="auto"/>
        </w:rPr>
        <w:fldChar w:fldCharType="begin"/>
      </w:r>
      <w:r>
        <w:rPr>
          <w:color w:val="auto"/>
        </w:rPr>
        <w:instrText xml:space="preserve"> PAGEREF _Toc20688 \h </w:instrText>
      </w:r>
      <w:r>
        <w:rPr>
          <w:color w:val="auto"/>
        </w:rPr>
        <w:fldChar w:fldCharType="separate"/>
      </w:r>
      <w:r>
        <w:rPr>
          <w:color w:val="auto"/>
        </w:rPr>
        <w:t>53</w:t>
      </w:r>
      <w:r>
        <w:rPr>
          <w:color w:val="auto"/>
        </w:rPr>
        <w:fldChar w:fldCharType="end"/>
      </w:r>
      <w:r>
        <w:rPr>
          <w:rFonts w:eastAsia="宋体"/>
          <w:color w:val="auto"/>
        </w:rPr>
        <w:fldChar w:fldCharType="end"/>
      </w:r>
    </w:p>
    <w:p w14:paraId="32BF5225">
      <w:pPr>
        <w:pStyle w:val="11"/>
        <w:tabs>
          <w:tab w:val="right" w:leader="dot" w:pos="8306"/>
        </w:tabs>
        <w:rPr>
          <w:color w:val="auto"/>
        </w:rPr>
      </w:pPr>
      <w:r>
        <w:rPr>
          <w:rFonts w:eastAsia="宋体"/>
          <w:color w:val="auto"/>
        </w:rPr>
        <w:fldChar w:fldCharType="begin"/>
      </w:r>
      <w:r>
        <w:rPr>
          <w:rFonts w:eastAsia="宋体"/>
          <w:color w:val="auto"/>
        </w:rPr>
        <w:instrText xml:space="preserve"> HYPERLINK \l _Toc16175 </w:instrText>
      </w:r>
      <w:r>
        <w:rPr>
          <w:rFonts w:eastAsia="宋体"/>
          <w:color w:val="auto"/>
        </w:rPr>
        <w:fldChar w:fldCharType="separate"/>
      </w:r>
      <w:r>
        <w:rPr>
          <w:rFonts w:hint="eastAsia"/>
          <w:bCs/>
          <w:color w:val="auto"/>
          <w:szCs w:val="21"/>
        </w:rPr>
        <w:t>A3.</w:t>
      </w:r>
      <w:r>
        <w:rPr>
          <w:bCs/>
          <w:color w:val="auto"/>
          <w:szCs w:val="21"/>
        </w:rPr>
        <w:t>6</w:t>
      </w:r>
      <w:r>
        <w:rPr>
          <w:rFonts w:hint="eastAsia"/>
          <w:bCs/>
          <w:color w:val="auto"/>
          <w:szCs w:val="21"/>
        </w:rPr>
        <w:t xml:space="preserve"> 判断投标是否为应当被否决</w:t>
      </w:r>
      <w:r>
        <w:rPr>
          <w:color w:val="auto"/>
        </w:rPr>
        <w:tab/>
      </w:r>
      <w:r>
        <w:rPr>
          <w:color w:val="auto"/>
        </w:rPr>
        <w:fldChar w:fldCharType="begin"/>
      </w:r>
      <w:r>
        <w:rPr>
          <w:color w:val="auto"/>
        </w:rPr>
        <w:instrText xml:space="preserve"> PAGEREF _Toc16175 \h </w:instrText>
      </w:r>
      <w:r>
        <w:rPr>
          <w:color w:val="auto"/>
        </w:rPr>
        <w:fldChar w:fldCharType="separate"/>
      </w:r>
      <w:r>
        <w:rPr>
          <w:color w:val="auto"/>
        </w:rPr>
        <w:t>53</w:t>
      </w:r>
      <w:r>
        <w:rPr>
          <w:color w:val="auto"/>
        </w:rPr>
        <w:fldChar w:fldCharType="end"/>
      </w:r>
      <w:r>
        <w:rPr>
          <w:rFonts w:eastAsia="宋体"/>
          <w:color w:val="auto"/>
        </w:rPr>
        <w:fldChar w:fldCharType="end"/>
      </w:r>
    </w:p>
    <w:p w14:paraId="150239CE">
      <w:pPr>
        <w:pStyle w:val="11"/>
        <w:tabs>
          <w:tab w:val="right" w:leader="dot" w:pos="8306"/>
        </w:tabs>
        <w:rPr>
          <w:color w:val="auto"/>
        </w:rPr>
      </w:pPr>
      <w:r>
        <w:rPr>
          <w:rFonts w:eastAsia="宋体"/>
          <w:color w:val="auto"/>
        </w:rPr>
        <w:fldChar w:fldCharType="begin"/>
      </w:r>
      <w:r>
        <w:rPr>
          <w:rFonts w:eastAsia="宋体"/>
          <w:color w:val="auto"/>
        </w:rPr>
        <w:instrText xml:space="preserve"> HYPERLINK \l _Toc16169 </w:instrText>
      </w:r>
      <w:r>
        <w:rPr>
          <w:rFonts w:eastAsia="宋体"/>
          <w:color w:val="auto"/>
        </w:rPr>
        <w:fldChar w:fldCharType="separate"/>
      </w:r>
      <w:r>
        <w:rPr>
          <w:rFonts w:hint="eastAsia"/>
          <w:bCs/>
          <w:color w:val="auto"/>
          <w:szCs w:val="21"/>
        </w:rPr>
        <w:t>A3.</w:t>
      </w:r>
      <w:r>
        <w:rPr>
          <w:bCs/>
          <w:color w:val="auto"/>
          <w:szCs w:val="21"/>
        </w:rPr>
        <w:t>7</w:t>
      </w:r>
      <w:r>
        <w:rPr>
          <w:rFonts w:hint="eastAsia"/>
          <w:bCs/>
          <w:color w:val="auto"/>
          <w:szCs w:val="21"/>
        </w:rPr>
        <w:t xml:space="preserve"> 澄清、说明或补正</w:t>
      </w:r>
      <w:r>
        <w:rPr>
          <w:color w:val="auto"/>
        </w:rPr>
        <w:tab/>
      </w:r>
      <w:r>
        <w:rPr>
          <w:color w:val="auto"/>
        </w:rPr>
        <w:fldChar w:fldCharType="begin"/>
      </w:r>
      <w:r>
        <w:rPr>
          <w:color w:val="auto"/>
        </w:rPr>
        <w:instrText xml:space="preserve"> PAGEREF _Toc16169 \h </w:instrText>
      </w:r>
      <w:r>
        <w:rPr>
          <w:color w:val="auto"/>
        </w:rPr>
        <w:fldChar w:fldCharType="separate"/>
      </w:r>
      <w:r>
        <w:rPr>
          <w:color w:val="auto"/>
        </w:rPr>
        <w:t>53</w:t>
      </w:r>
      <w:r>
        <w:rPr>
          <w:color w:val="auto"/>
        </w:rPr>
        <w:fldChar w:fldCharType="end"/>
      </w:r>
      <w:r>
        <w:rPr>
          <w:rFonts w:eastAsia="宋体"/>
          <w:color w:val="auto"/>
        </w:rPr>
        <w:fldChar w:fldCharType="end"/>
      </w:r>
    </w:p>
    <w:p w14:paraId="1341CCD6">
      <w:pPr>
        <w:pStyle w:val="11"/>
        <w:tabs>
          <w:tab w:val="right" w:leader="dot" w:pos="8306"/>
        </w:tabs>
        <w:rPr>
          <w:color w:val="auto"/>
        </w:rPr>
      </w:pPr>
      <w:r>
        <w:rPr>
          <w:rFonts w:eastAsia="宋体"/>
          <w:color w:val="auto"/>
        </w:rPr>
        <w:fldChar w:fldCharType="begin"/>
      </w:r>
      <w:r>
        <w:rPr>
          <w:rFonts w:eastAsia="宋体"/>
          <w:color w:val="auto"/>
        </w:rPr>
        <w:instrText xml:space="preserve"> HYPERLINK \l _Toc15845 </w:instrText>
      </w:r>
      <w:r>
        <w:rPr>
          <w:rFonts w:eastAsia="宋体"/>
          <w:color w:val="auto"/>
        </w:rPr>
        <w:fldChar w:fldCharType="separate"/>
      </w:r>
      <w:r>
        <w:rPr>
          <w:rFonts w:hint="eastAsia"/>
          <w:color w:val="auto"/>
        </w:rPr>
        <w:t>A4.详细评审</w:t>
      </w:r>
      <w:r>
        <w:rPr>
          <w:color w:val="auto"/>
        </w:rPr>
        <w:tab/>
      </w:r>
      <w:r>
        <w:rPr>
          <w:color w:val="auto"/>
        </w:rPr>
        <w:fldChar w:fldCharType="begin"/>
      </w:r>
      <w:r>
        <w:rPr>
          <w:color w:val="auto"/>
        </w:rPr>
        <w:instrText xml:space="preserve"> PAGEREF _Toc15845 \h </w:instrText>
      </w:r>
      <w:r>
        <w:rPr>
          <w:color w:val="auto"/>
        </w:rPr>
        <w:fldChar w:fldCharType="separate"/>
      </w:r>
      <w:r>
        <w:rPr>
          <w:color w:val="auto"/>
        </w:rPr>
        <w:t>54</w:t>
      </w:r>
      <w:r>
        <w:rPr>
          <w:color w:val="auto"/>
        </w:rPr>
        <w:fldChar w:fldCharType="end"/>
      </w:r>
      <w:r>
        <w:rPr>
          <w:rFonts w:eastAsia="宋体"/>
          <w:color w:val="auto"/>
        </w:rPr>
        <w:fldChar w:fldCharType="end"/>
      </w:r>
    </w:p>
    <w:p w14:paraId="4F42C054">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_Toc26083 </w:instrText>
      </w:r>
      <w:r>
        <w:rPr>
          <w:rFonts w:eastAsia="宋体"/>
          <w:color w:val="auto"/>
        </w:rPr>
        <w:fldChar w:fldCharType="separate"/>
      </w:r>
      <w:r>
        <w:rPr>
          <w:rFonts w:hint="eastAsia"/>
          <w:bCs/>
          <w:color w:val="auto"/>
          <w:szCs w:val="21"/>
        </w:rPr>
        <w:t>A4.1详细评审的程序</w:t>
      </w:r>
      <w:r>
        <w:rPr>
          <w:color w:val="auto"/>
        </w:rPr>
        <w:tab/>
      </w:r>
      <w:r>
        <w:rPr>
          <w:color w:val="auto"/>
        </w:rPr>
        <w:fldChar w:fldCharType="begin"/>
      </w:r>
      <w:r>
        <w:rPr>
          <w:color w:val="auto"/>
        </w:rPr>
        <w:instrText xml:space="preserve"> PAGEREF _Toc26083 \h </w:instrText>
      </w:r>
      <w:r>
        <w:rPr>
          <w:color w:val="auto"/>
        </w:rPr>
        <w:fldChar w:fldCharType="separate"/>
      </w:r>
      <w:r>
        <w:rPr>
          <w:color w:val="auto"/>
        </w:rPr>
        <w:t>54</w:t>
      </w:r>
      <w:r>
        <w:rPr>
          <w:color w:val="auto"/>
        </w:rPr>
        <w:fldChar w:fldCharType="end"/>
      </w:r>
      <w:r>
        <w:rPr>
          <w:rFonts w:eastAsia="宋体"/>
          <w:color w:val="auto"/>
        </w:rPr>
        <w:fldChar w:fldCharType="end"/>
      </w:r>
    </w:p>
    <w:p w14:paraId="70DC31A3">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_Toc24774 </w:instrText>
      </w:r>
      <w:r>
        <w:rPr>
          <w:rFonts w:eastAsia="宋体"/>
          <w:color w:val="auto"/>
        </w:rPr>
        <w:fldChar w:fldCharType="separate"/>
      </w:r>
      <w:r>
        <w:rPr>
          <w:rFonts w:hint="eastAsia"/>
          <w:bCs/>
          <w:color w:val="auto"/>
          <w:szCs w:val="21"/>
        </w:rPr>
        <w:t>A4.2经济标评审和评分</w:t>
      </w:r>
      <w:r>
        <w:rPr>
          <w:color w:val="auto"/>
        </w:rPr>
        <w:tab/>
      </w:r>
      <w:r>
        <w:rPr>
          <w:color w:val="auto"/>
        </w:rPr>
        <w:fldChar w:fldCharType="begin"/>
      </w:r>
      <w:r>
        <w:rPr>
          <w:color w:val="auto"/>
        </w:rPr>
        <w:instrText xml:space="preserve"> PAGEREF _Toc24774 \h </w:instrText>
      </w:r>
      <w:r>
        <w:rPr>
          <w:color w:val="auto"/>
        </w:rPr>
        <w:fldChar w:fldCharType="separate"/>
      </w:r>
      <w:r>
        <w:rPr>
          <w:color w:val="auto"/>
        </w:rPr>
        <w:t>54</w:t>
      </w:r>
      <w:r>
        <w:rPr>
          <w:color w:val="auto"/>
        </w:rPr>
        <w:fldChar w:fldCharType="end"/>
      </w:r>
      <w:r>
        <w:rPr>
          <w:rFonts w:eastAsia="宋体"/>
          <w:color w:val="auto"/>
        </w:rPr>
        <w:fldChar w:fldCharType="end"/>
      </w:r>
    </w:p>
    <w:p w14:paraId="422C060E">
      <w:pPr>
        <w:pStyle w:val="11"/>
        <w:tabs>
          <w:tab w:val="right" w:leader="dot" w:pos="8306"/>
        </w:tabs>
        <w:rPr>
          <w:color w:val="auto"/>
        </w:rPr>
      </w:pPr>
      <w:r>
        <w:rPr>
          <w:rFonts w:eastAsia="宋体"/>
          <w:color w:val="auto"/>
        </w:rPr>
        <w:fldChar w:fldCharType="begin"/>
      </w:r>
      <w:r>
        <w:rPr>
          <w:rFonts w:eastAsia="宋体"/>
          <w:color w:val="auto"/>
        </w:rPr>
        <w:instrText xml:space="preserve"> HYPERLINK \l _Toc14647 </w:instrText>
      </w:r>
      <w:r>
        <w:rPr>
          <w:rFonts w:eastAsia="宋体"/>
          <w:color w:val="auto"/>
        </w:rPr>
        <w:fldChar w:fldCharType="separate"/>
      </w:r>
      <w:r>
        <w:rPr>
          <w:rFonts w:hint="eastAsia"/>
          <w:bCs/>
          <w:color w:val="auto"/>
          <w:szCs w:val="21"/>
        </w:rPr>
        <w:t>A4.3 技术标评审和评分</w:t>
      </w:r>
      <w:r>
        <w:rPr>
          <w:color w:val="auto"/>
        </w:rPr>
        <w:tab/>
      </w:r>
      <w:r>
        <w:rPr>
          <w:color w:val="auto"/>
        </w:rPr>
        <w:fldChar w:fldCharType="begin"/>
      </w:r>
      <w:r>
        <w:rPr>
          <w:color w:val="auto"/>
        </w:rPr>
        <w:instrText xml:space="preserve"> PAGEREF _Toc14647 \h </w:instrText>
      </w:r>
      <w:r>
        <w:rPr>
          <w:color w:val="auto"/>
        </w:rPr>
        <w:fldChar w:fldCharType="separate"/>
      </w:r>
      <w:r>
        <w:rPr>
          <w:color w:val="auto"/>
        </w:rPr>
        <w:t>54</w:t>
      </w:r>
      <w:r>
        <w:rPr>
          <w:color w:val="auto"/>
        </w:rPr>
        <w:fldChar w:fldCharType="end"/>
      </w:r>
      <w:r>
        <w:rPr>
          <w:rFonts w:eastAsia="宋体"/>
          <w:color w:val="auto"/>
        </w:rPr>
        <w:fldChar w:fldCharType="end"/>
      </w:r>
    </w:p>
    <w:p w14:paraId="7A950A2B">
      <w:pPr>
        <w:pStyle w:val="11"/>
        <w:tabs>
          <w:tab w:val="right" w:leader="dot" w:pos="8306"/>
        </w:tabs>
        <w:rPr>
          <w:color w:val="auto"/>
        </w:rPr>
      </w:pPr>
      <w:r>
        <w:rPr>
          <w:rFonts w:eastAsia="宋体"/>
          <w:color w:val="auto"/>
        </w:rPr>
        <w:fldChar w:fldCharType="begin"/>
      </w:r>
      <w:r>
        <w:rPr>
          <w:rFonts w:eastAsia="宋体"/>
          <w:color w:val="auto"/>
        </w:rPr>
        <w:instrText xml:space="preserve"> HYPERLINK \l _Toc12167 </w:instrText>
      </w:r>
      <w:r>
        <w:rPr>
          <w:rFonts w:eastAsia="宋体"/>
          <w:color w:val="auto"/>
        </w:rPr>
        <w:fldChar w:fldCharType="separate"/>
      </w:r>
      <w:r>
        <w:rPr>
          <w:rFonts w:hint="eastAsia"/>
          <w:bCs/>
          <w:color w:val="auto"/>
          <w:szCs w:val="21"/>
        </w:rPr>
        <w:t>A4.4资信标评审和评分</w:t>
      </w:r>
      <w:r>
        <w:rPr>
          <w:color w:val="auto"/>
        </w:rPr>
        <w:tab/>
      </w:r>
      <w:r>
        <w:rPr>
          <w:color w:val="auto"/>
        </w:rPr>
        <w:fldChar w:fldCharType="begin"/>
      </w:r>
      <w:r>
        <w:rPr>
          <w:color w:val="auto"/>
        </w:rPr>
        <w:instrText xml:space="preserve"> PAGEREF _Toc12167 \h </w:instrText>
      </w:r>
      <w:r>
        <w:rPr>
          <w:color w:val="auto"/>
        </w:rPr>
        <w:fldChar w:fldCharType="separate"/>
      </w:r>
      <w:r>
        <w:rPr>
          <w:color w:val="auto"/>
        </w:rPr>
        <w:t>54</w:t>
      </w:r>
      <w:r>
        <w:rPr>
          <w:color w:val="auto"/>
        </w:rPr>
        <w:fldChar w:fldCharType="end"/>
      </w:r>
      <w:r>
        <w:rPr>
          <w:rFonts w:eastAsia="宋体"/>
          <w:color w:val="auto"/>
        </w:rPr>
        <w:fldChar w:fldCharType="end"/>
      </w:r>
    </w:p>
    <w:p w14:paraId="0AF8D320">
      <w:pPr>
        <w:pStyle w:val="11"/>
        <w:tabs>
          <w:tab w:val="right" w:leader="dot" w:pos="8306"/>
        </w:tabs>
        <w:rPr>
          <w:color w:val="auto"/>
        </w:rPr>
      </w:pPr>
      <w:r>
        <w:rPr>
          <w:rFonts w:eastAsia="宋体"/>
          <w:color w:val="auto"/>
        </w:rPr>
        <w:fldChar w:fldCharType="begin"/>
      </w:r>
      <w:r>
        <w:rPr>
          <w:rFonts w:eastAsia="宋体"/>
          <w:color w:val="auto"/>
        </w:rPr>
        <w:instrText xml:space="preserve"> HYPERLINK \l _Toc31968 </w:instrText>
      </w:r>
      <w:r>
        <w:rPr>
          <w:rFonts w:eastAsia="宋体"/>
          <w:color w:val="auto"/>
        </w:rPr>
        <w:fldChar w:fldCharType="separate"/>
      </w:r>
      <w:r>
        <w:rPr>
          <w:rFonts w:hint="eastAsia"/>
          <w:bCs/>
          <w:color w:val="auto"/>
          <w:szCs w:val="21"/>
        </w:rPr>
        <w:t>A4.5 其他因素的评审和评分</w:t>
      </w:r>
      <w:r>
        <w:rPr>
          <w:color w:val="auto"/>
        </w:rPr>
        <w:tab/>
      </w:r>
      <w:r>
        <w:rPr>
          <w:color w:val="auto"/>
        </w:rPr>
        <w:fldChar w:fldCharType="begin"/>
      </w:r>
      <w:r>
        <w:rPr>
          <w:color w:val="auto"/>
        </w:rPr>
        <w:instrText xml:space="preserve"> PAGEREF _Toc31968 \h </w:instrText>
      </w:r>
      <w:r>
        <w:rPr>
          <w:color w:val="auto"/>
        </w:rPr>
        <w:fldChar w:fldCharType="separate"/>
      </w:r>
      <w:r>
        <w:rPr>
          <w:color w:val="auto"/>
        </w:rPr>
        <w:t>54</w:t>
      </w:r>
      <w:r>
        <w:rPr>
          <w:color w:val="auto"/>
        </w:rPr>
        <w:fldChar w:fldCharType="end"/>
      </w:r>
      <w:r>
        <w:rPr>
          <w:rFonts w:eastAsia="宋体"/>
          <w:color w:val="auto"/>
        </w:rPr>
        <w:fldChar w:fldCharType="end"/>
      </w:r>
    </w:p>
    <w:p w14:paraId="67049282">
      <w:pPr>
        <w:pStyle w:val="11"/>
        <w:tabs>
          <w:tab w:val="right" w:leader="dot" w:pos="8306"/>
        </w:tabs>
        <w:rPr>
          <w:color w:val="auto"/>
        </w:rPr>
      </w:pPr>
      <w:r>
        <w:rPr>
          <w:rFonts w:eastAsia="宋体"/>
          <w:color w:val="auto"/>
        </w:rPr>
        <w:fldChar w:fldCharType="begin"/>
      </w:r>
      <w:r>
        <w:rPr>
          <w:rFonts w:eastAsia="宋体"/>
          <w:color w:val="auto"/>
        </w:rPr>
        <w:instrText xml:space="preserve"> HYPERLINK \l _Toc13929 </w:instrText>
      </w:r>
      <w:r>
        <w:rPr>
          <w:rFonts w:eastAsia="宋体"/>
          <w:color w:val="auto"/>
        </w:rPr>
        <w:fldChar w:fldCharType="separate"/>
      </w:r>
      <w:r>
        <w:rPr>
          <w:rFonts w:hint="eastAsia"/>
          <w:bCs/>
          <w:color w:val="auto"/>
          <w:szCs w:val="21"/>
        </w:rPr>
        <w:t>A4.6 澄清、说明或补正</w:t>
      </w:r>
      <w:r>
        <w:rPr>
          <w:color w:val="auto"/>
        </w:rPr>
        <w:tab/>
      </w:r>
      <w:r>
        <w:rPr>
          <w:color w:val="auto"/>
        </w:rPr>
        <w:fldChar w:fldCharType="begin"/>
      </w:r>
      <w:r>
        <w:rPr>
          <w:color w:val="auto"/>
        </w:rPr>
        <w:instrText xml:space="preserve"> PAGEREF _Toc13929 \h </w:instrText>
      </w:r>
      <w:r>
        <w:rPr>
          <w:color w:val="auto"/>
        </w:rPr>
        <w:fldChar w:fldCharType="separate"/>
      </w:r>
      <w:r>
        <w:rPr>
          <w:color w:val="auto"/>
        </w:rPr>
        <w:t>54</w:t>
      </w:r>
      <w:r>
        <w:rPr>
          <w:color w:val="auto"/>
        </w:rPr>
        <w:fldChar w:fldCharType="end"/>
      </w:r>
      <w:r>
        <w:rPr>
          <w:rFonts w:eastAsia="宋体"/>
          <w:color w:val="auto"/>
        </w:rPr>
        <w:fldChar w:fldCharType="end"/>
      </w:r>
    </w:p>
    <w:p w14:paraId="1BED55B0">
      <w:pPr>
        <w:pStyle w:val="11"/>
        <w:tabs>
          <w:tab w:val="right" w:leader="dot" w:pos="8306"/>
        </w:tabs>
        <w:rPr>
          <w:color w:val="auto"/>
        </w:rPr>
      </w:pPr>
      <w:r>
        <w:rPr>
          <w:rFonts w:eastAsia="宋体"/>
          <w:color w:val="auto"/>
        </w:rPr>
        <w:fldChar w:fldCharType="begin"/>
      </w:r>
      <w:r>
        <w:rPr>
          <w:rFonts w:eastAsia="宋体"/>
          <w:color w:val="auto"/>
        </w:rPr>
        <w:instrText xml:space="preserve"> HYPERLINK \l _Toc19911 </w:instrText>
      </w:r>
      <w:r>
        <w:rPr>
          <w:rFonts w:eastAsia="宋体"/>
          <w:color w:val="auto"/>
        </w:rPr>
        <w:fldChar w:fldCharType="separate"/>
      </w:r>
      <w:r>
        <w:rPr>
          <w:rFonts w:hint="eastAsia"/>
          <w:bCs/>
          <w:color w:val="auto"/>
          <w:szCs w:val="21"/>
        </w:rPr>
        <w:t>A4.7汇总评分（评审）结果</w:t>
      </w:r>
      <w:r>
        <w:rPr>
          <w:color w:val="auto"/>
        </w:rPr>
        <w:tab/>
      </w:r>
      <w:r>
        <w:rPr>
          <w:color w:val="auto"/>
        </w:rPr>
        <w:fldChar w:fldCharType="begin"/>
      </w:r>
      <w:r>
        <w:rPr>
          <w:color w:val="auto"/>
        </w:rPr>
        <w:instrText xml:space="preserve"> PAGEREF _Toc19911 \h </w:instrText>
      </w:r>
      <w:r>
        <w:rPr>
          <w:color w:val="auto"/>
        </w:rPr>
        <w:fldChar w:fldCharType="separate"/>
      </w:r>
      <w:r>
        <w:rPr>
          <w:color w:val="auto"/>
        </w:rPr>
        <w:t>55</w:t>
      </w:r>
      <w:r>
        <w:rPr>
          <w:color w:val="auto"/>
        </w:rPr>
        <w:fldChar w:fldCharType="end"/>
      </w:r>
      <w:r>
        <w:rPr>
          <w:rFonts w:eastAsia="宋体"/>
          <w:color w:val="auto"/>
        </w:rPr>
        <w:fldChar w:fldCharType="end"/>
      </w:r>
    </w:p>
    <w:p w14:paraId="46E867F4">
      <w:pPr>
        <w:pStyle w:val="11"/>
        <w:tabs>
          <w:tab w:val="right" w:leader="dot" w:pos="8306"/>
        </w:tabs>
        <w:rPr>
          <w:color w:val="auto"/>
        </w:rPr>
      </w:pPr>
      <w:r>
        <w:rPr>
          <w:rFonts w:eastAsia="宋体"/>
          <w:color w:val="auto"/>
        </w:rPr>
        <w:fldChar w:fldCharType="begin"/>
      </w:r>
      <w:r>
        <w:rPr>
          <w:rFonts w:eastAsia="宋体"/>
          <w:color w:val="auto"/>
        </w:rPr>
        <w:instrText xml:space="preserve"> HYPERLINK \l _Toc434 </w:instrText>
      </w:r>
      <w:r>
        <w:rPr>
          <w:rFonts w:eastAsia="宋体"/>
          <w:color w:val="auto"/>
        </w:rPr>
        <w:fldChar w:fldCharType="separate"/>
      </w:r>
      <w:r>
        <w:rPr>
          <w:rFonts w:hint="eastAsia"/>
          <w:color w:val="auto"/>
        </w:rPr>
        <w:t>A5</w:t>
      </w:r>
      <w:r>
        <w:rPr>
          <w:color w:val="auto"/>
        </w:rPr>
        <w:t>.</w:t>
      </w:r>
      <w:r>
        <w:rPr>
          <w:rFonts w:hint="eastAsia"/>
          <w:color w:val="auto"/>
        </w:rPr>
        <w:t>推荐中标候选人或者直接确定中标人</w:t>
      </w:r>
      <w:r>
        <w:rPr>
          <w:color w:val="auto"/>
        </w:rPr>
        <w:tab/>
      </w:r>
      <w:r>
        <w:rPr>
          <w:color w:val="auto"/>
        </w:rPr>
        <w:fldChar w:fldCharType="begin"/>
      </w:r>
      <w:r>
        <w:rPr>
          <w:color w:val="auto"/>
        </w:rPr>
        <w:instrText xml:space="preserve"> PAGEREF _Toc434 \h </w:instrText>
      </w:r>
      <w:r>
        <w:rPr>
          <w:color w:val="auto"/>
        </w:rPr>
        <w:fldChar w:fldCharType="separate"/>
      </w:r>
      <w:r>
        <w:rPr>
          <w:color w:val="auto"/>
        </w:rPr>
        <w:t>55</w:t>
      </w:r>
      <w:r>
        <w:rPr>
          <w:color w:val="auto"/>
        </w:rPr>
        <w:fldChar w:fldCharType="end"/>
      </w:r>
      <w:r>
        <w:rPr>
          <w:rFonts w:eastAsia="宋体"/>
          <w:color w:val="auto"/>
        </w:rPr>
        <w:fldChar w:fldCharType="end"/>
      </w:r>
    </w:p>
    <w:p w14:paraId="62E75FBB">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_Toc26128 </w:instrText>
      </w:r>
      <w:r>
        <w:rPr>
          <w:rFonts w:eastAsia="宋体"/>
          <w:color w:val="auto"/>
        </w:rPr>
        <w:fldChar w:fldCharType="separate"/>
      </w:r>
      <w:r>
        <w:rPr>
          <w:rFonts w:hint="eastAsia"/>
          <w:bCs/>
          <w:color w:val="auto"/>
          <w:szCs w:val="21"/>
        </w:rPr>
        <w:t>A5.1推荐中标候选人</w:t>
      </w:r>
      <w:r>
        <w:rPr>
          <w:color w:val="auto"/>
        </w:rPr>
        <w:tab/>
      </w:r>
      <w:r>
        <w:rPr>
          <w:color w:val="auto"/>
        </w:rPr>
        <w:fldChar w:fldCharType="begin"/>
      </w:r>
      <w:r>
        <w:rPr>
          <w:color w:val="auto"/>
        </w:rPr>
        <w:instrText xml:space="preserve"> PAGEREF _Toc26128 \h </w:instrText>
      </w:r>
      <w:r>
        <w:rPr>
          <w:color w:val="auto"/>
        </w:rPr>
        <w:fldChar w:fldCharType="separate"/>
      </w:r>
      <w:r>
        <w:rPr>
          <w:color w:val="auto"/>
        </w:rPr>
        <w:t>55</w:t>
      </w:r>
      <w:r>
        <w:rPr>
          <w:color w:val="auto"/>
        </w:rPr>
        <w:fldChar w:fldCharType="end"/>
      </w:r>
      <w:r>
        <w:rPr>
          <w:rFonts w:eastAsia="宋体"/>
          <w:color w:val="auto"/>
        </w:rPr>
        <w:fldChar w:fldCharType="end"/>
      </w:r>
    </w:p>
    <w:p w14:paraId="5D9E52DC">
      <w:pPr>
        <w:pStyle w:val="11"/>
        <w:tabs>
          <w:tab w:val="right" w:leader="dot" w:pos="8306"/>
        </w:tabs>
        <w:rPr>
          <w:color w:val="auto"/>
        </w:rPr>
      </w:pPr>
      <w:r>
        <w:rPr>
          <w:rFonts w:eastAsia="宋体"/>
          <w:color w:val="auto"/>
        </w:rPr>
        <w:fldChar w:fldCharType="begin"/>
      </w:r>
      <w:r>
        <w:rPr>
          <w:rFonts w:eastAsia="宋体"/>
          <w:color w:val="auto"/>
        </w:rPr>
        <w:instrText xml:space="preserve"> HYPERLINK \l _Toc11786 </w:instrText>
      </w:r>
      <w:r>
        <w:rPr>
          <w:rFonts w:eastAsia="宋体"/>
          <w:color w:val="auto"/>
        </w:rPr>
        <w:fldChar w:fldCharType="separate"/>
      </w:r>
      <w:r>
        <w:rPr>
          <w:rFonts w:hint="eastAsia"/>
          <w:bCs/>
          <w:color w:val="auto"/>
          <w:szCs w:val="21"/>
        </w:rPr>
        <w:t>A5.2直接确定中标人</w:t>
      </w:r>
      <w:r>
        <w:rPr>
          <w:color w:val="auto"/>
        </w:rPr>
        <w:tab/>
      </w:r>
      <w:r>
        <w:rPr>
          <w:color w:val="auto"/>
        </w:rPr>
        <w:fldChar w:fldCharType="begin"/>
      </w:r>
      <w:r>
        <w:rPr>
          <w:color w:val="auto"/>
        </w:rPr>
        <w:instrText xml:space="preserve"> PAGEREF _Toc11786 \h </w:instrText>
      </w:r>
      <w:r>
        <w:rPr>
          <w:color w:val="auto"/>
        </w:rPr>
        <w:fldChar w:fldCharType="separate"/>
      </w:r>
      <w:r>
        <w:rPr>
          <w:color w:val="auto"/>
        </w:rPr>
        <w:t>55</w:t>
      </w:r>
      <w:r>
        <w:rPr>
          <w:color w:val="auto"/>
        </w:rPr>
        <w:fldChar w:fldCharType="end"/>
      </w:r>
      <w:r>
        <w:rPr>
          <w:rFonts w:eastAsia="宋体"/>
          <w:color w:val="auto"/>
        </w:rPr>
        <w:fldChar w:fldCharType="end"/>
      </w:r>
    </w:p>
    <w:p w14:paraId="3F1EF294">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_Toc22159 </w:instrText>
      </w:r>
      <w:r>
        <w:rPr>
          <w:rFonts w:eastAsia="宋体"/>
          <w:color w:val="auto"/>
        </w:rPr>
        <w:fldChar w:fldCharType="separate"/>
      </w:r>
      <w:r>
        <w:rPr>
          <w:rFonts w:hint="eastAsia"/>
          <w:bCs/>
          <w:color w:val="auto"/>
          <w:szCs w:val="21"/>
        </w:rPr>
        <w:t>A5.3编制评标报告</w:t>
      </w:r>
      <w:r>
        <w:rPr>
          <w:color w:val="auto"/>
        </w:rPr>
        <w:tab/>
      </w:r>
      <w:r>
        <w:rPr>
          <w:color w:val="auto"/>
        </w:rPr>
        <w:fldChar w:fldCharType="begin"/>
      </w:r>
      <w:r>
        <w:rPr>
          <w:color w:val="auto"/>
        </w:rPr>
        <w:instrText xml:space="preserve"> PAGEREF _Toc22159 \h </w:instrText>
      </w:r>
      <w:r>
        <w:rPr>
          <w:color w:val="auto"/>
        </w:rPr>
        <w:fldChar w:fldCharType="separate"/>
      </w:r>
      <w:r>
        <w:rPr>
          <w:color w:val="auto"/>
        </w:rPr>
        <w:t>55</w:t>
      </w:r>
      <w:r>
        <w:rPr>
          <w:color w:val="auto"/>
        </w:rPr>
        <w:fldChar w:fldCharType="end"/>
      </w:r>
      <w:r>
        <w:rPr>
          <w:rFonts w:eastAsia="宋体"/>
          <w:color w:val="auto"/>
        </w:rPr>
        <w:fldChar w:fldCharType="end"/>
      </w:r>
    </w:p>
    <w:p w14:paraId="49BF7A20">
      <w:pPr>
        <w:pStyle w:val="11"/>
        <w:tabs>
          <w:tab w:val="right" w:leader="dot" w:pos="8306"/>
        </w:tabs>
        <w:rPr>
          <w:color w:val="auto"/>
        </w:rPr>
      </w:pPr>
      <w:r>
        <w:rPr>
          <w:rFonts w:eastAsia="宋体"/>
          <w:color w:val="auto"/>
        </w:rPr>
        <w:fldChar w:fldCharType="begin"/>
      </w:r>
      <w:r>
        <w:rPr>
          <w:rFonts w:eastAsia="宋体"/>
          <w:color w:val="auto"/>
        </w:rPr>
        <w:instrText xml:space="preserve"> HYPERLINK \l _Toc31894 </w:instrText>
      </w:r>
      <w:r>
        <w:rPr>
          <w:rFonts w:eastAsia="宋体"/>
          <w:color w:val="auto"/>
        </w:rPr>
        <w:fldChar w:fldCharType="separate"/>
      </w:r>
      <w:r>
        <w:rPr>
          <w:rFonts w:hint="eastAsia"/>
          <w:color w:val="auto"/>
        </w:rPr>
        <w:t>A6.特殊情况的处置程序</w:t>
      </w:r>
      <w:r>
        <w:rPr>
          <w:color w:val="auto"/>
        </w:rPr>
        <w:tab/>
      </w:r>
      <w:r>
        <w:rPr>
          <w:color w:val="auto"/>
        </w:rPr>
        <w:fldChar w:fldCharType="begin"/>
      </w:r>
      <w:r>
        <w:rPr>
          <w:color w:val="auto"/>
        </w:rPr>
        <w:instrText xml:space="preserve"> PAGEREF _Toc31894 \h </w:instrText>
      </w:r>
      <w:r>
        <w:rPr>
          <w:color w:val="auto"/>
        </w:rPr>
        <w:fldChar w:fldCharType="separate"/>
      </w:r>
      <w:r>
        <w:rPr>
          <w:color w:val="auto"/>
        </w:rPr>
        <w:t>56</w:t>
      </w:r>
      <w:r>
        <w:rPr>
          <w:color w:val="auto"/>
        </w:rPr>
        <w:fldChar w:fldCharType="end"/>
      </w:r>
      <w:r>
        <w:rPr>
          <w:rFonts w:eastAsia="宋体"/>
          <w:color w:val="auto"/>
        </w:rPr>
        <w:fldChar w:fldCharType="end"/>
      </w:r>
    </w:p>
    <w:p w14:paraId="7E9EE290">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_Toc2289 </w:instrText>
      </w:r>
      <w:r>
        <w:rPr>
          <w:rFonts w:eastAsia="宋体"/>
          <w:color w:val="auto"/>
        </w:rPr>
        <w:fldChar w:fldCharType="separate"/>
      </w:r>
      <w:r>
        <w:rPr>
          <w:rFonts w:hint="eastAsia"/>
          <w:bCs/>
          <w:color w:val="auto"/>
          <w:szCs w:val="21"/>
        </w:rPr>
        <w:t>A6.1暗标评审的评审程序规定（适用于对技术标进行暗标评审的）</w:t>
      </w:r>
      <w:r>
        <w:rPr>
          <w:color w:val="auto"/>
        </w:rPr>
        <w:tab/>
      </w:r>
      <w:r>
        <w:rPr>
          <w:color w:val="auto"/>
        </w:rPr>
        <w:fldChar w:fldCharType="begin"/>
      </w:r>
      <w:r>
        <w:rPr>
          <w:color w:val="auto"/>
        </w:rPr>
        <w:instrText xml:space="preserve"> PAGEREF _Toc2289 \h </w:instrText>
      </w:r>
      <w:r>
        <w:rPr>
          <w:color w:val="auto"/>
        </w:rPr>
        <w:fldChar w:fldCharType="separate"/>
      </w:r>
      <w:r>
        <w:rPr>
          <w:color w:val="auto"/>
        </w:rPr>
        <w:t>56</w:t>
      </w:r>
      <w:r>
        <w:rPr>
          <w:color w:val="auto"/>
        </w:rPr>
        <w:fldChar w:fldCharType="end"/>
      </w:r>
      <w:r>
        <w:rPr>
          <w:rFonts w:eastAsia="宋体"/>
          <w:color w:val="auto"/>
        </w:rPr>
        <w:fldChar w:fldCharType="end"/>
      </w:r>
    </w:p>
    <w:p w14:paraId="50F93032">
      <w:pPr>
        <w:pStyle w:val="11"/>
        <w:tabs>
          <w:tab w:val="right" w:leader="dot" w:pos="8306"/>
        </w:tabs>
        <w:rPr>
          <w:color w:val="auto"/>
        </w:rPr>
      </w:pPr>
      <w:r>
        <w:rPr>
          <w:rFonts w:eastAsia="宋体"/>
          <w:color w:val="auto"/>
        </w:rPr>
        <w:fldChar w:fldCharType="begin"/>
      </w:r>
      <w:r>
        <w:rPr>
          <w:rFonts w:eastAsia="宋体"/>
          <w:color w:val="auto"/>
        </w:rPr>
        <w:instrText xml:space="preserve"> HYPERLINK \l _Toc4353 </w:instrText>
      </w:r>
      <w:r>
        <w:rPr>
          <w:rFonts w:eastAsia="宋体"/>
          <w:color w:val="auto"/>
        </w:rPr>
        <w:fldChar w:fldCharType="separate"/>
      </w:r>
      <w:r>
        <w:rPr>
          <w:rFonts w:hint="eastAsia"/>
          <w:bCs/>
          <w:color w:val="auto"/>
          <w:szCs w:val="21"/>
        </w:rPr>
        <w:t>A6.2关于评标活动暂停</w:t>
      </w:r>
      <w:r>
        <w:rPr>
          <w:color w:val="auto"/>
        </w:rPr>
        <w:tab/>
      </w:r>
      <w:r>
        <w:rPr>
          <w:color w:val="auto"/>
        </w:rPr>
        <w:fldChar w:fldCharType="begin"/>
      </w:r>
      <w:r>
        <w:rPr>
          <w:color w:val="auto"/>
        </w:rPr>
        <w:instrText xml:space="preserve"> PAGEREF _Toc4353 \h </w:instrText>
      </w:r>
      <w:r>
        <w:rPr>
          <w:color w:val="auto"/>
        </w:rPr>
        <w:fldChar w:fldCharType="separate"/>
      </w:r>
      <w:r>
        <w:rPr>
          <w:color w:val="auto"/>
        </w:rPr>
        <w:t>56</w:t>
      </w:r>
      <w:r>
        <w:rPr>
          <w:color w:val="auto"/>
        </w:rPr>
        <w:fldChar w:fldCharType="end"/>
      </w:r>
      <w:r>
        <w:rPr>
          <w:rFonts w:eastAsia="宋体"/>
          <w:color w:val="auto"/>
        </w:rPr>
        <w:fldChar w:fldCharType="end"/>
      </w:r>
    </w:p>
    <w:p w14:paraId="492E40F3">
      <w:pPr>
        <w:pStyle w:val="11"/>
        <w:tabs>
          <w:tab w:val="right" w:leader="dot" w:pos="8306"/>
        </w:tabs>
        <w:rPr>
          <w:color w:val="auto"/>
        </w:rPr>
      </w:pPr>
      <w:r>
        <w:rPr>
          <w:rFonts w:eastAsia="宋体"/>
          <w:color w:val="auto"/>
        </w:rPr>
        <w:fldChar w:fldCharType="begin"/>
      </w:r>
      <w:r>
        <w:rPr>
          <w:rFonts w:eastAsia="宋体"/>
          <w:color w:val="auto"/>
        </w:rPr>
        <w:instrText xml:space="preserve"> HYPERLINK \l _Toc14362 </w:instrText>
      </w:r>
      <w:r>
        <w:rPr>
          <w:rFonts w:eastAsia="宋体"/>
          <w:color w:val="auto"/>
        </w:rPr>
        <w:fldChar w:fldCharType="separate"/>
      </w:r>
      <w:r>
        <w:rPr>
          <w:rFonts w:hint="eastAsia"/>
          <w:bCs/>
          <w:color w:val="auto"/>
          <w:szCs w:val="21"/>
        </w:rPr>
        <w:t>A6.3关于评标中途更换评标委员会成员</w:t>
      </w:r>
      <w:r>
        <w:rPr>
          <w:color w:val="auto"/>
        </w:rPr>
        <w:tab/>
      </w:r>
      <w:r>
        <w:rPr>
          <w:color w:val="auto"/>
        </w:rPr>
        <w:fldChar w:fldCharType="begin"/>
      </w:r>
      <w:r>
        <w:rPr>
          <w:color w:val="auto"/>
        </w:rPr>
        <w:instrText xml:space="preserve"> PAGEREF _Toc14362 \h </w:instrText>
      </w:r>
      <w:r>
        <w:rPr>
          <w:color w:val="auto"/>
        </w:rPr>
        <w:fldChar w:fldCharType="separate"/>
      </w:r>
      <w:r>
        <w:rPr>
          <w:color w:val="auto"/>
        </w:rPr>
        <w:t>56</w:t>
      </w:r>
      <w:r>
        <w:rPr>
          <w:color w:val="auto"/>
        </w:rPr>
        <w:fldChar w:fldCharType="end"/>
      </w:r>
      <w:r>
        <w:rPr>
          <w:rFonts w:eastAsia="宋体"/>
          <w:color w:val="auto"/>
        </w:rPr>
        <w:fldChar w:fldCharType="end"/>
      </w:r>
    </w:p>
    <w:p w14:paraId="2835C492">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_Toc28897 </w:instrText>
      </w:r>
      <w:r>
        <w:rPr>
          <w:rFonts w:eastAsia="宋体"/>
          <w:color w:val="auto"/>
        </w:rPr>
        <w:fldChar w:fldCharType="separate"/>
      </w:r>
      <w:r>
        <w:rPr>
          <w:rFonts w:hint="eastAsia"/>
          <w:bCs/>
          <w:color w:val="auto"/>
          <w:szCs w:val="21"/>
        </w:rPr>
        <w:t>A6.4 评标争议处理</w:t>
      </w:r>
      <w:r>
        <w:rPr>
          <w:color w:val="auto"/>
        </w:rPr>
        <w:tab/>
      </w:r>
      <w:r>
        <w:rPr>
          <w:color w:val="auto"/>
        </w:rPr>
        <w:fldChar w:fldCharType="begin"/>
      </w:r>
      <w:r>
        <w:rPr>
          <w:color w:val="auto"/>
        </w:rPr>
        <w:instrText xml:space="preserve"> PAGEREF _Toc28897 \h </w:instrText>
      </w:r>
      <w:r>
        <w:rPr>
          <w:color w:val="auto"/>
        </w:rPr>
        <w:fldChar w:fldCharType="separate"/>
      </w:r>
      <w:r>
        <w:rPr>
          <w:color w:val="auto"/>
        </w:rPr>
        <w:t>56</w:t>
      </w:r>
      <w:r>
        <w:rPr>
          <w:color w:val="auto"/>
        </w:rPr>
        <w:fldChar w:fldCharType="end"/>
      </w:r>
      <w:r>
        <w:rPr>
          <w:rFonts w:eastAsia="宋体"/>
          <w:color w:val="auto"/>
        </w:rPr>
        <w:fldChar w:fldCharType="end"/>
      </w:r>
    </w:p>
    <w:p w14:paraId="6C62D02D">
      <w:pPr>
        <w:pStyle w:val="11"/>
        <w:tabs>
          <w:tab w:val="right" w:leader="dot" w:pos="8306"/>
        </w:tabs>
        <w:rPr>
          <w:color w:val="auto"/>
        </w:rPr>
      </w:pPr>
      <w:r>
        <w:rPr>
          <w:rFonts w:eastAsia="宋体"/>
          <w:color w:val="auto"/>
        </w:rPr>
        <w:fldChar w:fldCharType="begin"/>
      </w:r>
      <w:r>
        <w:rPr>
          <w:rFonts w:eastAsia="宋体"/>
          <w:color w:val="auto"/>
        </w:rPr>
        <w:instrText xml:space="preserve"> HYPERLINK \l _Toc14473 </w:instrText>
      </w:r>
      <w:r>
        <w:rPr>
          <w:rFonts w:eastAsia="宋体"/>
          <w:color w:val="auto"/>
        </w:rPr>
        <w:fldChar w:fldCharType="separate"/>
      </w:r>
      <w:r>
        <w:rPr>
          <w:rFonts w:hint="eastAsia"/>
          <w:color w:val="auto"/>
        </w:rPr>
        <w:t>A7.补充条款</w:t>
      </w:r>
      <w:r>
        <w:rPr>
          <w:color w:val="auto"/>
        </w:rPr>
        <w:tab/>
      </w:r>
      <w:r>
        <w:rPr>
          <w:color w:val="auto"/>
        </w:rPr>
        <w:fldChar w:fldCharType="begin"/>
      </w:r>
      <w:r>
        <w:rPr>
          <w:color w:val="auto"/>
        </w:rPr>
        <w:instrText xml:space="preserve"> PAGEREF _Toc14473 \h </w:instrText>
      </w:r>
      <w:r>
        <w:rPr>
          <w:color w:val="auto"/>
        </w:rPr>
        <w:fldChar w:fldCharType="separate"/>
      </w:r>
      <w:r>
        <w:rPr>
          <w:color w:val="auto"/>
        </w:rPr>
        <w:t>56</w:t>
      </w:r>
      <w:r>
        <w:rPr>
          <w:color w:val="auto"/>
        </w:rPr>
        <w:fldChar w:fldCharType="end"/>
      </w:r>
      <w:r>
        <w:rPr>
          <w:rFonts w:eastAsia="宋体"/>
          <w:color w:val="auto"/>
        </w:rPr>
        <w:fldChar w:fldCharType="end"/>
      </w:r>
    </w:p>
    <w:p w14:paraId="67511957">
      <w:pPr>
        <w:pStyle w:val="17"/>
        <w:tabs>
          <w:tab w:val="right" w:leader="dot" w:pos="8306"/>
        </w:tabs>
        <w:rPr>
          <w:color w:val="auto"/>
        </w:rPr>
      </w:pPr>
      <w:r>
        <w:rPr>
          <w:rFonts w:eastAsia="宋体"/>
          <w:color w:val="auto"/>
        </w:rPr>
        <w:fldChar w:fldCharType="begin"/>
      </w:r>
      <w:r>
        <w:rPr>
          <w:rFonts w:eastAsia="宋体"/>
          <w:color w:val="auto"/>
        </w:rPr>
        <w:instrText xml:space="preserve"> HYPERLINK \l _Toc22285 </w:instrText>
      </w:r>
      <w:r>
        <w:rPr>
          <w:rFonts w:eastAsia="宋体"/>
          <w:color w:val="auto"/>
        </w:rPr>
        <w:fldChar w:fldCharType="separate"/>
      </w:r>
      <w:r>
        <w:rPr>
          <w:rFonts w:hint="eastAsia"/>
          <w:color w:val="auto"/>
          <w:szCs w:val="24"/>
        </w:rPr>
        <w:t>附件B：否决投标的条件</w:t>
      </w:r>
      <w:r>
        <w:rPr>
          <w:color w:val="auto"/>
        </w:rPr>
        <w:tab/>
      </w:r>
      <w:r>
        <w:rPr>
          <w:color w:val="auto"/>
        </w:rPr>
        <w:fldChar w:fldCharType="begin"/>
      </w:r>
      <w:r>
        <w:rPr>
          <w:color w:val="auto"/>
        </w:rPr>
        <w:instrText xml:space="preserve"> PAGEREF _Toc22285 \h </w:instrText>
      </w:r>
      <w:r>
        <w:rPr>
          <w:color w:val="auto"/>
        </w:rPr>
        <w:fldChar w:fldCharType="separate"/>
      </w:r>
      <w:r>
        <w:rPr>
          <w:color w:val="auto"/>
        </w:rPr>
        <w:t>57</w:t>
      </w:r>
      <w:r>
        <w:rPr>
          <w:color w:val="auto"/>
        </w:rPr>
        <w:fldChar w:fldCharType="end"/>
      </w:r>
      <w:r>
        <w:rPr>
          <w:rFonts w:eastAsia="宋体"/>
          <w:color w:val="auto"/>
        </w:rPr>
        <w:fldChar w:fldCharType="end"/>
      </w:r>
    </w:p>
    <w:p w14:paraId="4D5ACBF9">
      <w:pPr>
        <w:pStyle w:val="11"/>
        <w:tabs>
          <w:tab w:val="right" w:leader="dot" w:pos="8306"/>
        </w:tabs>
        <w:rPr>
          <w:color w:val="auto"/>
        </w:rPr>
      </w:pPr>
      <w:r>
        <w:rPr>
          <w:rFonts w:eastAsia="宋体"/>
          <w:color w:val="auto"/>
        </w:rPr>
        <w:fldChar w:fldCharType="begin"/>
      </w:r>
      <w:r>
        <w:rPr>
          <w:rFonts w:eastAsia="宋体"/>
          <w:color w:val="auto"/>
        </w:rPr>
        <w:instrText xml:space="preserve"> HYPERLINK \l _Toc30910 </w:instrText>
      </w:r>
      <w:r>
        <w:rPr>
          <w:rFonts w:eastAsia="宋体"/>
          <w:color w:val="auto"/>
        </w:rPr>
        <w:fldChar w:fldCharType="separate"/>
      </w:r>
      <w:r>
        <w:rPr>
          <w:rFonts w:hint="eastAsia"/>
          <w:color w:val="auto"/>
        </w:rPr>
        <w:t>B0.总  则</w:t>
      </w:r>
      <w:r>
        <w:rPr>
          <w:color w:val="auto"/>
        </w:rPr>
        <w:tab/>
      </w:r>
      <w:r>
        <w:rPr>
          <w:color w:val="auto"/>
        </w:rPr>
        <w:fldChar w:fldCharType="begin"/>
      </w:r>
      <w:r>
        <w:rPr>
          <w:color w:val="auto"/>
        </w:rPr>
        <w:instrText xml:space="preserve"> PAGEREF _Toc30910 \h </w:instrText>
      </w:r>
      <w:r>
        <w:rPr>
          <w:color w:val="auto"/>
        </w:rPr>
        <w:fldChar w:fldCharType="separate"/>
      </w:r>
      <w:r>
        <w:rPr>
          <w:color w:val="auto"/>
        </w:rPr>
        <w:t>57</w:t>
      </w:r>
      <w:r>
        <w:rPr>
          <w:color w:val="auto"/>
        </w:rPr>
        <w:fldChar w:fldCharType="end"/>
      </w:r>
      <w:r>
        <w:rPr>
          <w:rFonts w:eastAsia="宋体"/>
          <w:color w:val="auto"/>
        </w:rPr>
        <w:fldChar w:fldCharType="end"/>
      </w:r>
    </w:p>
    <w:p w14:paraId="71C6B4D0">
      <w:pPr>
        <w:pStyle w:val="11"/>
        <w:tabs>
          <w:tab w:val="right" w:leader="dot" w:pos="8306"/>
        </w:tabs>
        <w:rPr>
          <w:color w:val="auto"/>
        </w:rPr>
      </w:pPr>
      <w:r>
        <w:rPr>
          <w:rFonts w:eastAsia="宋体"/>
          <w:color w:val="auto"/>
        </w:rPr>
        <w:fldChar w:fldCharType="begin"/>
      </w:r>
      <w:r>
        <w:rPr>
          <w:rFonts w:eastAsia="宋体"/>
          <w:color w:val="auto"/>
        </w:rPr>
        <w:instrText xml:space="preserve"> HYPERLINK \l _Toc8698 </w:instrText>
      </w:r>
      <w:r>
        <w:rPr>
          <w:rFonts w:eastAsia="宋体"/>
          <w:color w:val="auto"/>
        </w:rPr>
        <w:fldChar w:fldCharType="separate"/>
      </w:r>
      <w:r>
        <w:rPr>
          <w:rFonts w:hint="eastAsia"/>
          <w:color w:val="auto"/>
        </w:rPr>
        <w:t>B1</w:t>
      </w:r>
      <w:r>
        <w:rPr>
          <w:color w:val="auto"/>
        </w:rPr>
        <w:t>.</w:t>
      </w:r>
      <w:r>
        <w:rPr>
          <w:rFonts w:hint="eastAsia"/>
          <w:color w:val="auto"/>
        </w:rPr>
        <w:t>否决投标的条件</w:t>
      </w:r>
      <w:r>
        <w:rPr>
          <w:color w:val="auto"/>
        </w:rPr>
        <w:tab/>
      </w:r>
      <w:r>
        <w:rPr>
          <w:color w:val="auto"/>
        </w:rPr>
        <w:fldChar w:fldCharType="begin"/>
      </w:r>
      <w:r>
        <w:rPr>
          <w:color w:val="auto"/>
        </w:rPr>
        <w:instrText xml:space="preserve"> PAGEREF _Toc8698 \h </w:instrText>
      </w:r>
      <w:r>
        <w:rPr>
          <w:color w:val="auto"/>
        </w:rPr>
        <w:fldChar w:fldCharType="separate"/>
      </w:r>
      <w:r>
        <w:rPr>
          <w:color w:val="auto"/>
        </w:rPr>
        <w:t>57</w:t>
      </w:r>
      <w:r>
        <w:rPr>
          <w:color w:val="auto"/>
        </w:rPr>
        <w:fldChar w:fldCharType="end"/>
      </w:r>
      <w:r>
        <w:rPr>
          <w:rFonts w:eastAsia="宋体"/>
          <w:color w:val="auto"/>
        </w:rPr>
        <w:fldChar w:fldCharType="end"/>
      </w:r>
    </w:p>
    <w:p w14:paraId="71D782E3">
      <w:pPr>
        <w:pStyle w:val="11"/>
        <w:tabs>
          <w:tab w:val="right" w:leader="dot" w:pos="8306"/>
        </w:tabs>
        <w:rPr>
          <w:color w:val="auto"/>
        </w:rPr>
      </w:pPr>
      <w:r>
        <w:rPr>
          <w:rFonts w:eastAsia="宋体"/>
          <w:color w:val="auto"/>
        </w:rPr>
        <w:fldChar w:fldCharType="begin"/>
      </w:r>
      <w:r>
        <w:rPr>
          <w:rFonts w:eastAsia="宋体"/>
          <w:color w:val="auto"/>
        </w:rPr>
        <w:instrText xml:space="preserve"> HYPERLINK \l _Toc10901 </w:instrText>
      </w:r>
      <w:r>
        <w:rPr>
          <w:rFonts w:eastAsia="宋体"/>
          <w:color w:val="auto"/>
        </w:rPr>
        <w:fldChar w:fldCharType="separate"/>
      </w:r>
      <w:r>
        <w:rPr>
          <w:rFonts w:hint="eastAsia"/>
          <w:color w:val="auto"/>
        </w:rPr>
        <w:t>附表A-1：评标委员会签到表</w:t>
      </w:r>
      <w:r>
        <w:rPr>
          <w:color w:val="auto"/>
        </w:rPr>
        <w:tab/>
      </w:r>
      <w:r>
        <w:rPr>
          <w:color w:val="auto"/>
        </w:rPr>
        <w:fldChar w:fldCharType="begin"/>
      </w:r>
      <w:r>
        <w:rPr>
          <w:color w:val="auto"/>
        </w:rPr>
        <w:instrText xml:space="preserve"> PAGEREF _Toc10901 \h </w:instrText>
      </w:r>
      <w:r>
        <w:rPr>
          <w:color w:val="auto"/>
        </w:rPr>
        <w:fldChar w:fldCharType="separate"/>
      </w:r>
      <w:r>
        <w:rPr>
          <w:color w:val="auto"/>
        </w:rPr>
        <w:t>60</w:t>
      </w:r>
      <w:r>
        <w:rPr>
          <w:color w:val="auto"/>
        </w:rPr>
        <w:fldChar w:fldCharType="end"/>
      </w:r>
      <w:r>
        <w:rPr>
          <w:rFonts w:eastAsia="宋体"/>
          <w:color w:val="auto"/>
        </w:rPr>
        <w:fldChar w:fldCharType="end"/>
      </w:r>
    </w:p>
    <w:p w14:paraId="617D5279">
      <w:pPr>
        <w:pStyle w:val="11"/>
        <w:tabs>
          <w:tab w:val="right" w:leader="dot" w:pos="8306"/>
        </w:tabs>
        <w:rPr>
          <w:color w:val="auto"/>
        </w:rPr>
      </w:pPr>
      <w:r>
        <w:rPr>
          <w:rFonts w:eastAsia="宋体"/>
          <w:color w:val="auto"/>
        </w:rPr>
        <w:fldChar w:fldCharType="begin"/>
      </w:r>
      <w:r>
        <w:rPr>
          <w:rFonts w:eastAsia="宋体"/>
          <w:color w:val="auto"/>
        </w:rPr>
        <w:instrText xml:space="preserve"> HYPERLINK \l _Toc17359 </w:instrText>
      </w:r>
      <w:r>
        <w:rPr>
          <w:rFonts w:eastAsia="宋体"/>
          <w:color w:val="auto"/>
        </w:rPr>
        <w:fldChar w:fldCharType="separate"/>
      </w:r>
      <w:r>
        <w:rPr>
          <w:color w:val="auto"/>
        </w:rPr>
        <w:t>附表A-2：评标专家</w:t>
      </w:r>
      <w:r>
        <w:rPr>
          <w:rFonts w:hint="eastAsia"/>
          <w:color w:val="auto"/>
        </w:rPr>
        <w:t>告知承诺函</w:t>
      </w:r>
      <w:r>
        <w:rPr>
          <w:color w:val="auto"/>
        </w:rPr>
        <w:tab/>
      </w:r>
      <w:r>
        <w:rPr>
          <w:color w:val="auto"/>
        </w:rPr>
        <w:fldChar w:fldCharType="begin"/>
      </w:r>
      <w:r>
        <w:rPr>
          <w:color w:val="auto"/>
        </w:rPr>
        <w:instrText xml:space="preserve"> PAGEREF _Toc17359 \h </w:instrText>
      </w:r>
      <w:r>
        <w:rPr>
          <w:color w:val="auto"/>
        </w:rPr>
        <w:fldChar w:fldCharType="separate"/>
      </w:r>
      <w:r>
        <w:rPr>
          <w:color w:val="auto"/>
        </w:rPr>
        <w:t>61</w:t>
      </w:r>
      <w:r>
        <w:rPr>
          <w:color w:val="auto"/>
        </w:rPr>
        <w:fldChar w:fldCharType="end"/>
      </w:r>
      <w:r>
        <w:rPr>
          <w:rFonts w:eastAsia="宋体"/>
          <w:color w:val="auto"/>
        </w:rPr>
        <w:fldChar w:fldCharType="end"/>
      </w:r>
    </w:p>
    <w:p w14:paraId="7354F088">
      <w:pPr>
        <w:pStyle w:val="11"/>
        <w:tabs>
          <w:tab w:val="right" w:leader="dot" w:pos="8306"/>
        </w:tabs>
        <w:rPr>
          <w:color w:val="auto"/>
        </w:rPr>
      </w:pPr>
      <w:r>
        <w:rPr>
          <w:rFonts w:eastAsia="宋体"/>
          <w:color w:val="auto"/>
        </w:rPr>
        <w:fldChar w:fldCharType="begin"/>
      </w:r>
      <w:r>
        <w:rPr>
          <w:rFonts w:eastAsia="宋体"/>
          <w:color w:val="auto"/>
        </w:rPr>
        <w:instrText xml:space="preserve"> HYPERLINK \l _Toc12527 </w:instrText>
      </w:r>
      <w:r>
        <w:rPr>
          <w:rFonts w:eastAsia="宋体"/>
          <w:color w:val="auto"/>
        </w:rPr>
        <w:fldChar w:fldCharType="separate"/>
      </w:r>
      <w:r>
        <w:rPr>
          <w:color w:val="auto"/>
        </w:rPr>
        <w:t>附表A-3：技术暗标编号确认表</w:t>
      </w:r>
      <w:r>
        <w:rPr>
          <w:color w:val="auto"/>
        </w:rPr>
        <w:tab/>
      </w:r>
      <w:r>
        <w:rPr>
          <w:color w:val="auto"/>
        </w:rPr>
        <w:fldChar w:fldCharType="begin"/>
      </w:r>
      <w:r>
        <w:rPr>
          <w:color w:val="auto"/>
        </w:rPr>
        <w:instrText xml:space="preserve"> PAGEREF _Toc12527 \h </w:instrText>
      </w:r>
      <w:r>
        <w:rPr>
          <w:color w:val="auto"/>
        </w:rPr>
        <w:fldChar w:fldCharType="separate"/>
      </w:r>
      <w:r>
        <w:rPr>
          <w:color w:val="auto"/>
        </w:rPr>
        <w:t>63</w:t>
      </w:r>
      <w:r>
        <w:rPr>
          <w:color w:val="auto"/>
        </w:rPr>
        <w:fldChar w:fldCharType="end"/>
      </w:r>
      <w:r>
        <w:rPr>
          <w:rFonts w:eastAsia="宋体"/>
          <w:color w:val="auto"/>
        </w:rPr>
        <w:fldChar w:fldCharType="end"/>
      </w:r>
    </w:p>
    <w:p w14:paraId="317774DC">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_Toc2391 </w:instrText>
      </w:r>
      <w:r>
        <w:rPr>
          <w:rFonts w:eastAsia="宋体"/>
          <w:color w:val="auto"/>
        </w:rPr>
        <w:fldChar w:fldCharType="separate"/>
      </w:r>
      <w:r>
        <w:rPr>
          <w:rFonts w:hint="eastAsia"/>
          <w:color w:val="auto"/>
        </w:rPr>
        <w:t>附表A-4：形式评审记录表</w:t>
      </w:r>
      <w:r>
        <w:rPr>
          <w:color w:val="auto"/>
        </w:rPr>
        <w:tab/>
      </w:r>
      <w:r>
        <w:rPr>
          <w:color w:val="auto"/>
        </w:rPr>
        <w:fldChar w:fldCharType="begin"/>
      </w:r>
      <w:r>
        <w:rPr>
          <w:color w:val="auto"/>
        </w:rPr>
        <w:instrText xml:space="preserve"> PAGEREF _Toc2391 \h </w:instrText>
      </w:r>
      <w:r>
        <w:rPr>
          <w:color w:val="auto"/>
        </w:rPr>
        <w:fldChar w:fldCharType="separate"/>
      </w:r>
      <w:r>
        <w:rPr>
          <w:color w:val="auto"/>
        </w:rPr>
        <w:t>64</w:t>
      </w:r>
      <w:r>
        <w:rPr>
          <w:color w:val="auto"/>
        </w:rPr>
        <w:fldChar w:fldCharType="end"/>
      </w:r>
      <w:r>
        <w:rPr>
          <w:rFonts w:eastAsia="宋体"/>
          <w:color w:val="auto"/>
        </w:rPr>
        <w:fldChar w:fldCharType="end"/>
      </w:r>
    </w:p>
    <w:p w14:paraId="0BF01995">
      <w:pPr>
        <w:pStyle w:val="11"/>
        <w:tabs>
          <w:tab w:val="right" w:leader="dot" w:pos="8306"/>
        </w:tabs>
        <w:rPr>
          <w:color w:val="auto"/>
        </w:rPr>
      </w:pPr>
      <w:r>
        <w:rPr>
          <w:rFonts w:eastAsia="宋体"/>
          <w:color w:val="auto"/>
        </w:rPr>
        <w:fldChar w:fldCharType="begin"/>
      </w:r>
      <w:r>
        <w:rPr>
          <w:rFonts w:eastAsia="宋体"/>
          <w:color w:val="auto"/>
        </w:rPr>
        <w:instrText xml:space="preserve"> HYPERLINK \l _Toc564 </w:instrText>
      </w:r>
      <w:r>
        <w:rPr>
          <w:rFonts w:eastAsia="宋体"/>
          <w:color w:val="auto"/>
        </w:rPr>
        <w:fldChar w:fldCharType="separate"/>
      </w:r>
      <w:r>
        <w:rPr>
          <w:rFonts w:hint="eastAsia"/>
          <w:color w:val="auto"/>
        </w:rPr>
        <w:t>附表A-5：资格评审记录表</w:t>
      </w:r>
      <w:r>
        <w:rPr>
          <w:color w:val="auto"/>
        </w:rPr>
        <w:tab/>
      </w:r>
      <w:r>
        <w:rPr>
          <w:color w:val="auto"/>
        </w:rPr>
        <w:fldChar w:fldCharType="begin"/>
      </w:r>
      <w:r>
        <w:rPr>
          <w:color w:val="auto"/>
        </w:rPr>
        <w:instrText xml:space="preserve"> PAGEREF _Toc564 \h </w:instrText>
      </w:r>
      <w:r>
        <w:rPr>
          <w:color w:val="auto"/>
        </w:rPr>
        <w:fldChar w:fldCharType="separate"/>
      </w:r>
      <w:r>
        <w:rPr>
          <w:color w:val="auto"/>
        </w:rPr>
        <w:t>65</w:t>
      </w:r>
      <w:r>
        <w:rPr>
          <w:color w:val="auto"/>
        </w:rPr>
        <w:fldChar w:fldCharType="end"/>
      </w:r>
      <w:r>
        <w:rPr>
          <w:rFonts w:eastAsia="宋体"/>
          <w:color w:val="auto"/>
        </w:rPr>
        <w:fldChar w:fldCharType="end"/>
      </w:r>
    </w:p>
    <w:p w14:paraId="37B38A5C">
      <w:pPr>
        <w:pStyle w:val="11"/>
        <w:tabs>
          <w:tab w:val="right" w:leader="dot" w:pos="8306"/>
        </w:tabs>
        <w:rPr>
          <w:color w:val="auto"/>
        </w:rPr>
      </w:pPr>
      <w:r>
        <w:rPr>
          <w:rFonts w:eastAsia="宋体"/>
          <w:color w:val="auto"/>
        </w:rPr>
        <w:fldChar w:fldCharType="begin"/>
      </w:r>
      <w:r>
        <w:rPr>
          <w:rFonts w:eastAsia="宋体"/>
          <w:color w:val="auto"/>
        </w:rPr>
        <w:instrText xml:space="preserve"> HYPERLINK \l _Toc11538 </w:instrText>
      </w:r>
      <w:r>
        <w:rPr>
          <w:rFonts w:eastAsia="宋体"/>
          <w:color w:val="auto"/>
        </w:rPr>
        <w:fldChar w:fldCharType="separate"/>
      </w:r>
      <w:r>
        <w:rPr>
          <w:rFonts w:hint="eastAsia"/>
          <w:color w:val="auto"/>
        </w:rPr>
        <w:t>附表A-6：响应性评审记录表</w:t>
      </w:r>
      <w:r>
        <w:rPr>
          <w:color w:val="auto"/>
        </w:rPr>
        <w:tab/>
      </w:r>
      <w:r>
        <w:rPr>
          <w:color w:val="auto"/>
        </w:rPr>
        <w:fldChar w:fldCharType="begin"/>
      </w:r>
      <w:r>
        <w:rPr>
          <w:color w:val="auto"/>
        </w:rPr>
        <w:instrText xml:space="preserve"> PAGEREF _Toc11538 \h </w:instrText>
      </w:r>
      <w:r>
        <w:rPr>
          <w:color w:val="auto"/>
        </w:rPr>
        <w:fldChar w:fldCharType="separate"/>
      </w:r>
      <w:r>
        <w:rPr>
          <w:color w:val="auto"/>
        </w:rPr>
        <w:t>66</w:t>
      </w:r>
      <w:r>
        <w:rPr>
          <w:color w:val="auto"/>
        </w:rPr>
        <w:fldChar w:fldCharType="end"/>
      </w:r>
      <w:r>
        <w:rPr>
          <w:rFonts w:eastAsia="宋体"/>
          <w:color w:val="auto"/>
        </w:rPr>
        <w:fldChar w:fldCharType="end"/>
      </w:r>
    </w:p>
    <w:p w14:paraId="02F02A29">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_Toc22789 </w:instrText>
      </w:r>
      <w:r>
        <w:rPr>
          <w:rFonts w:eastAsia="宋体"/>
          <w:color w:val="auto"/>
        </w:rPr>
        <w:fldChar w:fldCharType="separate"/>
      </w:r>
      <w:r>
        <w:rPr>
          <w:rFonts w:hint="eastAsia"/>
          <w:color w:val="auto"/>
        </w:rPr>
        <w:t>附表A-7：技术标评审记录表（合格性）</w:t>
      </w:r>
      <w:r>
        <w:rPr>
          <w:color w:val="auto"/>
        </w:rPr>
        <w:tab/>
      </w:r>
      <w:r>
        <w:rPr>
          <w:color w:val="auto"/>
        </w:rPr>
        <w:fldChar w:fldCharType="begin"/>
      </w:r>
      <w:r>
        <w:rPr>
          <w:color w:val="auto"/>
        </w:rPr>
        <w:instrText xml:space="preserve"> PAGEREF _Toc22789 \h </w:instrText>
      </w:r>
      <w:r>
        <w:rPr>
          <w:color w:val="auto"/>
        </w:rPr>
        <w:fldChar w:fldCharType="separate"/>
      </w:r>
      <w:r>
        <w:rPr>
          <w:color w:val="auto"/>
        </w:rPr>
        <w:t>67</w:t>
      </w:r>
      <w:r>
        <w:rPr>
          <w:color w:val="auto"/>
        </w:rPr>
        <w:fldChar w:fldCharType="end"/>
      </w:r>
      <w:r>
        <w:rPr>
          <w:rFonts w:eastAsia="宋体"/>
          <w:color w:val="auto"/>
        </w:rPr>
        <w:fldChar w:fldCharType="end"/>
      </w:r>
    </w:p>
    <w:p w14:paraId="4439E0FE">
      <w:pPr>
        <w:pStyle w:val="11"/>
        <w:tabs>
          <w:tab w:val="right" w:leader="dot" w:pos="8306"/>
        </w:tabs>
        <w:rPr>
          <w:color w:val="auto"/>
        </w:rPr>
      </w:pPr>
      <w:r>
        <w:rPr>
          <w:rFonts w:eastAsia="宋体"/>
          <w:color w:val="auto"/>
        </w:rPr>
        <w:fldChar w:fldCharType="begin"/>
      </w:r>
      <w:r>
        <w:rPr>
          <w:rFonts w:eastAsia="宋体"/>
          <w:color w:val="auto"/>
        </w:rPr>
        <w:instrText xml:space="preserve"> HYPERLINK \l _Toc18614 </w:instrText>
      </w:r>
      <w:r>
        <w:rPr>
          <w:rFonts w:eastAsia="宋体"/>
          <w:color w:val="auto"/>
        </w:rPr>
        <w:fldChar w:fldCharType="separate"/>
      </w:r>
      <w:r>
        <w:rPr>
          <w:rFonts w:hint="eastAsia"/>
          <w:color w:val="auto"/>
        </w:rPr>
        <w:t>附表A-</w:t>
      </w:r>
      <w:r>
        <w:rPr>
          <w:color w:val="auto"/>
        </w:rPr>
        <w:t>8</w:t>
      </w:r>
      <w:r>
        <w:rPr>
          <w:rFonts w:hint="eastAsia"/>
          <w:color w:val="auto"/>
        </w:rPr>
        <w:t>：初步评审汇总记录表</w:t>
      </w:r>
      <w:r>
        <w:rPr>
          <w:color w:val="auto"/>
        </w:rPr>
        <w:tab/>
      </w:r>
      <w:r>
        <w:rPr>
          <w:color w:val="auto"/>
        </w:rPr>
        <w:fldChar w:fldCharType="begin"/>
      </w:r>
      <w:r>
        <w:rPr>
          <w:color w:val="auto"/>
        </w:rPr>
        <w:instrText xml:space="preserve"> PAGEREF _Toc18614 \h </w:instrText>
      </w:r>
      <w:r>
        <w:rPr>
          <w:color w:val="auto"/>
        </w:rPr>
        <w:fldChar w:fldCharType="separate"/>
      </w:r>
      <w:r>
        <w:rPr>
          <w:color w:val="auto"/>
        </w:rPr>
        <w:t>68</w:t>
      </w:r>
      <w:r>
        <w:rPr>
          <w:color w:val="auto"/>
        </w:rPr>
        <w:fldChar w:fldCharType="end"/>
      </w:r>
      <w:r>
        <w:rPr>
          <w:rFonts w:eastAsia="宋体"/>
          <w:color w:val="auto"/>
        </w:rPr>
        <w:fldChar w:fldCharType="end"/>
      </w:r>
    </w:p>
    <w:p w14:paraId="6DD78614">
      <w:pPr>
        <w:pStyle w:val="11"/>
        <w:tabs>
          <w:tab w:val="right" w:leader="dot" w:pos="8306"/>
        </w:tabs>
        <w:rPr>
          <w:color w:val="auto"/>
        </w:rPr>
      </w:pPr>
      <w:r>
        <w:rPr>
          <w:rFonts w:eastAsia="宋体"/>
          <w:color w:val="auto"/>
        </w:rPr>
        <w:fldChar w:fldCharType="begin"/>
      </w:r>
      <w:r>
        <w:rPr>
          <w:rFonts w:eastAsia="宋体"/>
          <w:color w:val="auto"/>
        </w:rPr>
        <w:instrText xml:space="preserve"> HYPERLINK \l _Toc18548 </w:instrText>
      </w:r>
      <w:r>
        <w:rPr>
          <w:rFonts w:eastAsia="宋体"/>
          <w:color w:val="auto"/>
        </w:rPr>
        <w:fldChar w:fldCharType="separate"/>
      </w:r>
      <w:r>
        <w:rPr>
          <w:rFonts w:hint="eastAsia"/>
          <w:color w:val="auto"/>
        </w:rPr>
        <w:t>附表A-</w:t>
      </w:r>
      <w:r>
        <w:rPr>
          <w:color w:val="auto"/>
        </w:rPr>
        <w:t>9</w:t>
      </w:r>
      <w:r>
        <w:rPr>
          <w:rFonts w:hint="eastAsia"/>
          <w:color w:val="auto"/>
        </w:rPr>
        <w:t>：否决投标的情况说明</w:t>
      </w:r>
      <w:r>
        <w:rPr>
          <w:color w:val="auto"/>
        </w:rPr>
        <w:tab/>
      </w:r>
      <w:r>
        <w:rPr>
          <w:color w:val="auto"/>
        </w:rPr>
        <w:fldChar w:fldCharType="begin"/>
      </w:r>
      <w:r>
        <w:rPr>
          <w:color w:val="auto"/>
        </w:rPr>
        <w:instrText xml:space="preserve"> PAGEREF _Toc18548 \h </w:instrText>
      </w:r>
      <w:r>
        <w:rPr>
          <w:color w:val="auto"/>
        </w:rPr>
        <w:fldChar w:fldCharType="separate"/>
      </w:r>
      <w:r>
        <w:rPr>
          <w:color w:val="auto"/>
        </w:rPr>
        <w:t>69</w:t>
      </w:r>
      <w:r>
        <w:rPr>
          <w:color w:val="auto"/>
        </w:rPr>
        <w:fldChar w:fldCharType="end"/>
      </w:r>
      <w:r>
        <w:rPr>
          <w:rFonts w:eastAsia="宋体"/>
          <w:color w:val="auto"/>
        </w:rPr>
        <w:fldChar w:fldCharType="end"/>
      </w:r>
    </w:p>
    <w:p w14:paraId="1094BCD5">
      <w:pPr>
        <w:pStyle w:val="11"/>
        <w:tabs>
          <w:tab w:val="right" w:leader="dot" w:pos="8306"/>
        </w:tabs>
        <w:rPr>
          <w:color w:val="auto"/>
        </w:rPr>
      </w:pPr>
      <w:r>
        <w:rPr>
          <w:rFonts w:eastAsia="宋体"/>
          <w:color w:val="auto"/>
        </w:rPr>
        <w:fldChar w:fldCharType="begin"/>
      </w:r>
      <w:r>
        <w:rPr>
          <w:rFonts w:eastAsia="宋体"/>
          <w:color w:val="auto"/>
        </w:rPr>
        <w:instrText xml:space="preserve"> HYPERLINK \l _Toc16815 </w:instrText>
      </w:r>
      <w:r>
        <w:rPr>
          <w:rFonts w:eastAsia="宋体"/>
          <w:color w:val="auto"/>
        </w:rPr>
        <w:fldChar w:fldCharType="separate"/>
      </w:r>
      <w:r>
        <w:rPr>
          <w:rFonts w:hint="eastAsia"/>
          <w:color w:val="auto"/>
        </w:rPr>
        <w:t>附表A-</w:t>
      </w:r>
      <w:r>
        <w:rPr>
          <w:color w:val="auto"/>
        </w:rPr>
        <w:t>10</w:t>
      </w:r>
      <w:r>
        <w:rPr>
          <w:rFonts w:hint="eastAsia"/>
          <w:color w:val="auto"/>
        </w:rPr>
        <w:t>：经济标评分记录表</w:t>
      </w:r>
      <w:r>
        <w:rPr>
          <w:color w:val="auto"/>
        </w:rPr>
        <w:tab/>
      </w:r>
      <w:r>
        <w:rPr>
          <w:color w:val="auto"/>
        </w:rPr>
        <w:fldChar w:fldCharType="begin"/>
      </w:r>
      <w:r>
        <w:rPr>
          <w:color w:val="auto"/>
        </w:rPr>
        <w:instrText xml:space="preserve"> PAGEREF _Toc16815 \h </w:instrText>
      </w:r>
      <w:r>
        <w:rPr>
          <w:color w:val="auto"/>
        </w:rPr>
        <w:fldChar w:fldCharType="separate"/>
      </w:r>
      <w:r>
        <w:rPr>
          <w:color w:val="auto"/>
        </w:rPr>
        <w:t>70</w:t>
      </w:r>
      <w:r>
        <w:rPr>
          <w:color w:val="auto"/>
        </w:rPr>
        <w:fldChar w:fldCharType="end"/>
      </w:r>
      <w:r>
        <w:rPr>
          <w:rFonts w:eastAsia="宋体"/>
          <w:color w:val="auto"/>
        </w:rPr>
        <w:fldChar w:fldCharType="end"/>
      </w:r>
    </w:p>
    <w:p w14:paraId="6FB5E37B">
      <w:pPr>
        <w:pStyle w:val="11"/>
        <w:tabs>
          <w:tab w:val="right" w:leader="dot" w:pos="8306"/>
        </w:tabs>
        <w:rPr>
          <w:color w:val="auto"/>
        </w:rPr>
      </w:pPr>
      <w:r>
        <w:rPr>
          <w:rFonts w:eastAsia="宋体"/>
          <w:color w:val="auto"/>
        </w:rPr>
        <w:fldChar w:fldCharType="begin"/>
      </w:r>
      <w:r>
        <w:rPr>
          <w:rFonts w:eastAsia="宋体"/>
          <w:color w:val="auto"/>
        </w:rPr>
        <w:instrText xml:space="preserve"> HYPERLINK \l _Toc17798 </w:instrText>
      </w:r>
      <w:r>
        <w:rPr>
          <w:rFonts w:eastAsia="宋体"/>
          <w:color w:val="auto"/>
        </w:rPr>
        <w:fldChar w:fldCharType="separate"/>
      </w:r>
      <w:r>
        <w:rPr>
          <w:rFonts w:hint="eastAsia"/>
          <w:color w:val="auto"/>
        </w:rPr>
        <w:t>附表A-</w:t>
      </w:r>
      <w:r>
        <w:rPr>
          <w:color w:val="auto"/>
        </w:rPr>
        <w:t>11</w:t>
      </w:r>
      <w:r>
        <w:rPr>
          <w:rFonts w:hint="eastAsia"/>
          <w:color w:val="auto"/>
        </w:rPr>
        <w:t>：技术标评审记录表（评分）</w:t>
      </w:r>
      <w:r>
        <w:rPr>
          <w:color w:val="auto"/>
        </w:rPr>
        <w:tab/>
      </w:r>
      <w:r>
        <w:rPr>
          <w:color w:val="auto"/>
        </w:rPr>
        <w:fldChar w:fldCharType="begin"/>
      </w:r>
      <w:r>
        <w:rPr>
          <w:color w:val="auto"/>
        </w:rPr>
        <w:instrText xml:space="preserve"> PAGEREF _Toc17798 \h </w:instrText>
      </w:r>
      <w:r>
        <w:rPr>
          <w:color w:val="auto"/>
        </w:rPr>
        <w:fldChar w:fldCharType="separate"/>
      </w:r>
      <w:r>
        <w:rPr>
          <w:color w:val="auto"/>
        </w:rPr>
        <w:t>71</w:t>
      </w:r>
      <w:r>
        <w:rPr>
          <w:color w:val="auto"/>
        </w:rPr>
        <w:fldChar w:fldCharType="end"/>
      </w:r>
      <w:r>
        <w:rPr>
          <w:rFonts w:eastAsia="宋体"/>
          <w:color w:val="auto"/>
        </w:rPr>
        <w:fldChar w:fldCharType="end"/>
      </w:r>
    </w:p>
    <w:p w14:paraId="48A3DB61">
      <w:pPr>
        <w:pStyle w:val="11"/>
        <w:tabs>
          <w:tab w:val="right" w:leader="dot" w:pos="8306"/>
        </w:tabs>
        <w:rPr>
          <w:color w:val="auto"/>
        </w:rPr>
      </w:pPr>
      <w:r>
        <w:rPr>
          <w:rFonts w:eastAsia="宋体"/>
          <w:color w:val="auto"/>
        </w:rPr>
        <w:fldChar w:fldCharType="begin"/>
      </w:r>
      <w:r>
        <w:rPr>
          <w:rFonts w:eastAsia="宋体"/>
          <w:color w:val="auto"/>
        </w:rPr>
        <w:instrText xml:space="preserve"> HYPERLINK \l _Toc8923 </w:instrText>
      </w:r>
      <w:r>
        <w:rPr>
          <w:rFonts w:eastAsia="宋体"/>
          <w:color w:val="auto"/>
        </w:rPr>
        <w:fldChar w:fldCharType="separate"/>
      </w:r>
      <w:r>
        <w:rPr>
          <w:rFonts w:hint="eastAsia"/>
          <w:color w:val="auto"/>
        </w:rPr>
        <w:t>附表A-</w:t>
      </w:r>
      <w:r>
        <w:rPr>
          <w:color w:val="auto"/>
        </w:rPr>
        <w:t>12</w:t>
      </w:r>
      <w:r>
        <w:rPr>
          <w:rFonts w:hint="eastAsia"/>
          <w:color w:val="auto"/>
        </w:rPr>
        <w:t>：技术标评审记录表（个人）</w:t>
      </w:r>
      <w:r>
        <w:rPr>
          <w:color w:val="auto"/>
        </w:rPr>
        <w:tab/>
      </w:r>
      <w:r>
        <w:rPr>
          <w:color w:val="auto"/>
        </w:rPr>
        <w:fldChar w:fldCharType="begin"/>
      </w:r>
      <w:r>
        <w:rPr>
          <w:color w:val="auto"/>
        </w:rPr>
        <w:instrText xml:space="preserve"> PAGEREF _Toc8923 \h </w:instrText>
      </w:r>
      <w:r>
        <w:rPr>
          <w:color w:val="auto"/>
        </w:rPr>
        <w:fldChar w:fldCharType="separate"/>
      </w:r>
      <w:r>
        <w:rPr>
          <w:color w:val="auto"/>
        </w:rPr>
        <w:t>72</w:t>
      </w:r>
      <w:r>
        <w:rPr>
          <w:color w:val="auto"/>
        </w:rPr>
        <w:fldChar w:fldCharType="end"/>
      </w:r>
      <w:r>
        <w:rPr>
          <w:rFonts w:eastAsia="宋体"/>
          <w:color w:val="auto"/>
        </w:rPr>
        <w:fldChar w:fldCharType="end"/>
      </w:r>
    </w:p>
    <w:p w14:paraId="363FED36">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_Toc27132 </w:instrText>
      </w:r>
      <w:r>
        <w:rPr>
          <w:rFonts w:eastAsia="宋体"/>
          <w:color w:val="auto"/>
        </w:rPr>
        <w:fldChar w:fldCharType="separate"/>
      </w:r>
      <w:r>
        <w:rPr>
          <w:rFonts w:hint="eastAsia"/>
          <w:color w:val="auto"/>
        </w:rPr>
        <w:t>附表A-1</w:t>
      </w:r>
      <w:r>
        <w:rPr>
          <w:color w:val="auto"/>
        </w:rPr>
        <w:t>3</w:t>
      </w:r>
      <w:r>
        <w:rPr>
          <w:rFonts w:hint="eastAsia"/>
          <w:color w:val="auto"/>
        </w:rPr>
        <w:t>：</w:t>
      </w:r>
      <w:r>
        <w:rPr>
          <w:rFonts w:hint="eastAsia" w:ascii="宋体" w:hAnsi="宋体"/>
          <w:color w:val="auto"/>
          <w:szCs w:val="21"/>
        </w:rPr>
        <w:t>资信标</w:t>
      </w:r>
      <w:r>
        <w:rPr>
          <w:rFonts w:hint="eastAsia"/>
          <w:color w:val="auto"/>
        </w:rPr>
        <w:t>评审记录表</w:t>
      </w:r>
      <w:r>
        <w:rPr>
          <w:color w:val="auto"/>
        </w:rPr>
        <w:tab/>
      </w:r>
      <w:r>
        <w:rPr>
          <w:color w:val="auto"/>
        </w:rPr>
        <w:fldChar w:fldCharType="begin"/>
      </w:r>
      <w:r>
        <w:rPr>
          <w:color w:val="auto"/>
        </w:rPr>
        <w:instrText xml:space="preserve"> PAGEREF _Toc27132 \h </w:instrText>
      </w:r>
      <w:r>
        <w:rPr>
          <w:color w:val="auto"/>
        </w:rPr>
        <w:fldChar w:fldCharType="separate"/>
      </w:r>
      <w:r>
        <w:rPr>
          <w:color w:val="auto"/>
        </w:rPr>
        <w:t>73</w:t>
      </w:r>
      <w:r>
        <w:rPr>
          <w:color w:val="auto"/>
        </w:rPr>
        <w:fldChar w:fldCharType="end"/>
      </w:r>
      <w:r>
        <w:rPr>
          <w:rFonts w:eastAsia="宋体"/>
          <w:color w:val="auto"/>
        </w:rPr>
        <w:fldChar w:fldCharType="end"/>
      </w:r>
    </w:p>
    <w:p w14:paraId="6855B053">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_Toc27177 </w:instrText>
      </w:r>
      <w:r>
        <w:rPr>
          <w:rFonts w:eastAsia="宋体"/>
          <w:color w:val="auto"/>
        </w:rPr>
        <w:fldChar w:fldCharType="separate"/>
      </w:r>
      <w:r>
        <w:rPr>
          <w:rFonts w:hint="eastAsia"/>
          <w:color w:val="auto"/>
        </w:rPr>
        <w:t>附表A-1</w:t>
      </w:r>
      <w:r>
        <w:rPr>
          <w:color w:val="auto"/>
        </w:rPr>
        <w:t>4</w:t>
      </w:r>
      <w:r>
        <w:rPr>
          <w:rFonts w:hint="eastAsia"/>
          <w:color w:val="auto"/>
        </w:rPr>
        <w:t>：其他因素评审记录表</w:t>
      </w:r>
      <w:r>
        <w:rPr>
          <w:color w:val="auto"/>
        </w:rPr>
        <w:tab/>
      </w:r>
      <w:r>
        <w:rPr>
          <w:color w:val="auto"/>
        </w:rPr>
        <w:fldChar w:fldCharType="begin"/>
      </w:r>
      <w:r>
        <w:rPr>
          <w:color w:val="auto"/>
        </w:rPr>
        <w:instrText xml:space="preserve"> PAGEREF _Toc27177 \h </w:instrText>
      </w:r>
      <w:r>
        <w:rPr>
          <w:color w:val="auto"/>
        </w:rPr>
        <w:fldChar w:fldCharType="separate"/>
      </w:r>
      <w:r>
        <w:rPr>
          <w:color w:val="auto"/>
        </w:rPr>
        <w:t>74</w:t>
      </w:r>
      <w:r>
        <w:rPr>
          <w:color w:val="auto"/>
        </w:rPr>
        <w:fldChar w:fldCharType="end"/>
      </w:r>
      <w:r>
        <w:rPr>
          <w:rFonts w:eastAsia="宋体"/>
          <w:color w:val="auto"/>
        </w:rPr>
        <w:fldChar w:fldCharType="end"/>
      </w:r>
    </w:p>
    <w:p w14:paraId="00D78A2E">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_Toc20515 </w:instrText>
      </w:r>
      <w:r>
        <w:rPr>
          <w:rFonts w:eastAsia="宋体"/>
          <w:color w:val="auto"/>
        </w:rPr>
        <w:fldChar w:fldCharType="separate"/>
      </w:r>
      <w:r>
        <w:rPr>
          <w:rFonts w:hint="eastAsia"/>
          <w:color w:val="auto"/>
        </w:rPr>
        <w:t>附表A-1</w:t>
      </w:r>
      <w:r>
        <w:rPr>
          <w:color w:val="auto"/>
        </w:rPr>
        <w:t>5</w:t>
      </w:r>
      <w:r>
        <w:rPr>
          <w:rFonts w:hint="eastAsia"/>
          <w:color w:val="auto"/>
        </w:rPr>
        <w:t>：详细评审评分汇总表</w:t>
      </w:r>
      <w:r>
        <w:rPr>
          <w:color w:val="auto"/>
        </w:rPr>
        <w:tab/>
      </w:r>
      <w:r>
        <w:rPr>
          <w:color w:val="auto"/>
        </w:rPr>
        <w:fldChar w:fldCharType="begin"/>
      </w:r>
      <w:r>
        <w:rPr>
          <w:color w:val="auto"/>
        </w:rPr>
        <w:instrText xml:space="preserve"> PAGEREF _Toc20515 \h </w:instrText>
      </w:r>
      <w:r>
        <w:rPr>
          <w:color w:val="auto"/>
        </w:rPr>
        <w:fldChar w:fldCharType="separate"/>
      </w:r>
      <w:r>
        <w:rPr>
          <w:color w:val="auto"/>
        </w:rPr>
        <w:t>75</w:t>
      </w:r>
      <w:r>
        <w:rPr>
          <w:color w:val="auto"/>
        </w:rPr>
        <w:fldChar w:fldCharType="end"/>
      </w:r>
      <w:r>
        <w:rPr>
          <w:rFonts w:eastAsia="宋体"/>
          <w:color w:val="auto"/>
        </w:rPr>
        <w:fldChar w:fldCharType="end"/>
      </w:r>
    </w:p>
    <w:p w14:paraId="16F1D8D8">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_Toc29989 </w:instrText>
      </w:r>
      <w:r>
        <w:rPr>
          <w:rFonts w:eastAsia="宋体"/>
          <w:color w:val="auto"/>
        </w:rPr>
        <w:fldChar w:fldCharType="separate"/>
      </w:r>
      <w:r>
        <w:rPr>
          <w:rFonts w:hint="eastAsia"/>
          <w:color w:val="auto"/>
        </w:rPr>
        <w:t>附表A-1</w:t>
      </w:r>
      <w:r>
        <w:rPr>
          <w:color w:val="auto"/>
        </w:rPr>
        <w:t>6</w:t>
      </w:r>
      <w:r>
        <w:rPr>
          <w:rFonts w:hint="eastAsia"/>
          <w:color w:val="auto"/>
        </w:rPr>
        <w:t>：评标结果汇总表</w:t>
      </w:r>
      <w:r>
        <w:rPr>
          <w:color w:val="auto"/>
        </w:rPr>
        <w:tab/>
      </w:r>
      <w:r>
        <w:rPr>
          <w:color w:val="auto"/>
        </w:rPr>
        <w:fldChar w:fldCharType="begin"/>
      </w:r>
      <w:r>
        <w:rPr>
          <w:color w:val="auto"/>
        </w:rPr>
        <w:instrText xml:space="preserve"> PAGEREF _Toc29989 \h </w:instrText>
      </w:r>
      <w:r>
        <w:rPr>
          <w:color w:val="auto"/>
        </w:rPr>
        <w:fldChar w:fldCharType="separate"/>
      </w:r>
      <w:r>
        <w:rPr>
          <w:color w:val="auto"/>
        </w:rPr>
        <w:t>76</w:t>
      </w:r>
      <w:r>
        <w:rPr>
          <w:color w:val="auto"/>
        </w:rPr>
        <w:fldChar w:fldCharType="end"/>
      </w:r>
      <w:r>
        <w:rPr>
          <w:rFonts w:eastAsia="宋体"/>
          <w:color w:val="auto"/>
        </w:rPr>
        <w:fldChar w:fldCharType="end"/>
      </w:r>
    </w:p>
    <w:p w14:paraId="192869AB">
      <w:pPr>
        <w:pStyle w:val="11"/>
        <w:tabs>
          <w:tab w:val="right" w:leader="dot" w:pos="8306"/>
        </w:tabs>
        <w:rPr>
          <w:color w:val="auto"/>
        </w:rPr>
      </w:pPr>
      <w:r>
        <w:rPr>
          <w:rFonts w:eastAsia="宋体"/>
          <w:color w:val="auto"/>
        </w:rPr>
        <w:fldChar w:fldCharType="begin"/>
      </w:r>
      <w:r>
        <w:rPr>
          <w:rFonts w:eastAsia="宋体"/>
          <w:color w:val="auto"/>
        </w:rPr>
        <w:instrText xml:space="preserve"> HYPERLINK \l _Toc8703 </w:instrText>
      </w:r>
      <w:r>
        <w:rPr>
          <w:rFonts w:eastAsia="宋体"/>
          <w:color w:val="auto"/>
        </w:rPr>
        <w:fldChar w:fldCharType="separate"/>
      </w:r>
      <w:r>
        <w:rPr>
          <w:rFonts w:hint="eastAsia"/>
          <w:color w:val="auto"/>
        </w:rPr>
        <w:t>附表A-1</w:t>
      </w:r>
      <w:r>
        <w:rPr>
          <w:color w:val="auto"/>
        </w:rPr>
        <w:t>7</w:t>
      </w:r>
      <w:r>
        <w:rPr>
          <w:rFonts w:hint="eastAsia"/>
          <w:color w:val="auto"/>
        </w:rPr>
        <w:t>：推荐中标候选人一览表</w:t>
      </w:r>
      <w:r>
        <w:rPr>
          <w:color w:val="auto"/>
        </w:rPr>
        <w:tab/>
      </w:r>
      <w:r>
        <w:rPr>
          <w:color w:val="auto"/>
        </w:rPr>
        <w:fldChar w:fldCharType="begin"/>
      </w:r>
      <w:r>
        <w:rPr>
          <w:color w:val="auto"/>
        </w:rPr>
        <w:instrText xml:space="preserve"> PAGEREF _Toc8703 \h </w:instrText>
      </w:r>
      <w:r>
        <w:rPr>
          <w:color w:val="auto"/>
        </w:rPr>
        <w:fldChar w:fldCharType="separate"/>
      </w:r>
      <w:r>
        <w:rPr>
          <w:color w:val="auto"/>
        </w:rPr>
        <w:t>77</w:t>
      </w:r>
      <w:r>
        <w:rPr>
          <w:color w:val="auto"/>
        </w:rPr>
        <w:fldChar w:fldCharType="end"/>
      </w:r>
      <w:r>
        <w:rPr>
          <w:rFonts w:eastAsia="宋体"/>
          <w:color w:val="auto"/>
        </w:rPr>
        <w:fldChar w:fldCharType="end"/>
      </w:r>
    </w:p>
    <w:p w14:paraId="13536FFC">
      <w:pPr>
        <w:pStyle w:val="11"/>
        <w:tabs>
          <w:tab w:val="right" w:leader="dot" w:pos="8306"/>
        </w:tabs>
        <w:rPr>
          <w:color w:val="auto"/>
        </w:rPr>
      </w:pPr>
      <w:r>
        <w:rPr>
          <w:rFonts w:eastAsia="宋体"/>
          <w:color w:val="auto"/>
        </w:rPr>
        <w:fldChar w:fldCharType="begin"/>
      </w:r>
      <w:r>
        <w:rPr>
          <w:rFonts w:eastAsia="宋体"/>
          <w:color w:val="auto"/>
        </w:rPr>
        <w:instrText xml:space="preserve"> HYPERLINK \l _Toc9668 </w:instrText>
      </w:r>
      <w:r>
        <w:rPr>
          <w:rFonts w:eastAsia="宋体"/>
          <w:color w:val="auto"/>
        </w:rPr>
        <w:fldChar w:fldCharType="separate"/>
      </w:r>
      <w:r>
        <w:rPr>
          <w:rFonts w:hint="eastAsia"/>
          <w:color w:val="auto"/>
        </w:rPr>
        <w:t>附表</w:t>
      </w:r>
      <w:r>
        <w:rPr>
          <w:color w:val="auto"/>
        </w:rPr>
        <w:t>C</w:t>
      </w:r>
      <w:r>
        <w:rPr>
          <w:rFonts w:hint="eastAsia"/>
          <w:color w:val="auto"/>
        </w:rPr>
        <w:t>-1：成本评审结论记录表</w:t>
      </w:r>
      <w:r>
        <w:rPr>
          <w:color w:val="auto"/>
        </w:rPr>
        <w:tab/>
      </w:r>
      <w:r>
        <w:rPr>
          <w:color w:val="auto"/>
        </w:rPr>
        <w:fldChar w:fldCharType="begin"/>
      </w:r>
      <w:r>
        <w:rPr>
          <w:color w:val="auto"/>
        </w:rPr>
        <w:instrText xml:space="preserve"> PAGEREF _Toc9668 \h </w:instrText>
      </w:r>
      <w:r>
        <w:rPr>
          <w:color w:val="auto"/>
        </w:rPr>
        <w:fldChar w:fldCharType="separate"/>
      </w:r>
      <w:r>
        <w:rPr>
          <w:color w:val="auto"/>
        </w:rPr>
        <w:t>78</w:t>
      </w:r>
      <w:r>
        <w:rPr>
          <w:color w:val="auto"/>
        </w:rPr>
        <w:fldChar w:fldCharType="end"/>
      </w:r>
      <w:r>
        <w:rPr>
          <w:rFonts w:eastAsia="宋体"/>
          <w:color w:val="auto"/>
        </w:rPr>
        <w:fldChar w:fldCharType="end"/>
      </w:r>
    </w:p>
    <w:p w14:paraId="60D431CF">
      <w:pPr>
        <w:pStyle w:val="15"/>
        <w:tabs>
          <w:tab w:val="right" w:leader="dot" w:pos="8306"/>
        </w:tabs>
        <w:rPr>
          <w:color w:val="auto"/>
        </w:rPr>
      </w:pPr>
      <w:r>
        <w:rPr>
          <w:rFonts w:eastAsia="宋体"/>
          <w:color w:val="auto"/>
        </w:rPr>
        <w:fldChar w:fldCharType="begin"/>
      </w:r>
      <w:r>
        <w:rPr>
          <w:rFonts w:eastAsia="宋体"/>
          <w:color w:val="auto"/>
        </w:rPr>
        <w:instrText xml:space="preserve"> HYPERLINK \l _Toc8616 </w:instrText>
      </w:r>
      <w:r>
        <w:rPr>
          <w:rFonts w:eastAsia="宋体"/>
          <w:color w:val="auto"/>
        </w:rPr>
        <w:fldChar w:fldCharType="separate"/>
      </w:r>
      <w:r>
        <w:rPr>
          <w:rFonts w:hint="eastAsia" w:ascii="黑体" w:hAnsi="黑体" w:eastAsia="黑体"/>
          <w:bCs w:val="0"/>
          <w:color w:val="auto"/>
        </w:rPr>
        <w:t>第四章  合同条款及格式</w:t>
      </w:r>
      <w:r>
        <w:rPr>
          <w:color w:val="auto"/>
        </w:rPr>
        <w:tab/>
      </w:r>
      <w:r>
        <w:rPr>
          <w:color w:val="auto"/>
        </w:rPr>
        <w:fldChar w:fldCharType="begin"/>
      </w:r>
      <w:r>
        <w:rPr>
          <w:color w:val="auto"/>
        </w:rPr>
        <w:instrText xml:space="preserve"> PAGEREF _Toc8616 \h </w:instrText>
      </w:r>
      <w:r>
        <w:rPr>
          <w:color w:val="auto"/>
        </w:rPr>
        <w:fldChar w:fldCharType="separate"/>
      </w:r>
      <w:r>
        <w:rPr>
          <w:color w:val="auto"/>
        </w:rPr>
        <w:t>79</w:t>
      </w:r>
      <w:r>
        <w:rPr>
          <w:color w:val="auto"/>
        </w:rPr>
        <w:fldChar w:fldCharType="end"/>
      </w:r>
      <w:r>
        <w:rPr>
          <w:rFonts w:eastAsia="宋体"/>
          <w:color w:val="auto"/>
        </w:rPr>
        <w:fldChar w:fldCharType="end"/>
      </w:r>
    </w:p>
    <w:p w14:paraId="5EE79AF2">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_Toc26063 </w:instrText>
      </w:r>
      <w:r>
        <w:rPr>
          <w:rFonts w:eastAsia="宋体"/>
          <w:color w:val="auto"/>
        </w:rPr>
        <w:fldChar w:fldCharType="separate"/>
      </w:r>
      <w:r>
        <w:rPr>
          <w:rFonts w:ascii="华文中宋" w:hAnsi="华文中宋" w:eastAsia="华文中宋"/>
          <w:color w:val="auto"/>
          <w:szCs w:val="44"/>
          <w:highlight w:val="none"/>
        </w:rPr>
        <w:t>第一部分 合同协议书</w:t>
      </w:r>
      <w:r>
        <w:rPr>
          <w:color w:val="auto"/>
        </w:rPr>
        <w:tab/>
      </w:r>
      <w:r>
        <w:rPr>
          <w:color w:val="auto"/>
        </w:rPr>
        <w:fldChar w:fldCharType="begin"/>
      </w:r>
      <w:r>
        <w:rPr>
          <w:color w:val="auto"/>
        </w:rPr>
        <w:instrText xml:space="preserve"> PAGEREF _Toc26063 \h </w:instrText>
      </w:r>
      <w:r>
        <w:rPr>
          <w:color w:val="auto"/>
        </w:rPr>
        <w:fldChar w:fldCharType="separate"/>
      </w:r>
      <w:r>
        <w:rPr>
          <w:color w:val="auto"/>
        </w:rPr>
        <w:t>1</w:t>
      </w:r>
      <w:r>
        <w:rPr>
          <w:color w:val="auto"/>
        </w:rPr>
        <w:fldChar w:fldCharType="end"/>
      </w:r>
      <w:r>
        <w:rPr>
          <w:rFonts w:eastAsia="宋体"/>
          <w:color w:val="auto"/>
        </w:rPr>
        <w:fldChar w:fldCharType="end"/>
      </w:r>
    </w:p>
    <w:p w14:paraId="5F0F5645">
      <w:pPr>
        <w:pStyle w:val="11"/>
        <w:tabs>
          <w:tab w:val="right" w:leader="dot" w:pos="8306"/>
        </w:tabs>
        <w:rPr>
          <w:color w:val="auto"/>
        </w:rPr>
      </w:pPr>
      <w:r>
        <w:rPr>
          <w:rFonts w:eastAsia="宋体"/>
          <w:color w:val="auto"/>
        </w:rPr>
        <w:fldChar w:fldCharType="begin"/>
      </w:r>
      <w:r>
        <w:rPr>
          <w:rFonts w:eastAsia="宋体"/>
          <w:color w:val="auto"/>
        </w:rPr>
        <w:instrText xml:space="preserve"> HYPERLINK \l _Toc18835 </w:instrText>
      </w:r>
      <w:r>
        <w:rPr>
          <w:rFonts w:eastAsia="宋体"/>
          <w:color w:val="auto"/>
        </w:rPr>
        <w:fldChar w:fldCharType="separate"/>
      </w:r>
      <w:r>
        <w:rPr>
          <w:rFonts w:ascii="华文中宋" w:hAnsi="华文中宋" w:eastAsia="华文中宋"/>
          <w:color w:val="auto"/>
          <w:szCs w:val="44"/>
          <w:highlight w:val="none"/>
        </w:rPr>
        <w:t>第二部分 通用合同条款</w:t>
      </w:r>
      <w:r>
        <w:rPr>
          <w:color w:val="auto"/>
        </w:rPr>
        <w:tab/>
      </w:r>
      <w:r>
        <w:rPr>
          <w:color w:val="auto"/>
        </w:rPr>
        <w:fldChar w:fldCharType="begin"/>
      </w:r>
      <w:r>
        <w:rPr>
          <w:color w:val="auto"/>
        </w:rPr>
        <w:instrText xml:space="preserve"> PAGEREF _Toc18835 \h </w:instrText>
      </w:r>
      <w:r>
        <w:rPr>
          <w:color w:val="auto"/>
        </w:rPr>
        <w:fldChar w:fldCharType="separate"/>
      </w:r>
      <w:r>
        <w:rPr>
          <w:color w:val="auto"/>
        </w:rPr>
        <w:t>4</w:t>
      </w:r>
      <w:r>
        <w:rPr>
          <w:color w:val="auto"/>
        </w:rPr>
        <w:fldChar w:fldCharType="end"/>
      </w:r>
      <w:r>
        <w:rPr>
          <w:rFonts w:eastAsia="宋体"/>
          <w:color w:val="auto"/>
        </w:rPr>
        <w:fldChar w:fldCharType="end"/>
      </w:r>
    </w:p>
    <w:p w14:paraId="0475613D">
      <w:pPr>
        <w:pStyle w:val="11"/>
        <w:tabs>
          <w:tab w:val="right" w:leader="dot" w:pos="8306"/>
        </w:tabs>
        <w:rPr>
          <w:color w:val="auto"/>
        </w:rPr>
      </w:pPr>
      <w:r>
        <w:rPr>
          <w:rFonts w:eastAsia="宋体"/>
          <w:color w:val="auto"/>
        </w:rPr>
        <w:fldChar w:fldCharType="begin"/>
      </w:r>
      <w:r>
        <w:rPr>
          <w:rFonts w:eastAsia="宋体"/>
          <w:color w:val="auto"/>
        </w:rPr>
        <w:instrText xml:space="preserve"> HYPERLINK \l _Toc18060 </w:instrText>
      </w:r>
      <w:r>
        <w:rPr>
          <w:rFonts w:eastAsia="宋体"/>
          <w:color w:val="auto"/>
        </w:rPr>
        <w:fldChar w:fldCharType="separate"/>
      </w:r>
      <w:r>
        <w:rPr>
          <w:rFonts w:ascii="华文中宋" w:hAnsi="华文中宋" w:eastAsia="华文中宋"/>
          <w:color w:val="auto"/>
          <w:szCs w:val="44"/>
          <w:highlight w:val="none"/>
        </w:rPr>
        <w:t xml:space="preserve">第三部分 </w:t>
      </w:r>
      <w:r>
        <w:rPr>
          <w:rFonts w:hint="eastAsia" w:ascii="华文中宋" w:hAnsi="华文中宋" w:eastAsia="华文中宋"/>
          <w:color w:val="auto"/>
          <w:szCs w:val="44"/>
          <w:highlight w:val="none"/>
        </w:rPr>
        <w:t>专用合同条款</w:t>
      </w:r>
      <w:r>
        <w:rPr>
          <w:color w:val="auto"/>
        </w:rPr>
        <w:tab/>
      </w:r>
      <w:r>
        <w:rPr>
          <w:color w:val="auto"/>
        </w:rPr>
        <w:fldChar w:fldCharType="begin"/>
      </w:r>
      <w:r>
        <w:rPr>
          <w:color w:val="auto"/>
        </w:rPr>
        <w:instrText xml:space="preserve"> PAGEREF _Toc18060 \h </w:instrText>
      </w:r>
      <w:r>
        <w:rPr>
          <w:color w:val="auto"/>
        </w:rPr>
        <w:fldChar w:fldCharType="separate"/>
      </w:r>
      <w:r>
        <w:rPr>
          <w:color w:val="auto"/>
        </w:rPr>
        <w:t>53</w:t>
      </w:r>
      <w:r>
        <w:rPr>
          <w:color w:val="auto"/>
        </w:rPr>
        <w:fldChar w:fldCharType="end"/>
      </w:r>
      <w:r>
        <w:rPr>
          <w:rFonts w:eastAsia="宋体"/>
          <w:color w:val="auto"/>
        </w:rPr>
        <w:fldChar w:fldCharType="end"/>
      </w:r>
    </w:p>
    <w:p w14:paraId="4DE6A0C3">
      <w:pPr>
        <w:pStyle w:val="15"/>
        <w:tabs>
          <w:tab w:val="right" w:leader="dot" w:pos="8306"/>
        </w:tabs>
        <w:rPr>
          <w:color w:val="auto"/>
        </w:rPr>
      </w:pPr>
      <w:r>
        <w:rPr>
          <w:rFonts w:eastAsia="宋体"/>
          <w:color w:val="auto"/>
        </w:rPr>
        <w:fldChar w:fldCharType="begin"/>
      </w:r>
      <w:r>
        <w:rPr>
          <w:rFonts w:eastAsia="宋体"/>
          <w:color w:val="auto"/>
        </w:rPr>
        <w:instrText xml:space="preserve"> HYPERLINK \l _Toc27653 </w:instrText>
      </w:r>
      <w:r>
        <w:rPr>
          <w:rFonts w:eastAsia="宋体"/>
          <w:color w:val="auto"/>
        </w:rPr>
        <w:fldChar w:fldCharType="separate"/>
      </w:r>
      <w:r>
        <w:rPr>
          <w:rFonts w:hint="eastAsia" w:ascii="黑体" w:hAnsi="黑体" w:eastAsia="黑体"/>
          <w:bCs w:val="0"/>
          <w:color w:val="auto"/>
        </w:rPr>
        <w:t>第五章  工程量清单</w:t>
      </w:r>
      <w:r>
        <w:rPr>
          <w:color w:val="auto"/>
        </w:rPr>
        <w:tab/>
      </w:r>
      <w:r>
        <w:rPr>
          <w:color w:val="auto"/>
        </w:rPr>
        <w:fldChar w:fldCharType="begin"/>
      </w:r>
      <w:r>
        <w:rPr>
          <w:color w:val="auto"/>
        </w:rPr>
        <w:instrText xml:space="preserve"> PAGEREF _Toc27653 \h </w:instrText>
      </w:r>
      <w:r>
        <w:rPr>
          <w:color w:val="auto"/>
        </w:rPr>
        <w:fldChar w:fldCharType="separate"/>
      </w:r>
      <w:r>
        <w:rPr>
          <w:color w:val="auto"/>
        </w:rPr>
        <w:t>87</w:t>
      </w:r>
      <w:r>
        <w:rPr>
          <w:color w:val="auto"/>
        </w:rPr>
        <w:fldChar w:fldCharType="end"/>
      </w:r>
      <w:r>
        <w:rPr>
          <w:rFonts w:eastAsia="宋体"/>
          <w:color w:val="auto"/>
        </w:rPr>
        <w:fldChar w:fldCharType="end"/>
      </w:r>
    </w:p>
    <w:p w14:paraId="66AE7293">
      <w:pPr>
        <w:pStyle w:val="15"/>
        <w:tabs>
          <w:tab w:val="right" w:leader="dot" w:pos="8306"/>
        </w:tabs>
        <w:rPr>
          <w:color w:val="auto"/>
        </w:rPr>
      </w:pPr>
      <w:r>
        <w:rPr>
          <w:rFonts w:eastAsia="宋体"/>
          <w:color w:val="auto"/>
        </w:rPr>
        <w:fldChar w:fldCharType="begin"/>
      </w:r>
      <w:r>
        <w:rPr>
          <w:rFonts w:eastAsia="宋体"/>
          <w:color w:val="auto"/>
        </w:rPr>
        <w:instrText xml:space="preserve"> HYPERLINK \l _Toc9948 </w:instrText>
      </w:r>
      <w:r>
        <w:rPr>
          <w:rFonts w:eastAsia="宋体"/>
          <w:color w:val="auto"/>
        </w:rPr>
        <w:fldChar w:fldCharType="separate"/>
      </w:r>
      <w:r>
        <w:rPr>
          <w:rFonts w:hint="eastAsia" w:ascii="黑体" w:hAnsi="黑体" w:eastAsia="黑体"/>
          <w:bCs w:val="0"/>
          <w:color w:val="auto"/>
          <w:szCs w:val="48"/>
        </w:rPr>
        <w:t>第二卷</w:t>
      </w:r>
      <w:r>
        <w:rPr>
          <w:color w:val="auto"/>
        </w:rPr>
        <w:tab/>
      </w:r>
      <w:r>
        <w:rPr>
          <w:color w:val="auto"/>
        </w:rPr>
        <w:fldChar w:fldCharType="begin"/>
      </w:r>
      <w:r>
        <w:rPr>
          <w:color w:val="auto"/>
        </w:rPr>
        <w:instrText xml:space="preserve"> PAGEREF _Toc9948 \h </w:instrText>
      </w:r>
      <w:r>
        <w:rPr>
          <w:color w:val="auto"/>
        </w:rPr>
        <w:fldChar w:fldCharType="separate"/>
      </w:r>
      <w:r>
        <w:rPr>
          <w:color w:val="auto"/>
        </w:rPr>
        <w:t>89</w:t>
      </w:r>
      <w:r>
        <w:rPr>
          <w:color w:val="auto"/>
        </w:rPr>
        <w:fldChar w:fldCharType="end"/>
      </w:r>
      <w:r>
        <w:rPr>
          <w:rFonts w:eastAsia="宋体"/>
          <w:color w:val="auto"/>
        </w:rPr>
        <w:fldChar w:fldCharType="end"/>
      </w:r>
    </w:p>
    <w:p w14:paraId="12D7DEC1">
      <w:pPr>
        <w:pStyle w:val="15"/>
        <w:tabs>
          <w:tab w:val="right" w:leader="dot" w:pos="8306"/>
        </w:tabs>
        <w:rPr>
          <w:color w:val="auto"/>
        </w:rPr>
      </w:pPr>
      <w:r>
        <w:rPr>
          <w:rFonts w:eastAsia="宋体"/>
          <w:color w:val="auto"/>
        </w:rPr>
        <w:fldChar w:fldCharType="begin"/>
      </w:r>
      <w:r>
        <w:rPr>
          <w:rFonts w:eastAsia="宋体"/>
          <w:color w:val="auto"/>
        </w:rPr>
        <w:instrText xml:space="preserve"> HYPERLINK \l _Toc13125 </w:instrText>
      </w:r>
      <w:r>
        <w:rPr>
          <w:rFonts w:eastAsia="宋体"/>
          <w:color w:val="auto"/>
        </w:rPr>
        <w:fldChar w:fldCharType="separate"/>
      </w:r>
      <w:r>
        <w:rPr>
          <w:rFonts w:ascii="黑体" w:hAnsi="黑体" w:eastAsia="黑体"/>
          <w:bCs w:val="0"/>
          <w:color w:val="auto"/>
        </w:rPr>
        <w:t>第</w:t>
      </w:r>
      <w:r>
        <w:rPr>
          <w:rFonts w:hint="eastAsia" w:ascii="黑体" w:hAnsi="黑体" w:eastAsia="黑体"/>
          <w:bCs w:val="0"/>
          <w:color w:val="auto"/>
          <w:lang w:val="en-US" w:eastAsia="zh-CN"/>
        </w:rPr>
        <w:t>六</w:t>
      </w:r>
      <w:r>
        <w:rPr>
          <w:rFonts w:ascii="黑体" w:hAnsi="黑体" w:eastAsia="黑体"/>
          <w:bCs w:val="0"/>
          <w:color w:val="auto"/>
        </w:rPr>
        <w:t>章</w:t>
      </w:r>
      <w:r>
        <w:rPr>
          <w:rFonts w:hint="eastAsia" w:ascii="黑体" w:hAnsi="黑体" w:eastAsia="黑体"/>
          <w:bCs w:val="0"/>
          <w:color w:val="auto"/>
          <w:lang w:val="en-US" w:eastAsia="zh-CN"/>
        </w:rPr>
        <w:t xml:space="preserve"> </w:t>
      </w:r>
      <w:r>
        <w:rPr>
          <w:rFonts w:hint="eastAsia" w:ascii="黑体" w:hAnsi="黑体" w:eastAsia="黑体"/>
          <w:bCs w:val="0"/>
          <w:color w:val="auto"/>
        </w:rPr>
        <w:t xml:space="preserve"> </w:t>
      </w:r>
      <w:r>
        <w:rPr>
          <w:rFonts w:hint="eastAsia" w:ascii="黑体" w:hAnsi="黑体" w:eastAsia="黑体"/>
          <w:bCs w:val="0"/>
          <w:color w:val="auto"/>
          <w:lang w:val="en-US" w:eastAsia="zh-CN"/>
        </w:rPr>
        <w:t>图  纸</w:t>
      </w:r>
      <w:r>
        <w:rPr>
          <w:color w:val="auto"/>
        </w:rPr>
        <w:tab/>
      </w:r>
      <w:r>
        <w:rPr>
          <w:color w:val="auto"/>
        </w:rPr>
        <w:fldChar w:fldCharType="begin"/>
      </w:r>
      <w:r>
        <w:rPr>
          <w:color w:val="auto"/>
        </w:rPr>
        <w:instrText xml:space="preserve"> PAGEREF _Toc13125 \h </w:instrText>
      </w:r>
      <w:r>
        <w:rPr>
          <w:color w:val="auto"/>
        </w:rPr>
        <w:fldChar w:fldCharType="separate"/>
      </w:r>
      <w:r>
        <w:rPr>
          <w:color w:val="auto"/>
        </w:rPr>
        <w:t>90</w:t>
      </w:r>
      <w:r>
        <w:rPr>
          <w:color w:val="auto"/>
        </w:rPr>
        <w:fldChar w:fldCharType="end"/>
      </w:r>
      <w:r>
        <w:rPr>
          <w:rFonts w:eastAsia="宋体"/>
          <w:color w:val="auto"/>
        </w:rPr>
        <w:fldChar w:fldCharType="end"/>
      </w:r>
    </w:p>
    <w:p w14:paraId="31426CDE">
      <w:pPr>
        <w:pStyle w:val="17"/>
        <w:tabs>
          <w:tab w:val="right" w:leader="dot" w:pos="8306"/>
        </w:tabs>
        <w:rPr>
          <w:color w:val="auto"/>
        </w:rPr>
      </w:pPr>
      <w:r>
        <w:rPr>
          <w:rFonts w:eastAsia="宋体"/>
          <w:color w:val="auto"/>
        </w:rPr>
        <w:fldChar w:fldCharType="begin"/>
      </w:r>
      <w:r>
        <w:rPr>
          <w:rFonts w:eastAsia="宋体"/>
          <w:color w:val="auto"/>
        </w:rPr>
        <w:instrText xml:space="preserve"> HYPERLINK \l _Toc23337 </w:instrText>
      </w:r>
      <w:r>
        <w:rPr>
          <w:rFonts w:eastAsia="宋体"/>
          <w:color w:val="auto"/>
        </w:rPr>
        <w:fldChar w:fldCharType="separate"/>
      </w:r>
      <w:r>
        <w:rPr>
          <w:rFonts w:hint="eastAsia"/>
          <w:color w:val="auto"/>
          <w:szCs w:val="24"/>
        </w:rPr>
        <w:t>1．图纸目录</w:t>
      </w:r>
      <w:r>
        <w:rPr>
          <w:color w:val="auto"/>
        </w:rPr>
        <w:tab/>
      </w:r>
      <w:r>
        <w:rPr>
          <w:color w:val="auto"/>
        </w:rPr>
        <w:fldChar w:fldCharType="begin"/>
      </w:r>
      <w:r>
        <w:rPr>
          <w:color w:val="auto"/>
        </w:rPr>
        <w:instrText xml:space="preserve"> PAGEREF _Toc23337 \h </w:instrText>
      </w:r>
      <w:r>
        <w:rPr>
          <w:color w:val="auto"/>
        </w:rPr>
        <w:fldChar w:fldCharType="separate"/>
      </w:r>
      <w:r>
        <w:rPr>
          <w:color w:val="auto"/>
        </w:rPr>
        <w:t>91</w:t>
      </w:r>
      <w:r>
        <w:rPr>
          <w:color w:val="auto"/>
        </w:rPr>
        <w:fldChar w:fldCharType="end"/>
      </w:r>
      <w:r>
        <w:rPr>
          <w:rFonts w:eastAsia="宋体"/>
          <w:color w:val="auto"/>
        </w:rPr>
        <w:fldChar w:fldCharType="end"/>
      </w:r>
    </w:p>
    <w:p w14:paraId="01207B8C">
      <w:pPr>
        <w:pStyle w:val="17"/>
        <w:tabs>
          <w:tab w:val="right" w:leader="dot" w:pos="8306"/>
        </w:tabs>
        <w:rPr>
          <w:color w:val="auto"/>
        </w:rPr>
      </w:pPr>
      <w:r>
        <w:rPr>
          <w:rFonts w:eastAsia="宋体"/>
          <w:color w:val="auto"/>
        </w:rPr>
        <w:fldChar w:fldCharType="begin"/>
      </w:r>
      <w:r>
        <w:rPr>
          <w:rFonts w:eastAsia="宋体"/>
          <w:color w:val="auto"/>
        </w:rPr>
        <w:instrText xml:space="preserve"> HYPERLINK \l _Toc12369 </w:instrText>
      </w:r>
      <w:r>
        <w:rPr>
          <w:rFonts w:eastAsia="宋体"/>
          <w:color w:val="auto"/>
        </w:rPr>
        <w:fldChar w:fldCharType="separate"/>
      </w:r>
      <w:r>
        <w:rPr>
          <w:rFonts w:hint="eastAsia"/>
          <w:color w:val="auto"/>
          <w:szCs w:val="24"/>
        </w:rPr>
        <w:t>2．图  纸</w:t>
      </w:r>
      <w:r>
        <w:rPr>
          <w:color w:val="auto"/>
        </w:rPr>
        <w:tab/>
      </w:r>
      <w:r>
        <w:rPr>
          <w:color w:val="auto"/>
        </w:rPr>
        <w:fldChar w:fldCharType="begin"/>
      </w:r>
      <w:r>
        <w:rPr>
          <w:color w:val="auto"/>
        </w:rPr>
        <w:instrText xml:space="preserve"> PAGEREF _Toc12369 \h </w:instrText>
      </w:r>
      <w:r>
        <w:rPr>
          <w:color w:val="auto"/>
        </w:rPr>
        <w:fldChar w:fldCharType="separate"/>
      </w:r>
      <w:r>
        <w:rPr>
          <w:color w:val="auto"/>
        </w:rPr>
        <w:t>92</w:t>
      </w:r>
      <w:r>
        <w:rPr>
          <w:color w:val="auto"/>
        </w:rPr>
        <w:fldChar w:fldCharType="end"/>
      </w:r>
      <w:r>
        <w:rPr>
          <w:rFonts w:eastAsia="宋体"/>
          <w:color w:val="auto"/>
        </w:rPr>
        <w:fldChar w:fldCharType="end"/>
      </w:r>
    </w:p>
    <w:p w14:paraId="2CB817D3">
      <w:pPr>
        <w:pStyle w:val="15"/>
        <w:tabs>
          <w:tab w:val="right" w:leader="dot" w:pos="8306"/>
        </w:tabs>
        <w:rPr>
          <w:color w:val="auto"/>
        </w:rPr>
      </w:pPr>
      <w:r>
        <w:rPr>
          <w:rFonts w:eastAsia="宋体"/>
          <w:color w:val="auto"/>
        </w:rPr>
        <w:fldChar w:fldCharType="begin"/>
      </w:r>
      <w:r>
        <w:rPr>
          <w:rFonts w:eastAsia="宋体"/>
          <w:color w:val="auto"/>
        </w:rPr>
        <w:instrText xml:space="preserve"> HYPERLINK \l _Toc28115 </w:instrText>
      </w:r>
      <w:r>
        <w:rPr>
          <w:rFonts w:eastAsia="宋体"/>
          <w:color w:val="auto"/>
        </w:rPr>
        <w:fldChar w:fldCharType="separate"/>
      </w:r>
      <w:r>
        <w:rPr>
          <w:rFonts w:hint="eastAsia" w:ascii="黑体" w:hAnsi="黑体" w:eastAsia="黑体"/>
          <w:bCs w:val="0"/>
          <w:color w:val="auto"/>
          <w:szCs w:val="48"/>
        </w:rPr>
        <w:t>第三卷</w:t>
      </w:r>
      <w:r>
        <w:rPr>
          <w:color w:val="auto"/>
        </w:rPr>
        <w:tab/>
      </w:r>
      <w:r>
        <w:rPr>
          <w:color w:val="auto"/>
        </w:rPr>
        <w:fldChar w:fldCharType="begin"/>
      </w:r>
      <w:r>
        <w:rPr>
          <w:color w:val="auto"/>
        </w:rPr>
        <w:instrText xml:space="preserve"> PAGEREF _Toc28115 \h </w:instrText>
      </w:r>
      <w:r>
        <w:rPr>
          <w:color w:val="auto"/>
        </w:rPr>
        <w:fldChar w:fldCharType="separate"/>
      </w:r>
      <w:r>
        <w:rPr>
          <w:color w:val="auto"/>
        </w:rPr>
        <w:t>93</w:t>
      </w:r>
      <w:r>
        <w:rPr>
          <w:color w:val="auto"/>
        </w:rPr>
        <w:fldChar w:fldCharType="end"/>
      </w:r>
      <w:r>
        <w:rPr>
          <w:rFonts w:eastAsia="宋体"/>
          <w:color w:val="auto"/>
        </w:rPr>
        <w:fldChar w:fldCharType="end"/>
      </w:r>
    </w:p>
    <w:p w14:paraId="2DACA4BD">
      <w:pPr>
        <w:pStyle w:val="15"/>
        <w:tabs>
          <w:tab w:val="right" w:leader="dot" w:pos="8306"/>
        </w:tabs>
        <w:rPr>
          <w:color w:val="auto"/>
        </w:rPr>
      </w:pPr>
      <w:r>
        <w:rPr>
          <w:rFonts w:eastAsia="宋体"/>
          <w:color w:val="auto"/>
        </w:rPr>
        <w:fldChar w:fldCharType="begin"/>
      </w:r>
      <w:r>
        <w:rPr>
          <w:rFonts w:eastAsia="宋体"/>
          <w:color w:val="auto"/>
        </w:rPr>
        <w:instrText xml:space="preserve"> HYPERLINK \l _Toc21519 </w:instrText>
      </w:r>
      <w:r>
        <w:rPr>
          <w:rFonts w:eastAsia="宋体"/>
          <w:color w:val="auto"/>
        </w:rPr>
        <w:fldChar w:fldCharType="separate"/>
      </w:r>
      <w:r>
        <w:rPr>
          <w:rFonts w:hint="eastAsia" w:ascii="黑体" w:hAnsi="黑体" w:eastAsia="黑体"/>
          <w:bCs w:val="0"/>
          <w:color w:val="auto"/>
        </w:rPr>
        <w:t>第七章  技术标准和要求</w:t>
      </w:r>
      <w:r>
        <w:rPr>
          <w:color w:val="auto"/>
        </w:rPr>
        <w:tab/>
      </w:r>
      <w:r>
        <w:rPr>
          <w:color w:val="auto"/>
        </w:rPr>
        <w:fldChar w:fldCharType="begin"/>
      </w:r>
      <w:r>
        <w:rPr>
          <w:color w:val="auto"/>
        </w:rPr>
        <w:instrText xml:space="preserve"> PAGEREF _Toc21519 \h </w:instrText>
      </w:r>
      <w:r>
        <w:rPr>
          <w:color w:val="auto"/>
        </w:rPr>
        <w:fldChar w:fldCharType="separate"/>
      </w:r>
      <w:r>
        <w:rPr>
          <w:color w:val="auto"/>
        </w:rPr>
        <w:t>94</w:t>
      </w:r>
      <w:r>
        <w:rPr>
          <w:color w:val="auto"/>
        </w:rPr>
        <w:fldChar w:fldCharType="end"/>
      </w:r>
      <w:r>
        <w:rPr>
          <w:rFonts w:eastAsia="宋体"/>
          <w:color w:val="auto"/>
        </w:rPr>
        <w:fldChar w:fldCharType="end"/>
      </w:r>
    </w:p>
    <w:p w14:paraId="4C98DF8E">
      <w:pPr>
        <w:pStyle w:val="17"/>
        <w:tabs>
          <w:tab w:val="right" w:leader="dot" w:pos="8306"/>
        </w:tabs>
        <w:rPr>
          <w:color w:val="auto"/>
        </w:rPr>
      </w:pPr>
      <w:r>
        <w:rPr>
          <w:rFonts w:eastAsia="宋体"/>
          <w:color w:val="auto"/>
        </w:rPr>
        <w:fldChar w:fldCharType="begin"/>
      </w:r>
      <w:r>
        <w:rPr>
          <w:rFonts w:eastAsia="宋体"/>
          <w:color w:val="auto"/>
        </w:rPr>
        <w:instrText xml:space="preserve"> HYPERLINK \l _Toc1027 </w:instrText>
      </w:r>
      <w:r>
        <w:rPr>
          <w:rFonts w:eastAsia="宋体"/>
          <w:color w:val="auto"/>
        </w:rPr>
        <w:fldChar w:fldCharType="separate"/>
      </w:r>
      <w:r>
        <w:rPr>
          <w:rFonts w:hint="default" w:ascii="宋体" w:hAnsi="宋体" w:eastAsia="宋体" w:cstheme="minorBidi"/>
          <w:bCs/>
          <w:color w:val="auto"/>
          <w:kern w:val="2"/>
          <w:szCs w:val="24"/>
          <w:highlight w:val="none"/>
          <w:lang w:val="en-US" w:eastAsia="zh-CN" w:bidi="ar-SA"/>
        </w:rPr>
        <w:t>第一节一般要求</w:t>
      </w:r>
      <w:r>
        <w:rPr>
          <w:color w:val="auto"/>
        </w:rPr>
        <w:tab/>
      </w:r>
      <w:r>
        <w:rPr>
          <w:color w:val="auto"/>
        </w:rPr>
        <w:fldChar w:fldCharType="begin"/>
      </w:r>
      <w:r>
        <w:rPr>
          <w:color w:val="auto"/>
        </w:rPr>
        <w:instrText xml:space="preserve"> PAGEREF _Toc1027 \h </w:instrText>
      </w:r>
      <w:r>
        <w:rPr>
          <w:color w:val="auto"/>
        </w:rPr>
        <w:fldChar w:fldCharType="separate"/>
      </w:r>
      <w:r>
        <w:rPr>
          <w:color w:val="auto"/>
        </w:rPr>
        <w:t>95</w:t>
      </w:r>
      <w:r>
        <w:rPr>
          <w:color w:val="auto"/>
        </w:rPr>
        <w:fldChar w:fldCharType="end"/>
      </w:r>
      <w:r>
        <w:rPr>
          <w:rFonts w:eastAsia="宋体"/>
          <w:color w:val="auto"/>
        </w:rPr>
        <w:fldChar w:fldCharType="end"/>
      </w:r>
    </w:p>
    <w:p w14:paraId="3E5C6BAE">
      <w:pPr>
        <w:pStyle w:val="17"/>
        <w:tabs>
          <w:tab w:val="right" w:leader="dot" w:pos="8306"/>
        </w:tabs>
        <w:rPr>
          <w:color w:val="auto"/>
        </w:rPr>
      </w:pPr>
      <w:r>
        <w:rPr>
          <w:rFonts w:eastAsia="宋体"/>
          <w:color w:val="auto"/>
        </w:rPr>
        <w:fldChar w:fldCharType="begin"/>
      </w:r>
      <w:r>
        <w:rPr>
          <w:rFonts w:eastAsia="宋体"/>
          <w:color w:val="auto"/>
        </w:rPr>
        <w:instrText xml:space="preserve"> HYPERLINK \l _Toc20321 </w:instrText>
      </w:r>
      <w:r>
        <w:rPr>
          <w:rFonts w:eastAsia="宋体"/>
          <w:color w:val="auto"/>
        </w:rPr>
        <w:fldChar w:fldCharType="separate"/>
      </w:r>
      <w:r>
        <w:rPr>
          <w:rFonts w:hint="default" w:ascii="宋体" w:hAnsi="宋体" w:eastAsia="宋体" w:cstheme="minorBidi"/>
          <w:bCs/>
          <w:color w:val="auto"/>
          <w:kern w:val="2"/>
          <w:szCs w:val="24"/>
          <w:highlight w:val="none"/>
          <w:lang w:val="en-US" w:eastAsia="zh-CN" w:bidi="ar-SA"/>
        </w:rPr>
        <w:t>第二节特殊技术标准和要求（本项目不采用）</w:t>
      </w:r>
      <w:r>
        <w:rPr>
          <w:color w:val="auto"/>
        </w:rPr>
        <w:tab/>
      </w:r>
      <w:r>
        <w:rPr>
          <w:color w:val="auto"/>
        </w:rPr>
        <w:fldChar w:fldCharType="begin"/>
      </w:r>
      <w:r>
        <w:rPr>
          <w:color w:val="auto"/>
        </w:rPr>
        <w:instrText xml:space="preserve"> PAGEREF _Toc20321 \h </w:instrText>
      </w:r>
      <w:r>
        <w:rPr>
          <w:color w:val="auto"/>
        </w:rPr>
        <w:fldChar w:fldCharType="separate"/>
      </w:r>
      <w:r>
        <w:rPr>
          <w:color w:val="auto"/>
        </w:rPr>
        <w:t>97</w:t>
      </w:r>
      <w:r>
        <w:rPr>
          <w:color w:val="auto"/>
        </w:rPr>
        <w:fldChar w:fldCharType="end"/>
      </w:r>
      <w:r>
        <w:rPr>
          <w:rFonts w:eastAsia="宋体"/>
          <w:color w:val="auto"/>
        </w:rPr>
        <w:fldChar w:fldCharType="end"/>
      </w:r>
    </w:p>
    <w:p w14:paraId="53C29851">
      <w:pPr>
        <w:pStyle w:val="17"/>
        <w:tabs>
          <w:tab w:val="right" w:leader="dot" w:pos="8306"/>
        </w:tabs>
        <w:rPr>
          <w:color w:val="auto"/>
        </w:rPr>
      </w:pPr>
      <w:r>
        <w:rPr>
          <w:rFonts w:eastAsia="宋体"/>
          <w:color w:val="auto"/>
        </w:rPr>
        <w:fldChar w:fldCharType="begin"/>
      </w:r>
      <w:r>
        <w:rPr>
          <w:rFonts w:eastAsia="宋体"/>
          <w:color w:val="auto"/>
        </w:rPr>
        <w:instrText xml:space="preserve"> HYPERLINK \l _Toc4616 </w:instrText>
      </w:r>
      <w:r>
        <w:rPr>
          <w:rFonts w:eastAsia="宋体"/>
          <w:color w:val="auto"/>
        </w:rPr>
        <w:fldChar w:fldCharType="separate"/>
      </w:r>
      <w:r>
        <w:rPr>
          <w:rFonts w:hint="default" w:ascii="宋体" w:hAnsi="宋体" w:eastAsia="宋体" w:cstheme="minorBidi"/>
          <w:bCs/>
          <w:color w:val="auto"/>
          <w:kern w:val="2"/>
          <w:szCs w:val="24"/>
          <w:highlight w:val="none"/>
          <w:lang w:val="en-US" w:eastAsia="zh-CN" w:bidi="ar-SA"/>
        </w:rPr>
        <w:t>第三节适用的国家、行业以及地方规范、标准和规程</w:t>
      </w:r>
      <w:r>
        <w:rPr>
          <w:color w:val="auto"/>
        </w:rPr>
        <w:tab/>
      </w:r>
      <w:r>
        <w:rPr>
          <w:color w:val="auto"/>
        </w:rPr>
        <w:fldChar w:fldCharType="begin"/>
      </w:r>
      <w:r>
        <w:rPr>
          <w:color w:val="auto"/>
        </w:rPr>
        <w:instrText xml:space="preserve"> PAGEREF _Toc4616 \h </w:instrText>
      </w:r>
      <w:r>
        <w:rPr>
          <w:color w:val="auto"/>
        </w:rPr>
        <w:fldChar w:fldCharType="separate"/>
      </w:r>
      <w:r>
        <w:rPr>
          <w:color w:val="auto"/>
        </w:rPr>
        <w:t>97</w:t>
      </w:r>
      <w:r>
        <w:rPr>
          <w:color w:val="auto"/>
        </w:rPr>
        <w:fldChar w:fldCharType="end"/>
      </w:r>
      <w:r>
        <w:rPr>
          <w:rFonts w:eastAsia="宋体"/>
          <w:color w:val="auto"/>
        </w:rPr>
        <w:fldChar w:fldCharType="end"/>
      </w:r>
    </w:p>
    <w:p w14:paraId="6A5EB341">
      <w:pPr>
        <w:pStyle w:val="15"/>
        <w:tabs>
          <w:tab w:val="right" w:leader="dot" w:pos="8306"/>
        </w:tabs>
        <w:rPr>
          <w:color w:val="auto"/>
        </w:rPr>
      </w:pPr>
      <w:r>
        <w:rPr>
          <w:rFonts w:eastAsia="宋体"/>
          <w:color w:val="auto"/>
        </w:rPr>
        <w:fldChar w:fldCharType="begin"/>
      </w:r>
      <w:r>
        <w:rPr>
          <w:rFonts w:eastAsia="宋体"/>
          <w:color w:val="auto"/>
        </w:rPr>
        <w:instrText xml:space="preserve"> HYPERLINK \l _Toc30852 </w:instrText>
      </w:r>
      <w:r>
        <w:rPr>
          <w:rFonts w:eastAsia="宋体"/>
          <w:color w:val="auto"/>
        </w:rPr>
        <w:fldChar w:fldCharType="separate"/>
      </w:r>
      <w:r>
        <w:rPr>
          <w:rFonts w:hint="eastAsia" w:ascii="黑体" w:hAnsi="黑体" w:eastAsia="黑体"/>
          <w:bCs w:val="0"/>
          <w:color w:val="auto"/>
          <w:szCs w:val="48"/>
        </w:rPr>
        <w:t>第四卷</w:t>
      </w:r>
      <w:r>
        <w:rPr>
          <w:color w:val="auto"/>
        </w:rPr>
        <w:tab/>
      </w:r>
      <w:r>
        <w:rPr>
          <w:color w:val="auto"/>
        </w:rPr>
        <w:fldChar w:fldCharType="begin"/>
      </w:r>
      <w:r>
        <w:rPr>
          <w:color w:val="auto"/>
        </w:rPr>
        <w:instrText xml:space="preserve"> PAGEREF _Toc30852 \h </w:instrText>
      </w:r>
      <w:r>
        <w:rPr>
          <w:color w:val="auto"/>
        </w:rPr>
        <w:fldChar w:fldCharType="separate"/>
      </w:r>
      <w:r>
        <w:rPr>
          <w:color w:val="auto"/>
        </w:rPr>
        <w:t>101</w:t>
      </w:r>
      <w:r>
        <w:rPr>
          <w:color w:val="auto"/>
        </w:rPr>
        <w:fldChar w:fldCharType="end"/>
      </w:r>
      <w:r>
        <w:rPr>
          <w:rFonts w:eastAsia="宋体"/>
          <w:color w:val="auto"/>
        </w:rPr>
        <w:fldChar w:fldCharType="end"/>
      </w:r>
    </w:p>
    <w:p w14:paraId="40547481">
      <w:pPr>
        <w:pStyle w:val="15"/>
        <w:tabs>
          <w:tab w:val="right" w:leader="dot" w:pos="8306"/>
        </w:tabs>
        <w:rPr>
          <w:color w:val="auto"/>
        </w:rPr>
      </w:pPr>
      <w:r>
        <w:rPr>
          <w:rFonts w:eastAsia="宋体"/>
          <w:color w:val="auto"/>
        </w:rPr>
        <w:fldChar w:fldCharType="begin"/>
      </w:r>
      <w:r>
        <w:rPr>
          <w:rFonts w:eastAsia="宋体"/>
          <w:color w:val="auto"/>
        </w:rPr>
        <w:instrText xml:space="preserve"> HYPERLINK \l _Toc9130 </w:instrText>
      </w:r>
      <w:r>
        <w:rPr>
          <w:rFonts w:eastAsia="宋体"/>
          <w:color w:val="auto"/>
        </w:rPr>
        <w:fldChar w:fldCharType="separate"/>
      </w:r>
      <w:r>
        <w:rPr>
          <w:rFonts w:hint="default" w:ascii="黑体" w:hAnsi="宋体" w:eastAsia="黑体" w:cs="黑体"/>
          <w:bCs w:val="0"/>
          <w:color w:val="auto"/>
          <w:kern w:val="44"/>
          <w:szCs w:val="32"/>
        </w:rPr>
        <w:t>第八章  投标文件格式</w:t>
      </w:r>
      <w:r>
        <w:rPr>
          <w:color w:val="auto"/>
        </w:rPr>
        <w:tab/>
      </w:r>
      <w:r>
        <w:rPr>
          <w:color w:val="auto"/>
        </w:rPr>
        <w:fldChar w:fldCharType="begin"/>
      </w:r>
      <w:r>
        <w:rPr>
          <w:color w:val="auto"/>
        </w:rPr>
        <w:instrText xml:space="preserve"> PAGEREF _Toc9130 \h </w:instrText>
      </w:r>
      <w:r>
        <w:rPr>
          <w:color w:val="auto"/>
        </w:rPr>
        <w:fldChar w:fldCharType="separate"/>
      </w:r>
      <w:r>
        <w:rPr>
          <w:color w:val="auto"/>
        </w:rPr>
        <w:t>102</w:t>
      </w:r>
      <w:r>
        <w:rPr>
          <w:color w:val="auto"/>
        </w:rPr>
        <w:fldChar w:fldCharType="end"/>
      </w:r>
      <w:r>
        <w:rPr>
          <w:rFonts w:eastAsia="宋体"/>
          <w:color w:val="auto"/>
        </w:rPr>
        <w:fldChar w:fldCharType="end"/>
      </w:r>
    </w:p>
    <w:p w14:paraId="1F3833D4">
      <w:pPr>
        <w:pStyle w:val="17"/>
        <w:tabs>
          <w:tab w:val="right" w:leader="dot" w:pos="8306"/>
        </w:tabs>
        <w:rPr>
          <w:color w:val="auto"/>
        </w:rPr>
      </w:pPr>
      <w:r>
        <w:rPr>
          <w:rFonts w:eastAsia="宋体"/>
          <w:color w:val="auto"/>
        </w:rPr>
        <w:fldChar w:fldCharType="begin"/>
      </w:r>
      <w:r>
        <w:rPr>
          <w:rFonts w:eastAsia="宋体"/>
          <w:color w:val="auto"/>
        </w:rPr>
        <w:instrText xml:space="preserve"> HYPERLINK \l _Toc2201 </w:instrText>
      </w:r>
      <w:r>
        <w:rPr>
          <w:rFonts w:eastAsia="宋体"/>
          <w:color w:val="auto"/>
        </w:rPr>
        <w:fldChar w:fldCharType="separate"/>
      </w:r>
      <w:r>
        <w:rPr>
          <w:rFonts w:hint="eastAsia"/>
          <w:color w:val="auto"/>
        </w:rPr>
        <w:t>目    录</w:t>
      </w:r>
      <w:r>
        <w:rPr>
          <w:color w:val="auto"/>
        </w:rPr>
        <w:tab/>
      </w:r>
      <w:r>
        <w:rPr>
          <w:color w:val="auto"/>
        </w:rPr>
        <w:fldChar w:fldCharType="begin"/>
      </w:r>
      <w:r>
        <w:rPr>
          <w:color w:val="auto"/>
        </w:rPr>
        <w:instrText xml:space="preserve"> PAGEREF _Toc2201 \h </w:instrText>
      </w:r>
      <w:r>
        <w:rPr>
          <w:color w:val="auto"/>
        </w:rPr>
        <w:fldChar w:fldCharType="separate"/>
      </w:r>
      <w:r>
        <w:rPr>
          <w:color w:val="auto"/>
        </w:rPr>
        <w:t>104</w:t>
      </w:r>
      <w:r>
        <w:rPr>
          <w:color w:val="auto"/>
        </w:rPr>
        <w:fldChar w:fldCharType="end"/>
      </w:r>
      <w:r>
        <w:rPr>
          <w:rFonts w:eastAsia="宋体"/>
          <w:color w:val="auto"/>
        </w:rPr>
        <w:fldChar w:fldCharType="end"/>
      </w:r>
    </w:p>
    <w:p w14:paraId="6A280DFD">
      <w:pPr>
        <w:pStyle w:val="17"/>
        <w:tabs>
          <w:tab w:val="right" w:leader="dot" w:pos="8306"/>
        </w:tabs>
        <w:rPr>
          <w:color w:val="auto"/>
        </w:rPr>
      </w:pPr>
      <w:r>
        <w:rPr>
          <w:rFonts w:eastAsia="宋体"/>
          <w:color w:val="auto"/>
        </w:rPr>
        <w:fldChar w:fldCharType="begin"/>
      </w:r>
      <w:r>
        <w:rPr>
          <w:rFonts w:eastAsia="宋体"/>
          <w:color w:val="auto"/>
        </w:rPr>
        <w:instrText xml:space="preserve"> HYPERLINK \l _Toc24604 </w:instrText>
      </w:r>
      <w:r>
        <w:rPr>
          <w:rFonts w:eastAsia="宋体"/>
          <w:color w:val="auto"/>
        </w:rPr>
        <w:fldChar w:fldCharType="separate"/>
      </w:r>
      <w:r>
        <w:rPr>
          <w:rFonts w:hint="default" w:ascii="黑体" w:hAnsi="宋体" w:cs="黑体"/>
          <w:bCs w:val="0"/>
          <w:color w:val="auto"/>
          <w:kern w:val="2"/>
          <w:szCs w:val="28"/>
        </w:rPr>
        <w:t>一</w:t>
      </w:r>
      <w:r>
        <w:rPr>
          <w:rFonts w:hint="eastAsia" w:ascii="黑体" w:hAnsi="宋体" w:eastAsia="黑体" w:cs="黑体"/>
          <w:bCs w:val="0"/>
          <w:color w:val="auto"/>
          <w:kern w:val="2"/>
          <w:szCs w:val="28"/>
        </w:rPr>
        <w:t>、投标函及投标函附录等</w:t>
      </w:r>
      <w:r>
        <w:rPr>
          <w:color w:val="auto"/>
        </w:rPr>
        <w:tab/>
      </w:r>
      <w:r>
        <w:rPr>
          <w:color w:val="auto"/>
        </w:rPr>
        <w:fldChar w:fldCharType="begin"/>
      </w:r>
      <w:r>
        <w:rPr>
          <w:color w:val="auto"/>
        </w:rPr>
        <w:instrText xml:space="preserve"> PAGEREF _Toc24604 \h </w:instrText>
      </w:r>
      <w:r>
        <w:rPr>
          <w:color w:val="auto"/>
        </w:rPr>
        <w:fldChar w:fldCharType="separate"/>
      </w:r>
      <w:r>
        <w:rPr>
          <w:color w:val="auto"/>
        </w:rPr>
        <w:t>105</w:t>
      </w:r>
      <w:r>
        <w:rPr>
          <w:color w:val="auto"/>
        </w:rPr>
        <w:fldChar w:fldCharType="end"/>
      </w:r>
      <w:r>
        <w:rPr>
          <w:rFonts w:eastAsia="宋体"/>
          <w:color w:val="auto"/>
        </w:rPr>
        <w:fldChar w:fldCharType="end"/>
      </w:r>
    </w:p>
    <w:p w14:paraId="71144AB5">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_Toc23118 </w:instrText>
      </w:r>
      <w:r>
        <w:rPr>
          <w:rFonts w:eastAsia="宋体"/>
          <w:color w:val="auto"/>
        </w:rPr>
        <w:fldChar w:fldCharType="separate"/>
      </w:r>
      <w:r>
        <w:rPr>
          <w:rFonts w:hint="eastAsia"/>
          <w:color w:val="auto"/>
          <w:szCs w:val="28"/>
          <w:lang w:eastAsia="zh-CN"/>
        </w:rPr>
        <w:t>（</w:t>
      </w:r>
      <w:r>
        <w:rPr>
          <w:rFonts w:hint="default"/>
          <w:color w:val="auto"/>
          <w:szCs w:val="28"/>
        </w:rPr>
        <w:t>一</w:t>
      </w:r>
      <w:r>
        <w:rPr>
          <w:rFonts w:hint="eastAsia"/>
          <w:color w:val="auto"/>
          <w:szCs w:val="28"/>
          <w:lang w:eastAsia="zh-CN"/>
        </w:rPr>
        <w:t>）</w:t>
      </w:r>
      <w:r>
        <w:rPr>
          <w:rFonts w:hint="eastAsia"/>
          <w:color w:val="auto"/>
          <w:szCs w:val="28"/>
        </w:rPr>
        <w:t>投标函</w:t>
      </w:r>
      <w:r>
        <w:rPr>
          <w:color w:val="auto"/>
        </w:rPr>
        <w:tab/>
      </w:r>
      <w:r>
        <w:rPr>
          <w:color w:val="auto"/>
        </w:rPr>
        <w:fldChar w:fldCharType="begin"/>
      </w:r>
      <w:r>
        <w:rPr>
          <w:color w:val="auto"/>
        </w:rPr>
        <w:instrText xml:space="preserve"> PAGEREF _Toc23118 \h </w:instrText>
      </w:r>
      <w:r>
        <w:rPr>
          <w:color w:val="auto"/>
        </w:rPr>
        <w:fldChar w:fldCharType="separate"/>
      </w:r>
      <w:r>
        <w:rPr>
          <w:color w:val="auto"/>
        </w:rPr>
        <w:t>106</w:t>
      </w:r>
      <w:r>
        <w:rPr>
          <w:color w:val="auto"/>
        </w:rPr>
        <w:fldChar w:fldCharType="end"/>
      </w:r>
      <w:r>
        <w:rPr>
          <w:rFonts w:eastAsia="宋体"/>
          <w:color w:val="auto"/>
        </w:rPr>
        <w:fldChar w:fldCharType="end"/>
      </w:r>
    </w:p>
    <w:p w14:paraId="572FCB0B">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_Toc28276 </w:instrText>
      </w:r>
      <w:r>
        <w:rPr>
          <w:rFonts w:eastAsia="宋体"/>
          <w:color w:val="auto"/>
        </w:rPr>
        <w:fldChar w:fldCharType="separate"/>
      </w:r>
      <w:r>
        <w:rPr>
          <w:rFonts w:hint="eastAsia" w:cs="宋体"/>
          <w:color w:val="auto"/>
          <w:szCs w:val="28"/>
          <w:lang w:eastAsia="zh-CN"/>
        </w:rPr>
        <w:t>（</w:t>
      </w:r>
      <w:r>
        <w:rPr>
          <w:rFonts w:hint="default" w:cs="宋体"/>
          <w:color w:val="auto"/>
          <w:szCs w:val="28"/>
        </w:rPr>
        <w:t>二</w:t>
      </w:r>
      <w:r>
        <w:rPr>
          <w:rFonts w:hint="eastAsia" w:cs="宋体"/>
          <w:color w:val="auto"/>
          <w:szCs w:val="28"/>
          <w:lang w:eastAsia="zh-CN"/>
        </w:rPr>
        <w:t>）</w:t>
      </w:r>
      <w:r>
        <w:rPr>
          <w:rFonts w:hint="eastAsia" w:cs="宋体"/>
          <w:color w:val="auto"/>
          <w:szCs w:val="28"/>
        </w:rPr>
        <w:t>投标函附录</w:t>
      </w:r>
      <w:r>
        <w:rPr>
          <w:color w:val="auto"/>
        </w:rPr>
        <w:tab/>
      </w:r>
      <w:r>
        <w:rPr>
          <w:color w:val="auto"/>
        </w:rPr>
        <w:fldChar w:fldCharType="begin"/>
      </w:r>
      <w:r>
        <w:rPr>
          <w:color w:val="auto"/>
        </w:rPr>
        <w:instrText xml:space="preserve"> PAGEREF _Toc28276 \h </w:instrText>
      </w:r>
      <w:r>
        <w:rPr>
          <w:color w:val="auto"/>
        </w:rPr>
        <w:fldChar w:fldCharType="separate"/>
      </w:r>
      <w:r>
        <w:rPr>
          <w:color w:val="auto"/>
        </w:rPr>
        <w:t>107</w:t>
      </w:r>
      <w:r>
        <w:rPr>
          <w:color w:val="auto"/>
        </w:rPr>
        <w:fldChar w:fldCharType="end"/>
      </w:r>
      <w:r>
        <w:rPr>
          <w:rFonts w:eastAsia="宋体"/>
          <w:color w:val="auto"/>
        </w:rPr>
        <w:fldChar w:fldCharType="end"/>
      </w:r>
    </w:p>
    <w:p w14:paraId="63533BED">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_Toc23298 </w:instrText>
      </w:r>
      <w:r>
        <w:rPr>
          <w:rFonts w:eastAsia="宋体"/>
          <w:color w:val="auto"/>
        </w:rPr>
        <w:fldChar w:fldCharType="separate"/>
      </w:r>
      <w:r>
        <w:rPr>
          <w:rFonts w:hint="eastAsia" w:cs="宋体"/>
          <w:color w:val="auto"/>
          <w:szCs w:val="28"/>
          <w:lang w:eastAsia="zh-CN"/>
        </w:rPr>
        <w:t>（</w:t>
      </w:r>
      <w:r>
        <w:rPr>
          <w:rFonts w:hint="default" w:cs="宋体"/>
          <w:color w:val="auto"/>
          <w:szCs w:val="28"/>
        </w:rPr>
        <w:t>三</w:t>
      </w:r>
      <w:r>
        <w:rPr>
          <w:rFonts w:hint="eastAsia" w:cs="宋体"/>
          <w:color w:val="auto"/>
          <w:szCs w:val="28"/>
          <w:lang w:eastAsia="zh-CN"/>
        </w:rPr>
        <w:t>）</w:t>
      </w:r>
      <w:r>
        <w:rPr>
          <w:rFonts w:hint="eastAsia" w:cs="宋体"/>
          <w:color w:val="auto"/>
          <w:szCs w:val="28"/>
        </w:rPr>
        <w:t>告知承诺函</w:t>
      </w:r>
      <w:r>
        <w:rPr>
          <w:color w:val="auto"/>
        </w:rPr>
        <w:tab/>
      </w:r>
      <w:r>
        <w:rPr>
          <w:color w:val="auto"/>
        </w:rPr>
        <w:fldChar w:fldCharType="begin"/>
      </w:r>
      <w:r>
        <w:rPr>
          <w:color w:val="auto"/>
        </w:rPr>
        <w:instrText xml:space="preserve"> PAGEREF _Toc23298 \h </w:instrText>
      </w:r>
      <w:r>
        <w:rPr>
          <w:color w:val="auto"/>
        </w:rPr>
        <w:fldChar w:fldCharType="separate"/>
      </w:r>
      <w:r>
        <w:rPr>
          <w:color w:val="auto"/>
        </w:rPr>
        <w:t>108</w:t>
      </w:r>
      <w:r>
        <w:rPr>
          <w:color w:val="auto"/>
        </w:rPr>
        <w:fldChar w:fldCharType="end"/>
      </w:r>
      <w:r>
        <w:rPr>
          <w:rFonts w:eastAsia="宋体"/>
          <w:color w:val="auto"/>
        </w:rPr>
        <w:fldChar w:fldCharType="end"/>
      </w:r>
    </w:p>
    <w:p w14:paraId="3CB94C65">
      <w:pPr>
        <w:pStyle w:val="11"/>
        <w:tabs>
          <w:tab w:val="right" w:leader="dot" w:pos="8306"/>
        </w:tabs>
        <w:rPr>
          <w:color w:val="auto"/>
        </w:rPr>
      </w:pPr>
      <w:r>
        <w:rPr>
          <w:rFonts w:eastAsia="宋体"/>
          <w:color w:val="auto"/>
        </w:rPr>
        <w:fldChar w:fldCharType="begin"/>
      </w:r>
      <w:r>
        <w:rPr>
          <w:rFonts w:eastAsia="宋体"/>
          <w:color w:val="auto"/>
        </w:rPr>
        <w:instrText xml:space="preserve"> HYPERLINK \l _Toc18119 </w:instrText>
      </w:r>
      <w:r>
        <w:rPr>
          <w:rFonts w:eastAsia="宋体"/>
          <w:color w:val="auto"/>
        </w:rPr>
        <w:fldChar w:fldCharType="separate"/>
      </w:r>
      <w:r>
        <w:rPr>
          <w:rFonts w:hint="eastAsia"/>
          <w:color w:val="auto"/>
          <w:szCs w:val="28"/>
          <w:lang w:eastAsia="zh-CN"/>
        </w:rPr>
        <w:t>（</w:t>
      </w:r>
      <w:r>
        <w:rPr>
          <w:rFonts w:hint="eastAsia"/>
          <w:color w:val="auto"/>
          <w:szCs w:val="28"/>
        </w:rPr>
        <w:t>四</w:t>
      </w:r>
      <w:r>
        <w:rPr>
          <w:rFonts w:hint="eastAsia"/>
          <w:color w:val="auto"/>
          <w:szCs w:val="28"/>
          <w:lang w:eastAsia="zh-CN"/>
        </w:rPr>
        <w:t>）</w:t>
      </w:r>
      <w:r>
        <w:rPr>
          <w:rFonts w:hint="eastAsia"/>
          <w:color w:val="auto"/>
          <w:szCs w:val="28"/>
        </w:rPr>
        <w:t>声明函</w:t>
      </w:r>
      <w:r>
        <w:rPr>
          <w:color w:val="auto"/>
        </w:rPr>
        <w:tab/>
      </w:r>
      <w:r>
        <w:rPr>
          <w:color w:val="auto"/>
        </w:rPr>
        <w:fldChar w:fldCharType="begin"/>
      </w:r>
      <w:r>
        <w:rPr>
          <w:color w:val="auto"/>
        </w:rPr>
        <w:instrText xml:space="preserve"> PAGEREF _Toc18119 \h </w:instrText>
      </w:r>
      <w:r>
        <w:rPr>
          <w:color w:val="auto"/>
        </w:rPr>
        <w:fldChar w:fldCharType="separate"/>
      </w:r>
      <w:r>
        <w:rPr>
          <w:color w:val="auto"/>
        </w:rPr>
        <w:t>109</w:t>
      </w:r>
      <w:r>
        <w:rPr>
          <w:color w:val="auto"/>
        </w:rPr>
        <w:fldChar w:fldCharType="end"/>
      </w:r>
      <w:r>
        <w:rPr>
          <w:rFonts w:eastAsia="宋体"/>
          <w:color w:val="auto"/>
        </w:rPr>
        <w:fldChar w:fldCharType="end"/>
      </w:r>
    </w:p>
    <w:p w14:paraId="524A4DDA">
      <w:pPr>
        <w:pStyle w:val="17"/>
        <w:tabs>
          <w:tab w:val="right" w:leader="dot" w:pos="8306"/>
        </w:tabs>
        <w:rPr>
          <w:color w:val="auto"/>
        </w:rPr>
      </w:pPr>
      <w:r>
        <w:rPr>
          <w:rFonts w:eastAsia="宋体"/>
          <w:color w:val="auto"/>
        </w:rPr>
        <w:fldChar w:fldCharType="begin"/>
      </w:r>
      <w:r>
        <w:rPr>
          <w:rFonts w:eastAsia="宋体"/>
          <w:color w:val="auto"/>
        </w:rPr>
        <w:instrText xml:space="preserve"> HYPERLINK \l _Toc10714 </w:instrText>
      </w:r>
      <w:r>
        <w:rPr>
          <w:rFonts w:eastAsia="宋体"/>
          <w:color w:val="auto"/>
        </w:rPr>
        <w:fldChar w:fldCharType="separate"/>
      </w:r>
      <w:r>
        <w:rPr>
          <w:rFonts w:hint="default" w:ascii="黑体" w:hAnsi="宋体" w:cs="黑体"/>
          <w:bCs w:val="0"/>
          <w:color w:val="auto"/>
          <w:kern w:val="2"/>
          <w:szCs w:val="28"/>
        </w:rPr>
        <w:t>二</w:t>
      </w:r>
      <w:r>
        <w:rPr>
          <w:rFonts w:hint="eastAsia" w:ascii="黑体" w:hAnsi="宋体" w:eastAsia="黑体" w:cs="黑体"/>
          <w:bCs w:val="0"/>
          <w:color w:val="auto"/>
          <w:kern w:val="2"/>
          <w:szCs w:val="28"/>
        </w:rPr>
        <w:t>、法定代表人身份证明或授权委托书</w:t>
      </w:r>
      <w:r>
        <w:rPr>
          <w:color w:val="auto"/>
        </w:rPr>
        <w:tab/>
      </w:r>
      <w:r>
        <w:rPr>
          <w:color w:val="auto"/>
        </w:rPr>
        <w:fldChar w:fldCharType="begin"/>
      </w:r>
      <w:r>
        <w:rPr>
          <w:color w:val="auto"/>
        </w:rPr>
        <w:instrText xml:space="preserve"> PAGEREF _Toc10714 \h </w:instrText>
      </w:r>
      <w:r>
        <w:rPr>
          <w:color w:val="auto"/>
        </w:rPr>
        <w:fldChar w:fldCharType="separate"/>
      </w:r>
      <w:r>
        <w:rPr>
          <w:color w:val="auto"/>
        </w:rPr>
        <w:t>110</w:t>
      </w:r>
      <w:r>
        <w:rPr>
          <w:color w:val="auto"/>
        </w:rPr>
        <w:fldChar w:fldCharType="end"/>
      </w:r>
      <w:r>
        <w:rPr>
          <w:rFonts w:eastAsia="宋体"/>
          <w:color w:val="auto"/>
        </w:rPr>
        <w:fldChar w:fldCharType="end"/>
      </w:r>
    </w:p>
    <w:p w14:paraId="2ECF4793">
      <w:pPr>
        <w:pStyle w:val="11"/>
        <w:tabs>
          <w:tab w:val="right" w:leader="dot" w:pos="8306"/>
        </w:tabs>
        <w:rPr>
          <w:color w:val="auto"/>
        </w:rPr>
      </w:pPr>
      <w:r>
        <w:rPr>
          <w:rFonts w:eastAsia="宋体"/>
          <w:color w:val="auto"/>
        </w:rPr>
        <w:fldChar w:fldCharType="begin"/>
      </w:r>
      <w:r>
        <w:rPr>
          <w:rFonts w:eastAsia="宋体"/>
          <w:color w:val="auto"/>
        </w:rPr>
        <w:instrText xml:space="preserve"> HYPERLINK \l _Toc7528 </w:instrText>
      </w:r>
      <w:r>
        <w:rPr>
          <w:rFonts w:eastAsia="宋体"/>
          <w:color w:val="auto"/>
        </w:rPr>
        <w:fldChar w:fldCharType="separate"/>
      </w:r>
      <w:r>
        <w:rPr>
          <w:rFonts w:hint="eastAsia"/>
          <w:color w:val="auto"/>
          <w:szCs w:val="28"/>
          <w:lang w:eastAsia="zh-CN"/>
        </w:rPr>
        <w:t>（</w:t>
      </w:r>
      <w:r>
        <w:rPr>
          <w:rFonts w:hint="default"/>
          <w:color w:val="auto"/>
          <w:szCs w:val="28"/>
          <w:lang w:eastAsia="zh-CN"/>
        </w:rPr>
        <w:t>一</w:t>
      </w:r>
      <w:r>
        <w:rPr>
          <w:rFonts w:hint="eastAsia"/>
          <w:color w:val="auto"/>
          <w:szCs w:val="28"/>
          <w:lang w:eastAsia="zh-CN"/>
        </w:rPr>
        <w:t>）法定代表人身份证明</w:t>
      </w:r>
      <w:r>
        <w:rPr>
          <w:color w:val="auto"/>
        </w:rPr>
        <w:tab/>
      </w:r>
      <w:r>
        <w:rPr>
          <w:color w:val="auto"/>
        </w:rPr>
        <w:fldChar w:fldCharType="begin"/>
      </w:r>
      <w:r>
        <w:rPr>
          <w:color w:val="auto"/>
        </w:rPr>
        <w:instrText xml:space="preserve"> PAGEREF _Toc7528 \h </w:instrText>
      </w:r>
      <w:r>
        <w:rPr>
          <w:color w:val="auto"/>
        </w:rPr>
        <w:fldChar w:fldCharType="separate"/>
      </w:r>
      <w:r>
        <w:rPr>
          <w:color w:val="auto"/>
        </w:rPr>
        <w:t>111</w:t>
      </w:r>
      <w:r>
        <w:rPr>
          <w:color w:val="auto"/>
        </w:rPr>
        <w:fldChar w:fldCharType="end"/>
      </w:r>
      <w:r>
        <w:rPr>
          <w:rFonts w:eastAsia="宋体"/>
          <w:color w:val="auto"/>
        </w:rPr>
        <w:fldChar w:fldCharType="end"/>
      </w:r>
    </w:p>
    <w:p w14:paraId="10D791A7">
      <w:pPr>
        <w:pStyle w:val="11"/>
        <w:tabs>
          <w:tab w:val="right" w:leader="dot" w:pos="8306"/>
        </w:tabs>
        <w:rPr>
          <w:color w:val="auto"/>
        </w:rPr>
      </w:pPr>
      <w:r>
        <w:rPr>
          <w:rFonts w:eastAsia="宋体"/>
          <w:color w:val="auto"/>
        </w:rPr>
        <w:fldChar w:fldCharType="begin"/>
      </w:r>
      <w:r>
        <w:rPr>
          <w:rFonts w:eastAsia="宋体"/>
          <w:color w:val="auto"/>
        </w:rPr>
        <w:instrText xml:space="preserve"> HYPERLINK \l _Toc31901 </w:instrText>
      </w:r>
      <w:r>
        <w:rPr>
          <w:rFonts w:eastAsia="宋体"/>
          <w:color w:val="auto"/>
        </w:rPr>
        <w:fldChar w:fldCharType="separate"/>
      </w:r>
      <w:r>
        <w:rPr>
          <w:rFonts w:hint="eastAsia"/>
          <w:color w:val="auto"/>
          <w:szCs w:val="28"/>
          <w:lang w:eastAsia="zh-CN"/>
        </w:rPr>
        <w:t>（</w:t>
      </w:r>
      <w:r>
        <w:rPr>
          <w:rFonts w:hint="default"/>
          <w:color w:val="auto"/>
          <w:szCs w:val="28"/>
          <w:lang w:eastAsia="zh-CN"/>
        </w:rPr>
        <w:t>二</w:t>
      </w:r>
      <w:r>
        <w:rPr>
          <w:rFonts w:hint="eastAsia"/>
          <w:color w:val="auto"/>
          <w:szCs w:val="28"/>
          <w:lang w:eastAsia="zh-CN"/>
        </w:rPr>
        <w:t>）授权委托书</w:t>
      </w:r>
      <w:r>
        <w:rPr>
          <w:color w:val="auto"/>
        </w:rPr>
        <w:tab/>
      </w:r>
      <w:r>
        <w:rPr>
          <w:color w:val="auto"/>
        </w:rPr>
        <w:fldChar w:fldCharType="begin"/>
      </w:r>
      <w:r>
        <w:rPr>
          <w:color w:val="auto"/>
        </w:rPr>
        <w:instrText xml:space="preserve"> PAGEREF _Toc31901 \h </w:instrText>
      </w:r>
      <w:r>
        <w:rPr>
          <w:color w:val="auto"/>
        </w:rPr>
        <w:fldChar w:fldCharType="separate"/>
      </w:r>
      <w:r>
        <w:rPr>
          <w:color w:val="auto"/>
        </w:rPr>
        <w:t>112</w:t>
      </w:r>
      <w:r>
        <w:rPr>
          <w:color w:val="auto"/>
        </w:rPr>
        <w:fldChar w:fldCharType="end"/>
      </w:r>
      <w:r>
        <w:rPr>
          <w:rFonts w:eastAsia="宋体"/>
          <w:color w:val="auto"/>
        </w:rPr>
        <w:fldChar w:fldCharType="end"/>
      </w:r>
    </w:p>
    <w:p w14:paraId="7DAAF5FD">
      <w:pPr>
        <w:pStyle w:val="17"/>
        <w:tabs>
          <w:tab w:val="right" w:leader="dot" w:pos="8306"/>
        </w:tabs>
        <w:rPr>
          <w:color w:val="auto"/>
        </w:rPr>
      </w:pPr>
      <w:r>
        <w:rPr>
          <w:rFonts w:eastAsia="宋体"/>
          <w:color w:val="auto"/>
        </w:rPr>
        <w:fldChar w:fldCharType="begin"/>
      </w:r>
      <w:r>
        <w:rPr>
          <w:rFonts w:eastAsia="宋体"/>
          <w:color w:val="auto"/>
        </w:rPr>
        <w:instrText xml:space="preserve"> HYPERLINK \l _Toc16597 </w:instrText>
      </w:r>
      <w:r>
        <w:rPr>
          <w:rFonts w:eastAsia="宋体"/>
          <w:color w:val="auto"/>
        </w:rPr>
        <w:fldChar w:fldCharType="separate"/>
      </w:r>
      <w:r>
        <w:rPr>
          <w:rFonts w:hint="default"/>
          <w:color w:val="auto"/>
        </w:rPr>
        <w:t>三</w:t>
      </w:r>
      <w:r>
        <w:rPr>
          <w:rFonts w:hint="eastAsia"/>
          <w:color w:val="auto"/>
        </w:rPr>
        <w:t>、投标保证金</w:t>
      </w:r>
      <w:r>
        <w:rPr>
          <w:color w:val="auto"/>
        </w:rPr>
        <w:tab/>
      </w:r>
      <w:r>
        <w:rPr>
          <w:color w:val="auto"/>
        </w:rPr>
        <w:fldChar w:fldCharType="begin"/>
      </w:r>
      <w:r>
        <w:rPr>
          <w:color w:val="auto"/>
        </w:rPr>
        <w:instrText xml:space="preserve"> PAGEREF _Toc16597 \h </w:instrText>
      </w:r>
      <w:r>
        <w:rPr>
          <w:color w:val="auto"/>
        </w:rPr>
        <w:fldChar w:fldCharType="separate"/>
      </w:r>
      <w:r>
        <w:rPr>
          <w:color w:val="auto"/>
        </w:rPr>
        <w:t>113</w:t>
      </w:r>
      <w:r>
        <w:rPr>
          <w:color w:val="auto"/>
        </w:rPr>
        <w:fldChar w:fldCharType="end"/>
      </w:r>
      <w:r>
        <w:rPr>
          <w:rFonts w:eastAsia="宋体"/>
          <w:color w:val="auto"/>
        </w:rPr>
        <w:fldChar w:fldCharType="end"/>
      </w:r>
    </w:p>
    <w:p w14:paraId="065AC668">
      <w:pPr>
        <w:pStyle w:val="17"/>
        <w:tabs>
          <w:tab w:val="right" w:leader="dot" w:pos="8306"/>
        </w:tabs>
        <w:rPr>
          <w:color w:val="auto"/>
        </w:rPr>
      </w:pPr>
      <w:r>
        <w:rPr>
          <w:rFonts w:eastAsia="宋体"/>
          <w:color w:val="auto"/>
        </w:rPr>
        <w:fldChar w:fldCharType="begin"/>
      </w:r>
      <w:r>
        <w:rPr>
          <w:rFonts w:eastAsia="宋体"/>
          <w:color w:val="auto"/>
        </w:rPr>
        <w:instrText xml:space="preserve"> HYPERLINK \l _Toc24658 </w:instrText>
      </w:r>
      <w:r>
        <w:rPr>
          <w:rFonts w:eastAsia="宋体"/>
          <w:color w:val="auto"/>
        </w:rPr>
        <w:fldChar w:fldCharType="separate"/>
      </w:r>
      <w:r>
        <w:rPr>
          <w:rFonts w:hint="default"/>
          <w:color w:val="auto"/>
        </w:rPr>
        <w:t>四</w:t>
      </w:r>
      <w:r>
        <w:rPr>
          <w:rFonts w:hint="eastAsia"/>
          <w:color w:val="auto"/>
        </w:rPr>
        <w:t>、联合体协议书</w:t>
      </w:r>
      <w:r>
        <w:rPr>
          <w:color w:val="auto"/>
        </w:rPr>
        <w:tab/>
      </w:r>
      <w:r>
        <w:rPr>
          <w:color w:val="auto"/>
        </w:rPr>
        <w:fldChar w:fldCharType="begin"/>
      </w:r>
      <w:r>
        <w:rPr>
          <w:color w:val="auto"/>
        </w:rPr>
        <w:instrText xml:space="preserve"> PAGEREF _Toc24658 \h </w:instrText>
      </w:r>
      <w:r>
        <w:rPr>
          <w:color w:val="auto"/>
        </w:rPr>
        <w:fldChar w:fldCharType="separate"/>
      </w:r>
      <w:r>
        <w:rPr>
          <w:color w:val="auto"/>
        </w:rPr>
        <w:t>114</w:t>
      </w:r>
      <w:r>
        <w:rPr>
          <w:color w:val="auto"/>
        </w:rPr>
        <w:fldChar w:fldCharType="end"/>
      </w:r>
      <w:r>
        <w:rPr>
          <w:rFonts w:eastAsia="宋体"/>
          <w:color w:val="auto"/>
        </w:rPr>
        <w:fldChar w:fldCharType="end"/>
      </w:r>
    </w:p>
    <w:p w14:paraId="6DEAD3F4">
      <w:pPr>
        <w:pStyle w:val="17"/>
        <w:tabs>
          <w:tab w:val="right" w:leader="dot" w:pos="8306"/>
        </w:tabs>
        <w:rPr>
          <w:color w:val="auto"/>
        </w:rPr>
      </w:pPr>
      <w:r>
        <w:rPr>
          <w:rFonts w:eastAsia="宋体"/>
          <w:color w:val="auto"/>
        </w:rPr>
        <w:fldChar w:fldCharType="begin"/>
      </w:r>
      <w:r>
        <w:rPr>
          <w:rFonts w:eastAsia="宋体"/>
          <w:color w:val="auto"/>
        </w:rPr>
        <w:instrText xml:space="preserve"> HYPERLINK \l _Toc18522 </w:instrText>
      </w:r>
      <w:r>
        <w:rPr>
          <w:rFonts w:eastAsia="宋体"/>
          <w:color w:val="auto"/>
        </w:rPr>
        <w:fldChar w:fldCharType="separate"/>
      </w:r>
      <w:r>
        <w:rPr>
          <w:rFonts w:hint="default"/>
          <w:color w:val="auto"/>
        </w:rPr>
        <w:t>五</w:t>
      </w:r>
      <w:r>
        <w:rPr>
          <w:rFonts w:hint="eastAsia"/>
          <w:color w:val="auto"/>
        </w:rPr>
        <w:t>、拟分包计划表</w:t>
      </w:r>
      <w:r>
        <w:rPr>
          <w:color w:val="auto"/>
        </w:rPr>
        <w:tab/>
      </w:r>
      <w:r>
        <w:rPr>
          <w:color w:val="auto"/>
        </w:rPr>
        <w:fldChar w:fldCharType="begin"/>
      </w:r>
      <w:r>
        <w:rPr>
          <w:color w:val="auto"/>
        </w:rPr>
        <w:instrText xml:space="preserve"> PAGEREF _Toc18522 \h </w:instrText>
      </w:r>
      <w:r>
        <w:rPr>
          <w:color w:val="auto"/>
        </w:rPr>
        <w:fldChar w:fldCharType="separate"/>
      </w:r>
      <w:r>
        <w:rPr>
          <w:color w:val="auto"/>
        </w:rPr>
        <w:t>116</w:t>
      </w:r>
      <w:r>
        <w:rPr>
          <w:color w:val="auto"/>
        </w:rPr>
        <w:fldChar w:fldCharType="end"/>
      </w:r>
      <w:r>
        <w:rPr>
          <w:rFonts w:eastAsia="宋体"/>
          <w:color w:val="auto"/>
        </w:rPr>
        <w:fldChar w:fldCharType="end"/>
      </w:r>
    </w:p>
    <w:p w14:paraId="160A1D5C">
      <w:pPr>
        <w:pStyle w:val="17"/>
        <w:tabs>
          <w:tab w:val="right" w:leader="dot" w:pos="8306"/>
        </w:tabs>
        <w:rPr>
          <w:color w:val="auto"/>
        </w:rPr>
      </w:pPr>
      <w:r>
        <w:rPr>
          <w:rFonts w:eastAsia="宋体"/>
          <w:color w:val="auto"/>
        </w:rPr>
        <w:fldChar w:fldCharType="begin"/>
      </w:r>
      <w:r>
        <w:rPr>
          <w:rFonts w:eastAsia="宋体"/>
          <w:color w:val="auto"/>
        </w:rPr>
        <w:instrText xml:space="preserve"> HYPERLINK \l _Toc23543 </w:instrText>
      </w:r>
      <w:r>
        <w:rPr>
          <w:rFonts w:eastAsia="宋体"/>
          <w:color w:val="auto"/>
        </w:rPr>
        <w:fldChar w:fldCharType="separate"/>
      </w:r>
      <w:r>
        <w:rPr>
          <w:rFonts w:hint="default"/>
          <w:color w:val="auto"/>
          <w:lang w:eastAsia="zh-CN"/>
        </w:rPr>
        <w:t>六</w:t>
      </w:r>
      <w:r>
        <w:rPr>
          <w:rFonts w:hint="eastAsia"/>
          <w:color w:val="auto"/>
          <w:lang w:val="en-US" w:eastAsia="zh-CN"/>
        </w:rPr>
        <w:t>、项目管理机构</w:t>
      </w:r>
      <w:r>
        <w:rPr>
          <w:color w:val="auto"/>
        </w:rPr>
        <w:tab/>
      </w:r>
      <w:r>
        <w:rPr>
          <w:color w:val="auto"/>
        </w:rPr>
        <w:fldChar w:fldCharType="begin"/>
      </w:r>
      <w:r>
        <w:rPr>
          <w:color w:val="auto"/>
        </w:rPr>
        <w:instrText xml:space="preserve"> PAGEREF _Toc23543 \h </w:instrText>
      </w:r>
      <w:r>
        <w:rPr>
          <w:color w:val="auto"/>
        </w:rPr>
        <w:fldChar w:fldCharType="separate"/>
      </w:r>
      <w:r>
        <w:rPr>
          <w:color w:val="auto"/>
        </w:rPr>
        <w:t>117</w:t>
      </w:r>
      <w:r>
        <w:rPr>
          <w:color w:val="auto"/>
        </w:rPr>
        <w:fldChar w:fldCharType="end"/>
      </w:r>
      <w:r>
        <w:rPr>
          <w:rFonts w:eastAsia="宋体"/>
          <w:color w:val="auto"/>
        </w:rPr>
        <w:fldChar w:fldCharType="end"/>
      </w:r>
    </w:p>
    <w:p w14:paraId="2C0F11A7">
      <w:pPr>
        <w:pStyle w:val="11"/>
        <w:tabs>
          <w:tab w:val="right" w:leader="dot" w:pos="8306"/>
        </w:tabs>
        <w:rPr>
          <w:color w:val="auto"/>
        </w:rPr>
      </w:pPr>
      <w:r>
        <w:rPr>
          <w:rFonts w:eastAsia="宋体"/>
          <w:color w:val="auto"/>
        </w:rPr>
        <w:fldChar w:fldCharType="begin"/>
      </w:r>
      <w:r>
        <w:rPr>
          <w:rFonts w:eastAsia="宋体"/>
          <w:color w:val="auto"/>
        </w:rPr>
        <w:instrText xml:space="preserve"> HYPERLINK \l _Toc8303 </w:instrText>
      </w:r>
      <w:r>
        <w:rPr>
          <w:rFonts w:eastAsia="宋体"/>
          <w:color w:val="auto"/>
        </w:rPr>
        <w:fldChar w:fldCharType="separate"/>
      </w:r>
      <w:r>
        <w:rPr>
          <w:rFonts w:hint="eastAsia"/>
          <w:color w:val="auto"/>
          <w:szCs w:val="28"/>
          <w:lang w:eastAsia="zh-CN"/>
        </w:rPr>
        <w:t>（</w:t>
      </w:r>
      <w:r>
        <w:rPr>
          <w:rFonts w:hint="default"/>
          <w:color w:val="auto"/>
          <w:szCs w:val="28"/>
        </w:rPr>
        <w:t>一</w:t>
      </w:r>
      <w:r>
        <w:rPr>
          <w:rFonts w:hint="eastAsia"/>
          <w:color w:val="auto"/>
          <w:szCs w:val="28"/>
          <w:lang w:eastAsia="zh-CN"/>
        </w:rPr>
        <w:t>）</w:t>
      </w:r>
      <w:r>
        <w:rPr>
          <w:rFonts w:hint="eastAsia"/>
          <w:color w:val="auto"/>
          <w:szCs w:val="28"/>
        </w:rPr>
        <w:t>项目管理机构主要人员表</w:t>
      </w:r>
      <w:r>
        <w:rPr>
          <w:color w:val="auto"/>
        </w:rPr>
        <w:tab/>
      </w:r>
      <w:r>
        <w:rPr>
          <w:color w:val="auto"/>
        </w:rPr>
        <w:fldChar w:fldCharType="begin"/>
      </w:r>
      <w:r>
        <w:rPr>
          <w:color w:val="auto"/>
        </w:rPr>
        <w:instrText xml:space="preserve"> PAGEREF _Toc8303 \h </w:instrText>
      </w:r>
      <w:r>
        <w:rPr>
          <w:color w:val="auto"/>
        </w:rPr>
        <w:fldChar w:fldCharType="separate"/>
      </w:r>
      <w:r>
        <w:rPr>
          <w:color w:val="auto"/>
        </w:rPr>
        <w:t>118</w:t>
      </w:r>
      <w:r>
        <w:rPr>
          <w:color w:val="auto"/>
        </w:rPr>
        <w:fldChar w:fldCharType="end"/>
      </w:r>
      <w:r>
        <w:rPr>
          <w:rFonts w:eastAsia="宋体"/>
          <w:color w:val="auto"/>
        </w:rPr>
        <w:fldChar w:fldCharType="end"/>
      </w:r>
    </w:p>
    <w:p w14:paraId="189814C8">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_Toc28108 </w:instrText>
      </w:r>
      <w:r>
        <w:rPr>
          <w:rFonts w:eastAsia="宋体"/>
          <w:color w:val="auto"/>
        </w:rPr>
        <w:fldChar w:fldCharType="separate"/>
      </w:r>
      <w:r>
        <w:rPr>
          <w:rFonts w:hint="eastAsia"/>
          <w:color w:val="auto"/>
          <w:szCs w:val="28"/>
          <w:lang w:eastAsia="zh-CN"/>
        </w:rPr>
        <w:t>（</w:t>
      </w:r>
      <w:r>
        <w:rPr>
          <w:rFonts w:hint="default"/>
          <w:color w:val="auto"/>
          <w:szCs w:val="28"/>
        </w:rPr>
        <w:t>二</w:t>
      </w:r>
      <w:r>
        <w:rPr>
          <w:rFonts w:hint="eastAsia"/>
          <w:color w:val="auto"/>
          <w:szCs w:val="28"/>
          <w:lang w:eastAsia="zh-CN"/>
        </w:rPr>
        <w:t>）</w:t>
      </w:r>
      <w:r>
        <w:rPr>
          <w:rFonts w:hint="eastAsia"/>
          <w:color w:val="auto"/>
          <w:szCs w:val="28"/>
        </w:rPr>
        <w:t>项目经理简历表</w:t>
      </w:r>
      <w:r>
        <w:rPr>
          <w:color w:val="auto"/>
        </w:rPr>
        <w:tab/>
      </w:r>
      <w:r>
        <w:rPr>
          <w:color w:val="auto"/>
        </w:rPr>
        <w:fldChar w:fldCharType="begin"/>
      </w:r>
      <w:r>
        <w:rPr>
          <w:color w:val="auto"/>
        </w:rPr>
        <w:instrText xml:space="preserve"> PAGEREF _Toc28108 \h </w:instrText>
      </w:r>
      <w:r>
        <w:rPr>
          <w:color w:val="auto"/>
        </w:rPr>
        <w:fldChar w:fldCharType="separate"/>
      </w:r>
      <w:r>
        <w:rPr>
          <w:color w:val="auto"/>
        </w:rPr>
        <w:t>119</w:t>
      </w:r>
      <w:r>
        <w:rPr>
          <w:color w:val="auto"/>
        </w:rPr>
        <w:fldChar w:fldCharType="end"/>
      </w:r>
      <w:r>
        <w:rPr>
          <w:rFonts w:eastAsia="宋体"/>
          <w:color w:val="auto"/>
        </w:rPr>
        <w:fldChar w:fldCharType="end"/>
      </w:r>
    </w:p>
    <w:p w14:paraId="0C97ECB6">
      <w:pPr>
        <w:pStyle w:val="11"/>
        <w:tabs>
          <w:tab w:val="right" w:leader="dot" w:pos="8306"/>
        </w:tabs>
        <w:rPr>
          <w:color w:val="auto"/>
        </w:rPr>
      </w:pPr>
      <w:r>
        <w:rPr>
          <w:rFonts w:eastAsia="宋体"/>
          <w:color w:val="auto"/>
        </w:rPr>
        <w:fldChar w:fldCharType="begin"/>
      </w:r>
      <w:r>
        <w:rPr>
          <w:rFonts w:eastAsia="宋体"/>
          <w:color w:val="auto"/>
        </w:rPr>
        <w:instrText xml:space="preserve"> HYPERLINK \l _Toc11096 </w:instrText>
      </w:r>
      <w:r>
        <w:rPr>
          <w:rFonts w:eastAsia="宋体"/>
          <w:color w:val="auto"/>
        </w:rPr>
        <w:fldChar w:fldCharType="separate"/>
      </w:r>
      <w:r>
        <w:rPr>
          <w:rFonts w:hint="eastAsia"/>
          <w:color w:val="auto"/>
          <w:szCs w:val="28"/>
          <w:lang w:eastAsia="zh-CN"/>
        </w:rPr>
        <w:t>（</w:t>
      </w:r>
      <w:r>
        <w:rPr>
          <w:rFonts w:hint="default"/>
          <w:color w:val="auto"/>
          <w:szCs w:val="28"/>
        </w:rPr>
        <w:t>三</w:t>
      </w:r>
      <w:r>
        <w:rPr>
          <w:rFonts w:hint="eastAsia"/>
          <w:color w:val="auto"/>
          <w:szCs w:val="28"/>
          <w:lang w:eastAsia="zh-CN"/>
        </w:rPr>
        <w:t>）</w:t>
      </w:r>
      <w:r>
        <w:rPr>
          <w:rFonts w:hint="eastAsia"/>
          <w:color w:val="auto"/>
          <w:szCs w:val="28"/>
        </w:rPr>
        <w:t>承诺书</w:t>
      </w:r>
      <w:r>
        <w:rPr>
          <w:color w:val="auto"/>
        </w:rPr>
        <w:tab/>
      </w:r>
      <w:r>
        <w:rPr>
          <w:color w:val="auto"/>
        </w:rPr>
        <w:fldChar w:fldCharType="begin"/>
      </w:r>
      <w:r>
        <w:rPr>
          <w:color w:val="auto"/>
        </w:rPr>
        <w:instrText xml:space="preserve"> PAGEREF _Toc11096 \h </w:instrText>
      </w:r>
      <w:r>
        <w:rPr>
          <w:color w:val="auto"/>
        </w:rPr>
        <w:fldChar w:fldCharType="separate"/>
      </w:r>
      <w:r>
        <w:rPr>
          <w:color w:val="auto"/>
        </w:rPr>
        <w:t>120</w:t>
      </w:r>
      <w:r>
        <w:rPr>
          <w:color w:val="auto"/>
        </w:rPr>
        <w:fldChar w:fldCharType="end"/>
      </w:r>
      <w:r>
        <w:rPr>
          <w:rFonts w:eastAsia="宋体"/>
          <w:color w:val="auto"/>
        </w:rPr>
        <w:fldChar w:fldCharType="end"/>
      </w:r>
    </w:p>
    <w:p w14:paraId="76FBA58B">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_Toc24574 </w:instrText>
      </w:r>
      <w:r>
        <w:rPr>
          <w:rFonts w:eastAsia="宋体"/>
          <w:color w:val="auto"/>
        </w:rPr>
        <w:fldChar w:fldCharType="separate"/>
      </w:r>
      <w:r>
        <w:rPr>
          <w:rFonts w:hint="eastAsia"/>
          <w:color w:val="auto"/>
          <w:szCs w:val="28"/>
          <w:lang w:eastAsia="zh-CN"/>
        </w:rPr>
        <w:t>（</w:t>
      </w:r>
      <w:r>
        <w:rPr>
          <w:rFonts w:hint="default"/>
          <w:color w:val="auto"/>
          <w:szCs w:val="28"/>
        </w:rPr>
        <w:t>四</w:t>
      </w:r>
      <w:r>
        <w:rPr>
          <w:rFonts w:hint="eastAsia"/>
          <w:color w:val="auto"/>
          <w:szCs w:val="28"/>
          <w:lang w:eastAsia="zh-CN"/>
        </w:rPr>
        <w:t>）</w:t>
      </w:r>
      <w:r>
        <w:rPr>
          <w:rFonts w:hint="eastAsia"/>
          <w:color w:val="auto"/>
          <w:szCs w:val="28"/>
        </w:rPr>
        <w:t>其他主要项目管理人员简历表</w:t>
      </w:r>
      <w:r>
        <w:rPr>
          <w:color w:val="auto"/>
        </w:rPr>
        <w:tab/>
      </w:r>
      <w:r>
        <w:rPr>
          <w:color w:val="auto"/>
        </w:rPr>
        <w:fldChar w:fldCharType="begin"/>
      </w:r>
      <w:r>
        <w:rPr>
          <w:color w:val="auto"/>
        </w:rPr>
        <w:instrText xml:space="preserve"> PAGEREF _Toc24574 \h </w:instrText>
      </w:r>
      <w:r>
        <w:rPr>
          <w:color w:val="auto"/>
        </w:rPr>
        <w:fldChar w:fldCharType="separate"/>
      </w:r>
      <w:r>
        <w:rPr>
          <w:color w:val="auto"/>
        </w:rPr>
        <w:t>121</w:t>
      </w:r>
      <w:r>
        <w:rPr>
          <w:color w:val="auto"/>
        </w:rPr>
        <w:fldChar w:fldCharType="end"/>
      </w:r>
      <w:r>
        <w:rPr>
          <w:rFonts w:eastAsia="宋体"/>
          <w:color w:val="auto"/>
        </w:rPr>
        <w:fldChar w:fldCharType="end"/>
      </w:r>
    </w:p>
    <w:p w14:paraId="1BEAECD3">
      <w:pPr>
        <w:pStyle w:val="17"/>
        <w:tabs>
          <w:tab w:val="right" w:leader="dot" w:pos="8306"/>
        </w:tabs>
        <w:rPr>
          <w:color w:val="auto"/>
        </w:rPr>
      </w:pPr>
      <w:r>
        <w:rPr>
          <w:rFonts w:eastAsia="宋体"/>
          <w:color w:val="auto"/>
        </w:rPr>
        <w:fldChar w:fldCharType="begin"/>
      </w:r>
      <w:r>
        <w:rPr>
          <w:rFonts w:eastAsia="宋体"/>
          <w:color w:val="auto"/>
        </w:rPr>
        <w:instrText xml:space="preserve"> HYPERLINK \l _Toc8092 </w:instrText>
      </w:r>
      <w:r>
        <w:rPr>
          <w:rFonts w:eastAsia="宋体"/>
          <w:color w:val="auto"/>
        </w:rPr>
        <w:fldChar w:fldCharType="separate"/>
      </w:r>
      <w:r>
        <w:rPr>
          <w:rFonts w:hint="default"/>
          <w:color w:val="auto"/>
        </w:rPr>
        <w:t>七</w:t>
      </w:r>
      <w:r>
        <w:rPr>
          <w:rFonts w:hint="eastAsia"/>
          <w:color w:val="auto"/>
        </w:rPr>
        <w:t>、资格审查资料</w:t>
      </w:r>
      <w:r>
        <w:rPr>
          <w:color w:val="auto"/>
        </w:rPr>
        <w:tab/>
      </w:r>
      <w:r>
        <w:rPr>
          <w:color w:val="auto"/>
        </w:rPr>
        <w:fldChar w:fldCharType="begin"/>
      </w:r>
      <w:r>
        <w:rPr>
          <w:color w:val="auto"/>
        </w:rPr>
        <w:instrText xml:space="preserve"> PAGEREF _Toc8092 \h </w:instrText>
      </w:r>
      <w:r>
        <w:rPr>
          <w:color w:val="auto"/>
        </w:rPr>
        <w:fldChar w:fldCharType="separate"/>
      </w:r>
      <w:r>
        <w:rPr>
          <w:color w:val="auto"/>
        </w:rPr>
        <w:t>122</w:t>
      </w:r>
      <w:r>
        <w:rPr>
          <w:color w:val="auto"/>
        </w:rPr>
        <w:fldChar w:fldCharType="end"/>
      </w:r>
      <w:r>
        <w:rPr>
          <w:rFonts w:eastAsia="宋体"/>
          <w:color w:val="auto"/>
        </w:rPr>
        <w:fldChar w:fldCharType="end"/>
      </w:r>
    </w:p>
    <w:p w14:paraId="22EF2122">
      <w:pPr>
        <w:pStyle w:val="11"/>
        <w:tabs>
          <w:tab w:val="right" w:leader="dot" w:pos="8306"/>
        </w:tabs>
        <w:rPr>
          <w:color w:val="auto"/>
        </w:rPr>
      </w:pPr>
      <w:r>
        <w:rPr>
          <w:rFonts w:eastAsia="宋体"/>
          <w:color w:val="auto"/>
        </w:rPr>
        <w:fldChar w:fldCharType="begin"/>
      </w:r>
      <w:r>
        <w:rPr>
          <w:rFonts w:eastAsia="宋体"/>
          <w:color w:val="auto"/>
        </w:rPr>
        <w:instrText xml:space="preserve"> HYPERLINK \l _Toc6081 </w:instrText>
      </w:r>
      <w:r>
        <w:rPr>
          <w:rFonts w:eastAsia="宋体"/>
          <w:color w:val="auto"/>
        </w:rPr>
        <w:fldChar w:fldCharType="separate"/>
      </w:r>
      <w:r>
        <w:rPr>
          <w:rFonts w:hint="eastAsia"/>
          <w:color w:val="auto"/>
          <w:szCs w:val="24"/>
          <w:lang w:eastAsia="zh-CN"/>
        </w:rPr>
        <w:t>（</w:t>
      </w:r>
      <w:r>
        <w:rPr>
          <w:rFonts w:hint="default"/>
          <w:color w:val="auto"/>
          <w:szCs w:val="24"/>
        </w:rPr>
        <w:t>一</w:t>
      </w:r>
      <w:r>
        <w:rPr>
          <w:rFonts w:hint="eastAsia"/>
          <w:color w:val="auto"/>
          <w:szCs w:val="24"/>
          <w:lang w:eastAsia="zh-CN"/>
        </w:rPr>
        <w:t>）</w:t>
      </w:r>
      <w:r>
        <w:rPr>
          <w:rFonts w:hint="eastAsia"/>
          <w:color w:val="auto"/>
          <w:szCs w:val="24"/>
        </w:rPr>
        <w:t>投标人基本情况</w:t>
      </w:r>
      <w:r>
        <w:rPr>
          <w:color w:val="auto"/>
        </w:rPr>
        <w:tab/>
      </w:r>
      <w:r>
        <w:rPr>
          <w:color w:val="auto"/>
        </w:rPr>
        <w:fldChar w:fldCharType="begin"/>
      </w:r>
      <w:r>
        <w:rPr>
          <w:color w:val="auto"/>
        </w:rPr>
        <w:instrText xml:space="preserve"> PAGEREF _Toc6081 \h </w:instrText>
      </w:r>
      <w:r>
        <w:rPr>
          <w:color w:val="auto"/>
        </w:rPr>
        <w:fldChar w:fldCharType="separate"/>
      </w:r>
      <w:r>
        <w:rPr>
          <w:color w:val="auto"/>
        </w:rPr>
        <w:t>123</w:t>
      </w:r>
      <w:r>
        <w:rPr>
          <w:color w:val="auto"/>
        </w:rPr>
        <w:fldChar w:fldCharType="end"/>
      </w:r>
      <w:r>
        <w:rPr>
          <w:rFonts w:eastAsia="宋体"/>
          <w:color w:val="auto"/>
        </w:rPr>
        <w:fldChar w:fldCharType="end"/>
      </w:r>
    </w:p>
    <w:p w14:paraId="725A42CE">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_Toc23365 </w:instrText>
      </w:r>
      <w:r>
        <w:rPr>
          <w:rFonts w:eastAsia="宋体"/>
          <w:color w:val="auto"/>
        </w:rPr>
        <w:fldChar w:fldCharType="separate"/>
      </w:r>
      <w:r>
        <w:rPr>
          <w:rFonts w:hint="eastAsia"/>
          <w:color w:val="auto"/>
          <w:szCs w:val="24"/>
          <w:lang w:eastAsia="zh-CN"/>
        </w:rPr>
        <w:t>（</w:t>
      </w:r>
      <w:r>
        <w:rPr>
          <w:rFonts w:hint="default"/>
          <w:color w:val="auto"/>
          <w:szCs w:val="24"/>
        </w:rPr>
        <w:t>二</w:t>
      </w:r>
      <w:r>
        <w:rPr>
          <w:rFonts w:hint="eastAsia"/>
          <w:color w:val="auto"/>
          <w:szCs w:val="24"/>
          <w:lang w:eastAsia="zh-CN"/>
        </w:rPr>
        <w:t>）</w:t>
      </w:r>
      <w:r>
        <w:rPr>
          <w:rFonts w:hint="eastAsia"/>
          <w:color w:val="auto"/>
          <w:szCs w:val="24"/>
        </w:rPr>
        <w:t>近年财务状况表</w:t>
      </w:r>
      <w:r>
        <w:rPr>
          <w:color w:val="auto"/>
        </w:rPr>
        <w:tab/>
      </w:r>
      <w:r>
        <w:rPr>
          <w:color w:val="auto"/>
        </w:rPr>
        <w:fldChar w:fldCharType="begin"/>
      </w:r>
      <w:r>
        <w:rPr>
          <w:color w:val="auto"/>
        </w:rPr>
        <w:instrText xml:space="preserve"> PAGEREF _Toc23365 \h </w:instrText>
      </w:r>
      <w:r>
        <w:rPr>
          <w:color w:val="auto"/>
        </w:rPr>
        <w:fldChar w:fldCharType="separate"/>
      </w:r>
      <w:r>
        <w:rPr>
          <w:color w:val="auto"/>
        </w:rPr>
        <w:t>129</w:t>
      </w:r>
      <w:r>
        <w:rPr>
          <w:color w:val="auto"/>
        </w:rPr>
        <w:fldChar w:fldCharType="end"/>
      </w:r>
      <w:r>
        <w:rPr>
          <w:rFonts w:eastAsia="宋体"/>
          <w:color w:val="auto"/>
        </w:rPr>
        <w:fldChar w:fldCharType="end"/>
      </w:r>
    </w:p>
    <w:p w14:paraId="6671AE9B">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_Toc23059 </w:instrText>
      </w:r>
      <w:r>
        <w:rPr>
          <w:rFonts w:eastAsia="宋体"/>
          <w:color w:val="auto"/>
        </w:rPr>
        <w:fldChar w:fldCharType="separate"/>
      </w:r>
      <w:r>
        <w:rPr>
          <w:rFonts w:hint="eastAsia"/>
          <w:color w:val="auto"/>
          <w:szCs w:val="24"/>
          <w:lang w:eastAsia="zh-CN"/>
        </w:rPr>
        <w:t>（</w:t>
      </w:r>
      <w:r>
        <w:rPr>
          <w:rFonts w:hint="default"/>
          <w:color w:val="auto"/>
          <w:szCs w:val="24"/>
        </w:rPr>
        <w:t>三</w:t>
      </w:r>
      <w:r>
        <w:rPr>
          <w:rFonts w:hint="eastAsia"/>
          <w:color w:val="auto"/>
          <w:szCs w:val="24"/>
          <w:lang w:eastAsia="zh-CN"/>
        </w:rPr>
        <w:t>）</w:t>
      </w:r>
      <w:r>
        <w:rPr>
          <w:rFonts w:hint="eastAsia"/>
          <w:color w:val="auto"/>
          <w:szCs w:val="24"/>
        </w:rPr>
        <w:t>近年完成的类似项目情况</w:t>
      </w:r>
      <w:r>
        <w:rPr>
          <w:color w:val="auto"/>
        </w:rPr>
        <w:tab/>
      </w:r>
      <w:r>
        <w:rPr>
          <w:color w:val="auto"/>
        </w:rPr>
        <w:fldChar w:fldCharType="begin"/>
      </w:r>
      <w:r>
        <w:rPr>
          <w:color w:val="auto"/>
        </w:rPr>
        <w:instrText xml:space="preserve"> PAGEREF _Toc23059 \h </w:instrText>
      </w:r>
      <w:r>
        <w:rPr>
          <w:color w:val="auto"/>
        </w:rPr>
        <w:fldChar w:fldCharType="separate"/>
      </w:r>
      <w:r>
        <w:rPr>
          <w:color w:val="auto"/>
        </w:rPr>
        <w:t>130</w:t>
      </w:r>
      <w:r>
        <w:rPr>
          <w:color w:val="auto"/>
        </w:rPr>
        <w:fldChar w:fldCharType="end"/>
      </w:r>
      <w:r>
        <w:rPr>
          <w:rFonts w:eastAsia="宋体"/>
          <w:color w:val="auto"/>
        </w:rPr>
        <w:fldChar w:fldCharType="end"/>
      </w:r>
    </w:p>
    <w:p w14:paraId="79684117">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_Toc23048 </w:instrText>
      </w:r>
      <w:r>
        <w:rPr>
          <w:rFonts w:eastAsia="宋体"/>
          <w:color w:val="auto"/>
        </w:rPr>
        <w:fldChar w:fldCharType="separate"/>
      </w:r>
      <w:r>
        <w:rPr>
          <w:rFonts w:hint="eastAsia"/>
          <w:color w:val="auto"/>
          <w:szCs w:val="24"/>
          <w:lang w:eastAsia="zh-CN"/>
        </w:rPr>
        <w:t>（</w:t>
      </w:r>
      <w:r>
        <w:rPr>
          <w:rFonts w:hint="default"/>
          <w:color w:val="auto"/>
          <w:szCs w:val="24"/>
        </w:rPr>
        <w:t>四</w:t>
      </w:r>
      <w:r>
        <w:rPr>
          <w:rFonts w:hint="eastAsia"/>
          <w:color w:val="auto"/>
          <w:szCs w:val="24"/>
          <w:lang w:eastAsia="zh-CN"/>
        </w:rPr>
        <w:t>）</w:t>
      </w:r>
      <w:r>
        <w:rPr>
          <w:rFonts w:hint="eastAsia"/>
          <w:color w:val="auto"/>
          <w:szCs w:val="24"/>
        </w:rPr>
        <w:t>正在施工的和新承接的项目情况</w:t>
      </w:r>
      <w:r>
        <w:rPr>
          <w:color w:val="auto"/>
        </w:rPr>
        <w:tab/>
      </w:r>
      <w:r>
        <w:rPr>
          <w:color w:val="auto"/>
        </w:rPr>
        <w:fldChar w:fldCharType="begin"/>
      </w:r>
      <w:r>
        <w:rPr>
          <w:color w:val="auto"/>
        </w:rPr>
        <w:instrText xml:space="preserve"> PAGEREF _Toc23048 \h </w:instrText>
      </w:r>
      <w:r>
        <w:rPr>
          <w:color w:val="auto"/>
        </w:rPr>
        <w:fldChar w:fldCharType="separate"/>
      </w:r>
      <w:r>
        <w:rPr>
          <w:color w:val="auto"/>
        </w:rPr>
        <w:t>132</w:t>
      </w:r>
      <w:r>
        <w:rPr>
          <w:color w:val="auto"/>
        </w:rPr>
        <w:fldChar w:fldCharType="end"/>
      </w:r>
      <w:r>
        <w:rPr>
          <w:rFonts w:eastAsia="宋体"/>
          <w:color w:val="auto"/>
        </w:rPr>
        <w:fldChar w:fldCharType="end"/>
      </w:r>
    </w:p>
    <w:p w14:paraId="266F1653">
      <w:pPr>
        <w:pStyle w:val="11"/>
        <w:tabs>
          <w:tab w:val="right" w:leader="dot" w:pos="8306"/>
        </w:tabs>
        <w:rPr>
          <w:color w:val="auto"/>
        </w:rPr>
      </w:pPr>
      <w:r>
        <w:rPr>
          <w:rFonts w:eastAsia="宋体"/>
          <w:color w:val="auto"/>
        </w:rPr>
        <w:fldChar w:fldCharType="begin"/>
      </w:r>
      <w:r>
        <w:rPr>
          <w:rFonts w:eastAsia="宋体"/>
          <w:color w:val="auto"/>
        </w:rPr>
        <w:instrText xml:space="preserve"> HYPERLINK \l _Toc7104 </w:instrText>
      </w:r>
      <w:r>
        <w:rPr>
          <w:rFonts w:eastAsia="宋体"/>
          <w:color w:val="auto"/>
        </w:rPr>
        <w:fldChar w:fldCharType="separate"/>
      </w:r>
      <w:r>
        <w:rPr>
          <w:rFonts w:hint="eastAsia"/>
          <w:color w:val="auto"/>
          <w:szCs w:val="24"/>
          <w:lang w:eastAsia="zh-CN"/>
        </w:rPr>
        <w:t>（</w:t>
      </w:r>
      <w:r>
        <w:rPr>
          <w:rFonts w:hint="default"/>
          <w:color w:val="auto"/>
          <w:szCs w:val="24"/>
        </w:rPr>
        <w:t>五</w:t>
      </w:r>
      <w:r>
        <w:rPr>
          <w:rFonts w:hint="eastAsia"/>
          <w:color w:val="auto"/>
          <w:szCs w:val="24"/>
          <w:lang w:eastAsia="zh-CN"/>
        </w:rPr>
        <w:t>）</w:t>
      </w:r>
      <w:r>
        <w:rPr>
          <w:rFonts w:hint="eastAsia"/>
          <w:color w:val="auto"/>
          <w:szCs w:val="24"/>
        </w:rPr>
        <w:t>企业信誉情况</w:t>
      </w:r>
      <w:r>
        <w:rPr>
          <w:color w:val="auto"/>
        </w:rPr>
        <w:tab/>
      </w:r>
      <w:r>
        <w:rPr>
          <w:color w:val="auto"/>
        </w:rPr>
        <w:fldChar w:fldCharType="begin"/>
      </w:r>
      <w:r>
        <w:rPr>
          <w:color w:val="auto"/>
        </w:rPr>
        <w:instrText xml:space="preserve"> PAGEREF _Toc7104 \h </w:instrText>
      </w:r>
      <w:r>
        <w:rPr>
          <w:color w:val="auto"/>
        </w:rPr>
        <w:fldChar w:fldCharType="separate"/>
      </w:r>
      <w:r>
        <w:rPr>
          <w:color w:val="auto"/>
        </w:rPr>
        <w:t>134</w:t>
      </w:r>
      <w:r>
        <w:rPr>
          <w:color w:val="auto"/>
        </w:rPr>
        <w:fldChar w:fldCharType="end"/>
      </w:r>
      <w:r>
        <w:rPr>
          <w:rFonts w:eastAsia="宋体"/>
          <w:color w:val="auto"/>
        </w:rPr>
        <w:fldChar w:fldCharType="end"/>
      </w:r>
    </w:p>
    <w:p w14:paraId="5A5036AA">
      <w:pPr>
        <w:pStyle w:val="17"/>
        <w:tabs>
          <w:tab w:val="right" w:leader="dot" w:pos="8306"/>
        </w:tabs>
        <w:rPr>
          <w:color w:val="auto"/>
        </w:rPr>
      </w:pPr>
      <w:r>
        <w:rPr>
          <w:rFonts w:eastAsia="宋体"/>
          <w:color w:val="auto"/>
        </w:rPr>
        <w:fldChar w:fldCharType="begin"/>
      </w:r>
      <w:r>
        <w:rPr>
          <w:rFonts w:eastAsia="宋体"/>
          <w:color w:val="auto"/>
        </w:rPr>
        <w:instrText xml:space="preserve"> HYPERLINK \l _Toc11716 </w:instrText>
      </w:r>
      <w:r>
        <w:rPr>
          <w:rFonts w:eastAsia="宋体"/>
          <w:color w:val="auto"/>
        </w:rPr>
        <w:fldChar w:fldCharType="separate"/>
      </w:r>
      <w:r>
        <w:rPr>
          <w:rFonts w:hint="default"/>
          <w:color w:val="auto"/>
        </w:rPr>
        <w:t>八</w:t>
      </w:r>
      <w:r>
        <w:rPr>
          <w:rFonts w:hint="eastAsia"/>
          <w:color w:val="auto"/>
        </w:rPr>
        <w:t>、已标价工程量清单</w:t>
      </w:r>
      <w:r>
        <w:rPr>
          <w:color w:val="auto"/>
        </w:rPr>
        <w:tab/>
      </w:r>
      <w:r>
        <w:rPr>
          <w:color w:val="auto"/>
        </w:rPr>
        <w:fldChar w:fldCharType="begin"/>
      </w:r>
      <w:r>
        <w:rPr>
          <w:color w:val="auto"/>
        </w:rPr>
        <w:instrText xml:space="preserve"> PAGEREF _Toc11716 \h </w:instrText>
      </w:r>
      <w:r>
        <w:rPr>
          <w:color w:val="auto"/>
        </w:rPr>
        <w:fldChar w:fldCharType="separate"/>
      </w:r>
      <w:r>
        <w:rPr>
          <w:color w:val="auto"/>
        </w:rPr>
        <w:t>140</w:t>
      </w:r>
      <w:r>
        <w:rPr>
          <w:color w:val="auto"/>
        </w:rPr>
        <w:fldChar w:fldCharType="end"/>
      </w:r>
      <w:r>
        <w:rPr>
          <w:rFonts w:eastAsia="宋体"/>
          <w:color w:val="auto"/>
        </w:rPr>
        <w:fldChar w:fldCharType="end"/>
      </w:r>
    </w:p>
    <w:p w14:paraId="6C1C884E">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_Toc24160 </w:instrText>
      </w:r>
      <w:r>
        <w:rPr>
          <w:rFonts w:eastAsia="宋体"/>
          <w:color w:val="auto"/>
        </w:rPr>
        <w:fldChar w:fldCharType="separate"/>
      </w:r>
      <w:r>
        <w:rPr>
          <w:rFonts w:hint="eastAsia"/>
          <w:color w:val="auto"/>
        </w:rPr>
        <w:t>已标价工程量清单（投标总价）封面</w:t>
      </w:r>
      <w:r>
        <w:rPr>
          <w:color w:val="auto"/>
        </w:rPr>
        <w:tab/>
      </w:r>
      <w:r>
        <w:rPr>
          <w:color w:val="auto"/>
        </w:rPr>
        <w:fldChar w:fldCharType="begin"/>
      </w:r>
      <w:r>
        <w:rPr>
          <w:color w:val="auto"/>
        </w:rPr>
        <w:instrText xml:space="preserve"> PAGEREF _Toc24160 \h </w:instrText>
      </w:r>
      <w:r>
        <w:rPr>
          <w:color w:val="auto"/>
        </w:rPr>
        <w:fldChar w:fldCharType="separate"/>
      </w:r>
      <w:r>
        <w:rPr>
          <w:color w:val="auto"/>
        </w:rPr>
        <w:t>141</w:t>
      </w:r>
      <w:r>
        <w:rPr>
          <w:color w:val="auto"/>
        </w:rPr>
        <w:fldChar w:fldCharType="end"/>
      </w:r>
      <w:r>
        <w:rPr>
          <w:rFonts w:eastAsia="宋体"/>
          <w:color w:val="auto"/>
        </w:rPr>
        <w:fldChar w:fldCharType="end"/>
      </w:r>
    </w:p>
    <w:p w14:paraId="081F122C">
      <w:pPr>
        <w:pStyle w:val="11"/>
        <w:tabs>
          <w:tab w:val="right" w:leader="dot" w:pos="8306"/>
        </w:tabs>
        <w:rPr>
          <w:color w:val="auto"/>
        </w:rPr>
      </w:pPr>
      <w:r>
        <w:rPr>
          <w:rFonts w:eastAsia="宋体"/>
          <w:color w:val="auto"/>
        </w:rPr>
        <w:fldChar w:fldCharType="begin"/>
      </w:r>
      <w:r>
        <w:rPr>
          <w:rFonts w:eastAsia="宋体"/>
          <w:color w:val="auto"/>
        </w:rPr>
        <w:instrText xml:space="preserve"> HYPERLINK \l _Toc5123 </w:instrText>
      </w:r>
      <w:r>
        <w:rPr>
          <w:rFonts w:eastAsia="宋体"/>
          <w:color w:val="auto"/>
        </w:rPr>
        <w:fldChar w:fldCharType="separate"/>
      </w:r>
      <w:r>
        <w:rPr>
          <w:rFonts w:hint="eastAsia"/>
          <w:color w:val="auto"/>
        </w:rPr>
        <w:t>投标总价扉页</w:t>
      </w:r>
      <w:r>
        <w:rPr>
          <w:color w:val="auto"/>
        </w:rPr>
        <w:tab/>
      </w:r>
      <w:r>
        <w:rPr>
          <w:color w:val="auto"/>
        </w:rPr>
        <w:fldChar w:fldCharType="begin"/>
      </w:r>
      <w:r>
        <w:rPr>
          <w:color w:val="auto"/>
        </w:rPr>
        <w:instrText xml:space="preserve"> PAGEREF _Toc5123 \h </w:instrText>
      </w:r>
      <w:r>
        <w:rPr>
          <w:color w:val="auto"/>
        </w:rPr>
        <w:fldChar w:fldCharType="separate"/>
      </w:r>
      <w:r>
        <w:rPr>
          <w:color w:val="auto"/>
        </w:rPr>
        <w:t>142</w:t>
      </w:r>
      <w:r>
        <w:rPr>
          <w:color w:val="auto"/>
        </w:rPr>
        <w:fldChar w:fldCharType="end"/>
      </w:r>
      <w:r>
        <w:rPr>
          <w:rFonts w:eastAsia="宋体"/>
          <w:color w:val="auto"/>
        </w:rPr>
        <w:fldChar w:fldCharType="end"/>
      </w:r>
    </w:p>
    <w:p w14:paraId="30A9849C">
      <w:pPr>
        <w:pStyle w:val="17"/>
        <w:tabs>
          <w:tab w:val="right" w:leader="dot" w:pos="8306"/>
        </w:tabs>
        <w:rPr>
          <w:color w:val="auto"/>
        </w:rPr>
      </w:pPr>
      <w:r>
        <w:rPr>
          <w:rFonts w:eastAsia="宋体"/>
          <w:color w:val="auto"/>
        </w:rPr>
        <w:fldChar w:fldCharType="begin"/>
      </w:r>
      <w:r>
        <w:rPr>
          <w:rFonts w:eastAsia="宋体"/>
          <w:color w:val="auto"/>
        </w:rPr>
        <w:instrText xml:space="preserve"> HYPERLINK \l _Toc27235 </w:instrText>
      </w:r>
      <w:r>
        <w:rPr>
          <w:rFonts w:eastAsia="宋体"/>
          <w:color w:val="auto"/>
        </w:rPr>
        <w:fldChar w:fldCharType="separate"/>
      </w:r>
      <w:r>
        <w:rPr>
          <w:rFonts w:hint="default"/>
          <w:color w:val="auto"/>
          <w:lang w:eastAsia="zh-CN"/>
        </w:rPr>
        <w:t>九</w:t>
      </w:r>
      <w:r>
        <w:rPr>
          <w:rFonts w:hint="eastAsia"/>
          <w:color w:val="auto"/>
        </w:rPr>
        <w:t>、施工组织设计</w:t>
      </w:r>
      <w:r>
        <w:rPr>
          <w:color w:val="auto"/>
        </w:rPr>
        <w:tab/>
      </w:r>
      <w:r>
        <w:rPr>
          <w:color w:val="auto"/>
        </w:rPr>
        <w:fldChar w:fldCharType="begin"/>
      </w:r>
      <w:r>
        <w:rPr>
          <w:color w:val="auto"/>
        </w:rPr>
        <w:instrText xml:space="preserve"> PAGEREF _Toc27235 \h </w:instrText>
      </w:r>
      <w:r>
        <w:rPr>
          <w:color w:val="auto"/>
        </w:rPr>
        <w:fldChar w:fldCharType="separate"/>
      </w:r>
      <w:r>
        <w:rPr>
          <w:color w:val="auto"/>
        </w:rPr>
        <w:t>143</w:t>
      </w:r>
      <w:r>
        <w:rPr>
          <w:color w:val="auto"/>
        </w:rPr>
        <w:fldChar w:fldCharType="end"/>
      </w:r>
      <w:r>
        <w:rPr>
          <w:rFonts w:eastAsia="宋体"/>
          <w:color w:val="auto"/>
        </w:rPr>
        <w:fldChar w:fldCharType="end"/>
      </w:r>
    </w:p>
    <w:p w14:paraId="74B108EA">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_Toc22616 </w:instrText>
      </w:r>
      <w:r>
        <w:rPr>
          <w:rFonts w:eastAsia="宋体"/>
          <w:color w:val="auto"/>
        </w:rPr>
        <w:fldChar w:fldCharType="separate"/>
      </w:r>
      <w:r>
        <w:rPr>
          <w:rFonts w:hint="eastAsia"/>
          <w:color w:val="auto"/>
          <w:szCs w:val="24"/>
        </w:rPr>
        <w:t>附表一：拟投入本工程的主要施工设备表</w:t>
      </w:r>
      <w:r>
        <w:rPr>
          <w:color w:val="auto"/>
        </w:rPr>
        <w:tab/>
      </w:r>
      <w:r>
        <w:rPr>
          <w:color w:val="auto"/>
        </w:rPr>
        <w:fldChar w:fldCharType="begin"/>
      </w:r>
      <w:r>
        <w:rPr>
          <w:color w:val="auto"/>
        </w:rPr>
        <w:instrText xml:space="preserve"> PAGEREF _Toc22616 \h </w:instrText>
      </w:r>
      <w:r>
        <w:rPr>
          <w:color w:val="auto"/>
        </w:rPr>
        <w:fldChar w:fldCharType="separate"/>
      </w:r>
      <w:r>
        <w:rPr>
          <w:color w:val="auto"/>
        </w:rPr>
        <w:t>145</w:t>
      </w:r>
      <w:r>
        <w:rPr>
          <w:color w:val="auto"/>
        </w:rPr>
        <w:fldChar w:fldCharType="end"/>
      </w:r>
      <w:r>
        <w:rPr>
          <w:rFonts w:eastAsia="宋体"/>
          <w:color w:val="auto"/>
        </w:rPr>
        <w:fldChar w:fldCharType="end"/>
      </w:r>
    </w:p>
    <w:p w14:paraId="39B8E51D">
      <w:pPr>
        <w:pStyle w:val="11"/>
        <w:tabs>
          <w:tab w:val="right" w:leader="dot" w:pos="8306"/>
        </w:tabs>
        <w:rPr>
          <w:color w:val="auto"/>
        </w:rPr>
      </w:pPr>
      <w:r>
        <w:rPr>
          <w:rFonts w:eastAsia="宋体"/>
          <w:color w:val="auto"/>
        </w:rPr>
        <w:fldChar w:fldCharType="begin"/>
      </w:r>
      <w:r>
        <w:rPr>
          <w:rFonts w:eastAsia="宋体"/>
          <w:color w:val="auto"/>
        </w:rPr>
        <w:instrText xml:space="preserve"> HYPERLINK \l _Toc30316 </w:instrText>
      </w:r>
      <w:r>
        <w:rPr>
          <w:rFonts w:eastAsia="宋体"/>
          <w:color w:val="auto"/>
        </w:rPr>
        <w:fldChar w:fldCharType="separate"/>
      </w:r>
      <w:r>
        <w:rPr>
          <w:rFonts w:hint="eastAsia"/>
          <w:color w:val="auto"/>
          <w:szCs w:val="24"/>
        </w:rPr>
        <w:t>附表二：拟配备本工程的试验和检测仪器设备表</w:t>
      </w:r>
      <w:r>
        <w:rPr>
          <w:color w:val="auto"/>
        </w:rPr>
        <w:tab/>
      </w:r>
      <w:r>
        <w:rPr>
          <w:color w:val="auto"/>
        </w:rPr>
        <w:fldChar w:fldCharType="begin"/>
      </w:r>
      <w:r>
        <w:rPr>
          <w:color w:val="auto"/>
        </w:rPr>
        <w:instrText xml:space="preserve"> PAGEREF _Toc30316 \h </w:instrText>
      </w:r>
      <w:r>
        <w:rPr>
          <w:color w:val="auto"/>
        </w:rPr>
        <w:fldChar w:fldCharType="separate"/>
      </w:r>
      <w:r>
        <w:rPr>
          <w:color w:val="auto"/>
        </w:rPr>
        <w:t>146</w:t>
      </w:r>
      <w:r>
        <w:rPr>
          <w:color w:val="auto"/>
        </w:rPr>
        <w:fldChar w:fldCharType="end"/>
      </w:r>
      <w:r>
        <w:rPr>
          <w:rFonts w:eastAsia="宋体"/>
          <w:color w:val="auto"/>
        </w:rPr>
        <w:fldChar w:fldCharType="end"/>
      </w:r>
    </w:p>
    <w:p w14:paraId="3599A297">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_Toc29388 </w:instrText>
      </w:r>
      <w:r>
        <w:rPr>
          <w:rFonts w:eastAsia="宋体"/>
          <w:color w:val="auto"/>
        </w:rPr>
        <w:fldChar w:fldCharType="separate"/>
      </w:r>
      <w:r>
        <w:rPr>
          <w:rFonts w:hint="eastAsia"/>
          <w:color w:val="auto"/>
          <w:szCs w:val="24"/>
        </w:rPr>
        <w:t>附表三：劳动力计划表</w:t>
      </w:r>
      <w:r>
        <w:rPr>
          <w:color w:val="auto"/>
        </w:rPr>
        <w:tab/>
      </w:r>
      <w:r>
        <w:rPr>
          <w:color w:val="auto"/>
        </w:rPr>
        <w:fldChar w:fldCharType="begin"/>
      </w:r>
      <w:r>
        <w:rPr>
          <w:color w:val="auto"/>
        </w:rPr>
        <w:instrText xml:space="preserve"> PAGEREF _Toc29388 \h </w:instrText>
      </w:r>
      <w:r>
        <w:rPr>
          <w:color w:val="auto"/>
        </w:rPr>
        <w:fldChar w:fldCharType="separate"/>
      </w:r>
      <w:r>
        <w:rPr>
          <w:color w:val="auto"/>
        </w:rPr>
        <w:t>147</w:t>
      </w:r>
      <w:r>
        <w:rPr>
          <w:color w:val="auto"/>
        </w:rPr>
        <w:fldChar w:fldCharType="end"/>
      </w:r>
      <w:r>
        <w:rPr>
          <w:rFonts w:eastAsia="宋体"/>
          <w:color w:val="auto"/>
        </w:rPr>
        <w:fldChar w:fldCharType="end"/>
      </w:r>
    </w:p>
    <w:p w14:paraId="57003695">
      <w:pPr>
        <w:pStyle w:val="11"/>
        <w:tabs>
          <w:tab w:val="right" w:leader="dot" w:pos="8306"/>
        </w:tabs>
        <w:rPr>
          <w:color w:val="auto"/>
        </w:rPr>
      </w:pPr>
      <w:r>
        <w:rPr>
          <w:rFonts w:eastAsia="宋体"/>
          <w:color w:val="auto"/>
        </w:rPr>
        <w:fldChar w:fldCharType="begin"/>
      </w:r>
      <w:r>
        <w:rPr>
          <w:rFonts w:eastAsia="宋体"/>
          <w:color w:val="auto"/>
        </w:rPr>
        <w:instrText xml:space="preserve"> HYPERLINK \l _Toc3715 </w:instrText>
      </w:r>
      <w:r>
        <w:rPr>
          <w:rFonts w:eastAsia="宋体"/>
          <w:color w:val="auto"/>
        </w:rPr>
        <w:fldChar w:fldCharType="separate"/>
      </w:r>
      <w:r>
        <w:rPr>
          <w:rFonts w:hint="eastAsia"/>
          <w:color w:val="auto"/>
          <w:szCs w:val="24"/>
        </w:rPr>
        <w:t>附表四：计划开、竣工日期和施工进度网络图</w:t>
      </w:r>
      <w:r>
        <w:rPr>
          <w:color w:val="auto"/>
        </w:rPr>
        <w:tab/>
      </w:r>
      <w:r>
        <w:rPr>
          <w:color w:val="auto"/>
        </w:rPr>
        <w:fldChar w:fldCharType="begin"/>
      </w:r>
      <w:r>
        <w:rPr>
          <w:color w:val="auto"/>
        </w:rPr>
        <w:instrText xml:space="preserve"> PAGEREF _Toc3715 \h </w:instrText>
      </w:r>
      <w:r>
        <w:rPr>
          <w:color w:val="auto"/>
        </w:rPr>
        <w:fldChar w:fldCharType="separate"/>
      </w:r>
      <w:r>
        <w:rPr>
          <w:color w:val="auto"/>
        </w:rPr>
        <w:t>148</w:t>
      </w:r>
      <w:r>
        <w:rPr>
          <w:color w:val="auto"/>
        </w:rPr>
        <w:fldChar w:fldCharType="end"/>
      </w:r>
      <w:r>
        <w:rPr>
          <w:rFonts w:eastAsia="宋体"/>
          <w:color w:val="auto"/>
        </w:rPr>
        <w:fldChar w:fldCharType="end"/>
      </w:r>
    </w:p>
    <w:p w14:paraId="5B617992">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_Toc2761 </w:instrText>
      </w:r>
      <w:r>
        <w:rPr>
          <w:rFonts w:eastAsia="宋体"/>
          <w:color w:val="auto"/>
        </w:rPr>
        <w:fldChar w:fldCharType="separate"/>
      </w:r>
      <w:r>
        <w:rPr>
          <w:rFonts w:hint="eastAsia"/>
          <w:color w:val="auto"/>
          <w:szCs w:val="24"/>
        </w:rPr>
        <w:t>附表五：施工总平面图</w:t>
      </w:r>
      <w:r>
        <w:rPr>
          <w:color w:val="auto"/>
        </w:rPr>
        <w:tab/>
      </w:r>
      <w:r>
        <w:rPr>
          <w:color w:val="auto"/>
        </w:rPr>
        <w:fldChar w:fldCharType="begin"/>
      </w:r>
      <w:r>
        <w:rPr>
          <w:color w:val="auto"/>
        </w:rPr>
        <w:instrText xml:space="preserve"> PAGEREF _Toc2761 \h </w:instrText>
      </w:r>
      <w:r>
        <w:rPr>
          <w:color w:val="auto"/>
        </w:rPr>
        <w:fldChar w:fldCharType="separate"/>
      </w:r>
      <w:r>
        <w:rPr>
          <w:color w:val="auto"/>
        </w:rPr>
        <w:t>149</w:t>
      </w:r>
      <w:r>
        <w:rPr>
          <w:color w:val="auto"/>
        </w:rPr>
        <w:fldChar w:fldCharType="end"/>
      </w:r>
      <w:r>
        <w:rPr>
          <w:rFonts w:eastAsia="宋体"/>
          <w:color w:val="auto"/>
        </w:rPr>
        <w:fldChar w:fldCharType="end"/>
      </w:r>
    </w:p>
    <w:p w14:paraId="34A3BEE8">
      <w:pPr>
        <w:pStyle w:val="11"/>
        <w:tabs>
          <w:tab w:val="right" w:leader="dot" w:pos="8306"/>
        </w:tabs>
        <w:rPr>
          <w:color w:val="auto"/>
        </w:rPr>
      </w:pPr>
      <w:r>
        <w:rPr>
          <w:rFonts w:eastAsia="宋体"/>
          <w:color w:val="auto"/>
        </w:rPr>
        <w:fldChar w:fldCharType="begin"/>
      </w:r>
      <w:r>
        <w:rPr>
          <w:rFonts w:eastAsia="宋体"/>
          <w:color w:val="auto"/>
        </w:rPr>
        <w:instrText xml:space="preserve"> HYPERLINK \l _Toc25068 </w:instrText>
      </w:r>
      <w:r>
        <w:rPr>
          <w:rFonts w:eastAsia="宋体"/>
          <w:color w:val="auto"/>
        </w:rPr>
        <w:fldChar w:fldCharType="separate"/>
      </w:r>
      <w:r>
        <w:rPr>
          <w:rFonts w:hint="eastAsia"/>
          <w:color w:val="auto"/>
          <w:szCs w:val="24"/>
        </w:rPr>
        <w:t>附表六：临时用地表</w:t>
      </w:r>
      <w:r>
        <w:rPr>
          <w:color w:val="auto"/>
        </w:rPr>
        <w:tab/>
      </w:r>
      <w:r>
        <w:rPr>
          <w:color w:val="auto"/>
        </w:rPr>
        <w:fldChar w:fldCharType="begin"/>
      </w:r>
      <w:r>
        <w:rPr>
          <w:color w:val="auto"/>
        </w:rPr>
        <w:instrText xml:space="preserve"> PAGEREF _Toc25068 \h </w:instrText>
      </w:r>
      <w:r>
        <w:rPr>
          <w:color w:val="auto"/>
        </w:rPr>
        <w:fldChar w:fldCharType="separate"/>
      </w:r>
      <w:r>
        <w:rPr>
          <w:color w:val="auto"/>
        </w:rPr>
        <w:t>150</w:t>
      </w:r>
      <w:r>
        <w:rPr>
          <w:color w:val="auto"/>
        </w:rPr>
        <w:fldChar w:fldCharType="end"/>
      </w:r>
      <w:r>
        <w:rPr>
          <w:rFonts w:eastAsia="宋体"/>
          <w:color w:val="auto"/>
        </w:rPr>
        <w:fldChar w:fldCharType="end"/>
      </w:r>
    </w:p>
    <w:p w14:paraId="3BB940FC">
      <w:pPr>
        <w:pStyle w:val="17"/>
        <w:tabs>
          <w:tab w:val="right" w:leader="dot" w:pos="8306"/>
        </w:tabs>
        <w:rPr>
          <w:color w:val="auto"/>
        </w:rPr>
      </w:pPr>
      <w:r>
        <w:rPr>
          <w:rFonts w:eastAsia="宋体"/>
          <w:color w:val="auto"/>
        </w:rPr>
        <w:fldChar w:fldCharType="begin"/>
      </w:r>
      <w:r>
        <w:rPr>
          <w:rFonts w:eastAsia="宋体"/>
          <w:color w:val="auto"/>
        </w:rPr>
        <w:instrText xml:space="preserve"> HYPERLINK \l _Toc2576 </w:instrText>
      </w:r>
      <w:r>
        <w:rPr>
          <w:rFonts w:eastAsia="宋体"/>
          <w:color w:val="auto"/>
        </w:rPr>
        <w:fldChar w:fldCharType="separate"/>
      </w:r>
      <w:r>
        <w:rPr>
          <w:rFonts w:hint="default"/>
          <w:color w:val="auto"/>
        </w:rPr>
        <w:t>十</w:t>
      </w:r>
      <w:r>
        <w:rPr>
          <w:rFonts w:hint="eastAsia"/>
          <w:color w:val="auto"/>
        </w:rPr>
        <w:t>、其他</w:t>
      </w:r>
      <w:r>
        <w:rPr>
          <w:rFonts w:hint="eastAsia"/>
          <w:color w:val="auto"/>
          <w:lang w:val="en-US" w:eastAsia="zh-CN"/>
        </w:rPr>
        <w:t>材料</w:t>
      </w:r>
      <w:r>
        <w:rPr>
          <w:color w:val="auto"/>
        </w:rPr>
        <w:tab/>
      </w:r>
      <w:r>
        <w:rPr>
          <w:color w:val="auto"/>
        </w:rPr>
        <w:fldChar w:fldCharType="begin"/>
      </w:r>
      <w:r>
        <w:rPr>
          <w:color w:val="auto"/>
        </w:rPr>
        <w:instrText xml:space="preserve"> PAGEREF _Toc2576 \h </w:instrText>
      </w:r>
      <w:r>
        <w:rPr>
          <w:color w:val="auto"/>
        </w:rPr>
        <w:fldChar w:fldCharType="separate"/>
      </w:r>
      <w:r>
        <w:rPr>
          <w:color w:val="auto"/>
        </w:rPr>
        <w:t>151</w:t>
      </w:r>
      <w:r>
        <w:rPr>
          <w:color w:val="auto"/>
        </w:rPr>
        <w:fldChar w:fldCharType="end"/>
      </w:r>
      <w:r>
        <w:rPr>
          <w:rFonts w:eastAsia="宋体"/>
          <w:color w:val="auto"/>
        </w:rPr>
        <w:fldChar w:fldCharType="end"/>
      </w:r>
    </w:p>
    <w:p w14:paraId="23AFA653">
      <w:pPr>
        <w:pStyle w:val="17"/>
        <w:tabs>
          <w:tab w:val="right" w:leader="dot" w:pos="8306"/>
        </w:tabs>
        <w:rPr>
          <w:color w:val="auto"/>
        </w:rPr>
      </w:pPr>
      <w:r>
        <w:rPr>
          <w:rFonts w:eastAsia="宋体"/>
          <w:color w:val="auto"/>
        </w:rPr>
        <w:fldChar w:fldCharType="begin"/>
      </w:r>
      <w:r>
        <w:rPr>
          <w:rFonts w:eastAsia="宋体"/>
          <w:color w:val="auto"/>
        </w:rPr>
        <w:instrText xml:space="preserve"> HYPERLINK \l _Toc5288 </w:instrText>
      </w:r>
      <w:r>
        <w:rPr>
          <w:rFonts w:eastAsia="宋体"/>
          <w:color w:val="auto"/>
        </w:rPr>
        <w:fldChar w:fldCharType="separate"/>
      </w:r>
      <w:r>
        <w:rPr>
          <w:rFonts w:hint="eastAsia" w:ascii="黑体" w:hAnsi="黑体" w:eastAsia="黑体" w:cs="黑体"/>
          <w:color w:val="auto"/>
          <w:lang w:eastAsia="zh-CN"/>
        </w:rPr>
        <w:t>（一）</w:t>
      </w:r>
      <w:r>
        <w:rPr>
          <w:rFonts w:ascii="黑体" w:hAnsi="黑体" w:eastAsia="黑体" w:cs="黑体"/>
          <w:color w:val="auto"/>
        </w:rPr>
        <w:t>中小企业声明函</w:t>
      </w:r>
      <w:r>
        <w:rPr>
          <w:color w:val="auto"/>
        </w:rPr>
        <w:tab/>
      </w:r>
      <w:r>
        <w:rPr>
          <w:color w:val="auto"/>
        </w:rPr>
        <w:fldChar w:fldCharType="begin"/>
      </w:r>
      <w:r>
        <w:rPr>
          <w:color w:val="auto"/>
        </w:rPr>
        <w:instrText xml:space="preserve"> PAGEREF _Toc5288 \h </w:instrText>
      </w:r>
      <w:r>
        <w:rPr>
          <w:color w:val="auto"/>
        </w:rPr>
        <w:fldChar w:fldCharType="separate"/>
      </w:r>
      <w:r>
        <w:rPr>
          <w:color w:val="auto"/>
        </w:rPr>
        <w:t>152</w:t>
      </w:r>
      <w:r>
        <w:rPr>
          <w:color w:val="auto"/>
        </w:rPr>
        <w:fldChar w:fldCharType="end"/>
      </w:r>
      <w:r>
        <w:rPr>
          <w:rFonts w:eastAsia="宋体"/>
          <w:color w:val="auto"/>
        </w:rPr>
        <w:fldChar w:fldCharType="end"/>
      </w:r>
    </w:p>
    <w:p w14:paraId="7A632797">
      <w:pPr>
        <w:pStyle w:val="17"/>
        <w:tabs>
          <w:tab w:val="right" w:leader="dot" w:pos="8306"/>
        </w:tabs>
        <w:rPr>
          <w:color w:val="auto"/>
        </w:rPr>
      </w:pPr>
      <w:r>
        <w:rPr>
          <w:rFonts w:eastAsia="宋体"/>
          <w:color w:val="auto"/>
        </w:rPr>
        <w:fldChar w:fldCharType="begin"/>
      </w:r>
      <w:r>
        <w:rPr>
          <w:rFonts w:eastAsia="宋体"/>
          <w:color w:val="auto"/>
        </w:rPr>
        <w:instrText xml:space="preserve"> HYPERLINK \l _Toc2249 </w:instrText>
      </w:r>
      <w:r>
        <w:rPr>
          <w:rFonts w:eastAsia="宋体"/>
          <w:color w:val="auto"/>
        </w:rPr>
        <w:fldChar w:fldCharType="separate"/>
      </w:r>
      <w:r>
        <w:rPr>
          <w:rFonts w:hint="eastAsia" w:ascii="黑体" w:hAnsi="黑体" w:eastAsia="黑体" w:cs="黑体"/>
          <w:color w:val="auto"/>
          <w:lang w:eastAsia="zh-CN"/>
        </w:rPr>
        <w:t>（二）</w:t>
      </w:r>
      <w:r>
        <w:rPr>
          <w:rFonts w:ascii="黑体" w:hAnsi="黑体" w:eastAsia="黑体" w:cs="黑体"/>
          <w:color w:val="auto"/>
        </w:rPr>
        <w:t>分包意向协议</w:t>
      </w:r>
      <w:r>
        <w:rPr>
          <w:color w:val="auto"/>
        </w:rPr>
        <w:tab/>
      </w:r>
      <w:r>
        <w:rPr>
          <w:color w:val="auto"/>
        </w:rPr>
        <w:fldChar w:fldCharType="begin"/>
      </w:r>
      <w:r>
        <w:rPr>
          <w:color w:val="auto"/>
        </w:rPr>
        <w:instrText xml:space="preserve"> PAGEREF _Toc2249 \h </w:instrText>
      </w:r>
      <w:r>
        <w:rPr>
          <w:color w:val="auto"/>
        </w:rPr>
        <w:fldChar w:fldCharType="separate"/>
      </w:r>
      <w:r>
        <w:rPr>
          <w:color w:val="auto"/>
        </w:rPr>
        <w:t>153</w:t>
      </w:r>
      <w:r>
        <w:rPr>
          <w:color w:val="auto"/>
        </w:rPr>
        <w:fldChar w:fldCharType="end"/>
      </w:r>
      <w:r>
        <w:rPr>
          <w:rFonts w:eastAsia="宋体"/>
          <w:color w:val="auto"/>
        </w:rPr>
        <w:fldChar w:fldCharType="end"/>
      </w:r>
    </w:p>
    <w:p w14:paraId="64EA7FAD">
      <w:pPr>
        <w:pStyle w:val="17"/>
        <w:tabs>
          <w:tab w:val="right" w:leader="dot" w:pos="8306"/>
        </w:tabs>
        <w:rPr>
          <w:color w:val="auto"/>
        </w:rPr>
      </w:pPr>
      <w:r>
        <w:rPr>
          <w:rFonts w:eastAsia="宋体"/>
          <w:color w:val="auto"/>
        </w:rPr>
        <w:fldChar w:fldCharType="begin"/>
      </w:r>
      <w:r>
        <w:rPr>
          <w:rFonts w:eastAsia="宋体"/>
          <w:color w:val="auto"/>
        </w:rPr>
        <w:instrText xml:space="preserve"> HYPERLINK \l _Toc23005 </w:instrText>
      </w:r>
      <w:r>
        <w:rPr>
          <w:rFonts w:eastAsia="宋体"/>
          <w:color w:val="auto"/>
        </w:rPr>
        <w:fldChar w:fldCharType="separate"/>
      </w:r>
      <w:r>
        <w:rPr>
          <w:rFonts w:hint="eastAsia" w:ascii="黑体" w:hAnsi="黑体" w:eastAsia="黑体" w:cs="黑体"/>
          <w:color w:val="auto"/>
          <w:lang w:eastAsia="zh-CN"/>
        </w:rPr>
        <w:t>（三）投标人认为还需提供的其他材料</w:t>
      </w:r>
      <w:r>
        <w:rPr>
          <w:color w:val="auto"/>
        </w:rPr>
        <w:tab/>
      </w:r>
      <w:r>
        <w:rPr>
          <w:color w:val="auto"/>
        </w:rPr>
        <w:fldChar w:fldCharType="begin"/>
      </w:r>
      <w:r>
        <w:rPr>
          <w:color w:val="auto"/>
        </w:rPr>
        <w:instrText xml:space="preserve"> PAGEREF _Toc23005 \h </w:instrText>
      </w:r>
      <w:r>
        <w:rPr>
          <w:color w:val="auto"/>
        </w:rPr>
        <w:fldChar w:fldCharType="separate"/>
      </w:r>
      <w:r>
        <w:rPr>
          <w:color w:val="auto"/>
        </w:rPr>
        <w:t>154</w:t>
      </w:r>
      <w:r>
        <w:rPr>
          <w:color w:val="auto"/>
        </w:rPr>
        <w:fldChar w:fldCharType="end"/>
      </w:r>
      <w:r>
        <w:rPr>
          <w:rFonts w:eastAsia="宋体"/>
          <w:color w:val="auto"/>
        </w:rPr>
        <w:fldChar w:fldCharType="end"/>
      </w:r>
    </w:p>
    <w:p w14:paraId="5567665A">
      <w:pPr>
        <w:jc w:val="center"/>
        <w:rPr>
          <w:rFonts w:eastAsia="宋体"/>
          <w:b/>
          <w:color w:val="auto"/>
          <w:sz w:val="44"/>
        </w:rPr>
        <w:sectPr>
          <w:pgSz w:w="11906" w:h="16838"/>
          <w:pgMar w:top="1440" w:right="1800" w:bottom="1440" w:left="1800" w:header="851" w:footer="992" w:gutter="0"/>
          <w:cols w:space="425" w:num="1"/>
          <w:docGrid w:type="lines" w:linePitch="312" w:charSpace="0"/>
        </w:sectPr>
      </w:pPr>
      <w:r>
        <w:rPr>
          <w:rFonts w:eastAsia="宋体"/>
          <w:color w:val="auto"/>
        </w:rPr>
        <w:fldChar w:fldCharType="end"/>
      </w:r>
      <w:bookmarkEnd w:id="0"/>
    </w:p>
    <w:p w14:paraId="5773CE51">
      <w:pPr>
        <w:ind w:firstLine="435"/>
        <w:jc w:val="center"/>
        <w:rPr>
          <w:rFonts w:hint="eastAsia"/>
          <w:color w:val="auto"/>
        </w:rPr>
      </w:pPr>
    </w:p>
    <w:p w14:paraId="0FDFFFBA">
      <w:pPr>
        <w:ind w:firstLine="435"/>
        <w:jc w:val="center"/>
        <w:rPr>
          <w:rFonts w:hint="eastAsia"/>
          <w:color w:val="auto"/>
        </w:rPr>
      </w:pPr>
    </w:p>
    <w:p w14:paraId="2475BA84">
      <w:pPr>
        <w:ind w:firstLine="435"/>
        <w:jc w:val="center"/>
        <w:rPr>
          <w:rFonts w:hint="eastAsia"/>
          <w:color w:val="auto"/>
        </w:rPr>
      </w:pPr>
    </w:p>
    <w:p w14:paraId="79F15246">
      <w:pPr>
        <w:ind w:firstLine="435"/>
        <w:jc w:val="center"/>
        <w:rPr>
          <w:color w:val="auto"/>
        </w:rPr>
      </w:pPr>
    </w:p>
    <w:p w14:paraId="2F24FF25">
      <w:pPr>
        <w:ind w:firstLine="435"/>
        <w:jc w:val="center"/>
        <w:rPr>
          <w:color w:val="auto"/>
        </w:rPr>
      </w:pPr>
    </w:p>
    <w:p w14:paraId="412EDA88">
      <w:pPr>
        <w:ind w:firstLine="435"/>
        <w:jc w:val="center"/>
        <w:rPr>
          <w:color w:val="auto"/>
        </w:rPr>
      </w:pPr>
    </w:p>
    <w:p w14:paraId="20AA0315">
      <w:pPr>
        <w:ind w:firstLine="435"/>
        <w:jc w:val="center"/>
        <w:rPr>
          <w:rFonts w:hint="eastAsia"/>
          <w:color w:val="auto"/>
        </w:rPr>
      </w:pPr>
    </w:p>
    <w:p w14:paraId="530C7790">
      <w:pPr>
        <w:ind w:firstLine="435"/>
        <w:jc w:val="center"/>
        <w:rPr>
          <w:rFonts w:hint="eastAsia"/>
          <w:color w:val="auto"/>
        </w:rPr>
      </w:pPr>
    </w:p>
    <w:p w14:paraId="551D2BA1">
      <w:pPr>
        <w:ind w:firstLine="435"/>
        <w:jc w:val="center"/>
        <w:rPr>
          <w:rFonts w:hint="eastAsia"/>
          <w:color w:val="auto"/>
        </w:rPr>
      </w:pPr>
    </w:p>
    <w:p w14:paraId="66C01C3E">
      <w:pPr>
        <w:ind w:firstLine="435"/>
        <w:jc w:val="center"/>
        <w:rPr>
          <w:rFonts w:hint="eastAsia"/>
          <w:color w:val="auto"/>
        </w:rPr>
      </w:pPr>
    </w:p>
    <w:p w14:paraId="75D297AA">
      <w:pPr>
        <w:ind w:firstLine="435"/>
        <w:jc w:val="center"/>
        <w:rPr>
          <w:rFonts w:hint="eastAsia"/>
          <w:color w:val="auto"/>
        </w:rPr>
      </w:pPr>
    </w:p>
    <w:p w14:paraId="6A7D8EB5">
      <w:pPr>
        <w:ind w:firstLine="435"/>
        <w:jc w:val="center"/>
        <w:rPr>
          <w:rFonts w:hint="eastAsia"/>
          <w:color w:val="auto"/>
        </w:rPr>
      </w:pPr>
    </w:p>
    <w:p w14:paraId="46141079">
      <w:pPr>
        <w:pStyle w:val="2"/>
        <w:spacing w:before="120" w:after="120" w:line="400" w:lineRule="exact"/>
        <w:jc w:val="center"/>
        <w:rPr>
          <w:rFonts w:hint="eastAsia" w:ascii="黑体" w:hAnsi="黑体" w:eastAsia="黑体"/>
          <w:b w:val="0"/>
          <w:bCs w:val="0"/>
          <w:color w:val="auto"/>
          <w:sz w:val="32"/>
          <w:lang w:val="en-US" w:eastAsia="zh-CN"/>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bookmarkStart w:id="1" w:name="_Toc122602606"/>
      <w:bookmarkStart w:id="2" w:name="_Toc23388"/>
      <w:r>
        <w:rPr>
          <w:rFonts w:hint="eastAsia" w:ascii="黑体" w:hAnsi="黑体" w:eastAsia="黑体"/>
          <w:b w:val="0"/>
          <w:bCs w:val="0"/>
          <w:color w:val="auto"/>
          <w:sz w:val="48"/>
          <w:szCs w:val="48"/>
        </w:rPr>
        <w:t>第一卷</w:t>
      </w:r>
      <w:bookmarkEnd w:id="1"/>
      <w:bookmarkEnd w:id="2"/>
    </w:p>
    <w:p w14:paraId="12BF7DB1">
      <w:pPr>
        <w:rPr>
          <w:rFonts w:hint="eastAsia"/>
          <w:color w:val="auto"/>
        </w:rPr>
      </w:pPr>
    </w:p>
    <w:p w14:paraId="74837D76">
      <w:pPr>
        <w:rPr>
          <w:rFonts w:hint="eastAsia"/>
          <w:color w:val="auto"/>
        </w:rPr>
      </w:pPr>
    </w:p>
    <w:p w14:paraId="25CE7AC7">
      <w:pPr>
        <w:rPr>
          <w:rFonts w:hint="eastAsia"/>
          <w:color w:val="auto"/>
        </w:rPr>
      </w:pPr>
    </w:p>
    <w:p w14:paraId="7A465CE5">
      <w:pPr>
        <w:rPr>
          <w:rFonts w:hint="eastAsia"/>
          <w:color w:val="auto"/>
        </w:rPr>
      </w:pPr>
    </w:p>
    <w:p w14:paraId="580447F8">
      <w:pPr>
        <w:rPr>
          <w:rFonts w:hint="eastAsia"/>
          <w:color w:val="auto"/>
        </w:rPr>
      </w:pPr>
    </w:p>
    <w:p w14:paraId="02B32CCE">
      <w:pPr>
        <w:rPr>
          <w:rFonts w:hint="eastAsia"/>
          <w:color w:val="auto"/>
        </w:rPr>
      </w:pPr>
    </w:p>
    <w:p w14:paraId="0B040F1A">
      <w:pPr>
        <w:rPr>
          <w:rFonts w:hint="eastAsia"/>
          <w:color w:val="auto"/>
        </w:rPr>
      </w:pPr>
    </w:p>
    <w:p w14:paraId="5AF5D91F">
      <w:pPr>
        <w:rPr>
          <w:rFonts w:hint="eastAsia"/>
          <w:color w:val="auto"/>
        </w:rPr>
      </w:pPr>
    </w:p>
    <w:p w14:paraId="2D034400">
      <w:pPr>
        <w:rPr>
          <w:rFonts w:hint="eastAsia"/>
          <w:color w:val="auto"/>
        </w:rPr>
      </w:pPr>
    </w:p>
    <w:p w14:paraId="0D9F0DCA">
      <w:pPr>
        <w:rPr>
          <w:rFonts w:hint="eastAsia"/>
          <w:color w:val="auto"/>
        </w:rPr>
      </w:pPr>
    </w:p>
    <w:p w14:paraId="5ADD1B4F">
      <w:pPr>
        <w:rPr>
          <w:rFonts w:hint="eastAsia"/>
          <w:color w:val="auto"/>
        </w:rPr>
      </w:pPr>
    </w:p>
    <w:p w14:paraId="2B43532B">
      <w:pPr>
        <w:rPr>
          <w:rFonts w:hint="eastAsia"/>
          <w:color w:val="auto"/>
        </w:rPr>
      </w:pPr>
    </w:p>
    <w:p w14:paraId="1F231971">
      <w:pPr>
        <w:rPr>
          <w:rFonts w:hint="eastAsia"/>
          <w:color w:val="auto"/>
        </w:rPr>
      </w:pPr>
    </w:p>
    <w:p w14:paraId="544F1ADE">
      <w:pPr>
        <w:rPr>
          <w:rFonts w:hint="eastAsia"/>
          <w:color w:val="auto"/>
        </w:rPr>
      </w:pPr>
    </w:p>
    <w:p w14:paraId="46BDDBD6">
      <w:pPr>
        <w:rPr>
          <w:rFonts w:hint="eastAsia"/>
          <w:color w:val="auto"/>
        </w:rPr>
      </w:pPr>
    </w:p>
    <w:p w14:paraId="65EAF95C">
      <w:pPr>
        <w:pStyle w:val="2"/>
        <w:spacing w:before="120" w:after="120" w:line="400" w:lineRule="exact"/>
        <w:jc w:val="center"/>
        <w:rPr>
          <w:rFonts w:hint="eastAsia" w:ascii="黑体" w:hAnsi="黑体" w:eastAsia="黑体"/>
          <w:b w:val="0"/>
          <w:bCs w:val="0"/>
          <w:color w:val="auto"/>
          <w:sz w:val="32"/>
          <w:lang w:val="en-US" w:eastAsia="zh-CN"/>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3" w:name="_Toc152264280"/>
      <w:bookmarkStart w:id="4" w:name="_Toc30484"/>
      <w:r>
        <w:rPr>
          <w:rFonts w:hint="eastAsia" w:ascii="黑体" w:hAnsi="黑体" w:eastAsia="黑体"/>
          <w:b w:val="0"/>
          <w:bCs w:val="0"/>
          <w:color w:val="auto"/>
          <w:sz w:val="32"/>
        </w:rPr>
        <w:t xml:space="preserve">第一章  </w:t>
      </w:r>
      <w:bookmarkEnd w:id="3"/>
      <w:r>
        <w:rPr>
          <w:rFonts w:hint="eastAsia" w:ascii="黑体" w:hAnsi="黑体" w:eastAsia="黑体"/>
          <w:b w:val="0"/>
          <w:bCs w:val="0"/>
          <w:color w:val="auto"/>
          <w:sz w:val="32"/>
        </w:rPr>
        <w:t>招标公告</w:t>
      </w:r>
      <w:bookmarkEnd w:id="4"/>
    </w:p>
    <w:tbl>
      <w:tblPr>
        <w:tblStyle w:val="18"/>
        <w:tblW w:w="5443" w:type="pct"/>
        <w:jc w:val="center"/>
        <w:tblCellSpacing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9140"/>
      </w:tblGrid>
      <w:tr w14:paraId="69B78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jc w:val="center"/>
        </w:trPr>
        <w:tc>
          <w:tcPr>
            <w:tcW w:w="0" w:type="auto"/>
            <w:noWrap w:val="0"/>
            <w:tcMar>
              <w:top w:w="15" w:type="dxa"/>
              <w:left w:w="15" w:type="dxa"/>
              <w:bottom w:w="15" w:type="dxa"/>
              <w:right w:w="15" w:type="dxa"/>
            </w:tcMar>
            <w:vAlign w:val="center"/>
          </w:tcPr>
          <w:p w14:paraId="695BE52A">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ascii="宋体" w:hAnsi="宋体" w:cs="宋体"/>
                <w:b w:val="0"/>
                <w:bCs w:val="0"/>
                <w:i w:val="0"/>
                <w:iCs w:val="0"/>
                <w:smallCaps w:val="0"/>
                <w:color w:val="auto"/>
                <w:kern w:val="0"/>
                <w:sz w:val="21"/>
                <w:szCs w:val="21"/>
                <w:highlight w:val="none"/>
              </w:rPr>
            </w:pPr>
            <w:r>
              <w:rPr>
                <w:rStyle w:val="20"/>
                <w:rFonts w:ascii="宋体" w:hAnsi="宋体" w:cs="宋体"/>
                <w:b/>
                <w:bCs/>
                <w:i w:val="0"/>
                <w:iCs w:val="0"/>
                <w:smallCaps w:val="0"/>
                <w:color w:val="auto"/>
                <w:kern w:val="0"/>
                <w:sz w:val="21"/>
                <w:szCs w:val="21"/>
                <w:highlight w:val="none"/>
              </w:rPr>
              <w:t>一、招标条件</w:t>
            </w:r>
          </w:p>
        </w:tc>
      </w:tr>
      <w:tr w14:paraId="41D9C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jc w:val="center"/>
        </w:trPr>
        <w:tc>
          <w:tcPr>
            <w:tcW w:w="0" w:type="auto"/>
            <w:noWrap w:val="0"/>
            <w:tcMar>
              <w:top w:w="15" w:type="dxa"/>
              <w:left w:w="15" w:type="dxa"/>
              <w:bottom w:w="15" w:type="dxa"/>
              <w:right w:w="15" w:type="dxa"/>
            </w:tcMar>
            <w:vAlign w:val="center"/>
          </w:tcPr>
          <w:p w14:paraId="352255B2">
            <w:pPr>
              <w:keepNext w:val="0"/>
              <w:keepLines w:val="0"/>
              <w:pageBreakBefore w:val="0"/>
              <w:widowControl/>
              <w:shd w:val="clear"/>
              <w:kinsoku/>
              <w:wordWrap/>
              <w:overflowPunct/>
              <w:topLinePunct w:val="0"/>
              <w:autoSpaceDE/>
              <w:autoSpaceDN/>
              <w:bidi w:val="0"/>
              <w:adjustRightInd w:val="0"/>
              <w:snapToGrid w:val="0"/>
              <w:spacing w:line="360" w:lineRule="auto"/>
              <w:ind w:firstLine="422" w:firstLineChars="200"/>
              <w:jc w:val="left"/>
              <w:textAlignment w:val="auto"/>
              <w:rPr>
                <w:rStyle w:val="20"/>
                <w:rFonts w:ascii="宋体" w:hAnsi="宋体" w:cs="宋体"/>
                <w:b w:val="0"/>
                <w:bCs w:val="0"/>
                <w:i w:val="0"/>
                <w:iCs w:val="0"/>
                <w:smallCaps w:val="0"/>
                <w:color w:val="auto"/>
                <w:kern w:val="0"/>
                <w:sz w:val="21"/>
                <w:szCs w:val="21"/>
                <w:highlight w:val="none"/>
              </w:rPr>
            </w:pPr>
            <w:r>
              <w:rPr>
                <w:rStyle w:val="20"/>
                <w:rFonts w:hint="eastAsia" w:ascii="宋体" w:hAnsi="宋体" w:cs="宋体"/>
                <w:b/>
                <w:bCs/>
                <w:i w:val="0"/>
                <w:iCs w:val="0"/>
                <w:smallCaps w:val="0"/>
                <w:color w:val="auto"/>
                <w:kern w:val="0"/>
                <w:sz w:val="21"/>
                <w:szCs w:val="21"/>
                <w:highlight w:val="none"/>
                <w:lang w:eastAsia="zh-CN"/>
              </w:rPr>
              <w:t>国家税务总局盖州市税务局综合业务办公用房维修改造项目</w:t>
            </w:r>
            <w:r>
              <w:rPr>
                <w:rStyle w:val="20"/>
                <w:rFonts w:ascii="宋体" w:hAnsi="宋体" w:cs="宋体"/>
                <w:b w:val="0"/>
                <w:bCs w:val="0"/>
                <w:i w:val="0"/>
                <w:iCs w:val="0"/>
                <w:smallCaps w:val="0"/>
                <w:color w:val="auto"/>
                <w:kern w:val="0"/>
                <w:sz w:val="21"/>
                <w:szCs w:val="21"/>
                <w:highlight w:val="none"/>
              </w:rPr>
              <w:t>已经由</w:t>
            </w:r>
            <w:r>
              <w:rPr>
                <w:rStyle w:val="20"/>
                <w:rFonts w:hint="eastAsia" w:ascii="宋体" w:hAnsi="宋体" w:cs="宋体"/>
                <w:b/>
                <w:bCs/>
                <w:i w:val="0"/>
                <w:iCs w:val="0"/>
                <w:smallCaps w:val="0"/>
                <w:color w:val="auto"/>
                <w:kern w:val="0"/>
                <w:sz w:val="21"/>
                <w:szCs w:val="21"/>
                <w:highlight w:val="none"/>
                <w:lang w:eastAsia="zh-CN"/>
              </w:rPr>
              <w:t>国家税务总局</w:t>
            </w:r>
            <w:r>
              <w:rPr>
                <w:rStyle w:val="20"/>
                <w:rFonts w:hint="eastAsia" w:ascii="宋体" w:hAnsi="宋体" w:cs="宋体"/>
                <w:b/>
                <w:bCs/>
                <w:i w:val="0"/>
                <w:iCs w:val="0"/>
                <w:smallCaps w:val="0"/>
                <w:color w:val="auto"/>
                <w:kern w:val="0"/>
                <w:sz w:val="21"/>
                <w:szCs w:val="21"/>
                <w:highlight w:val="none"/>
                <w:lang w:val="en-US" w:eastAsia="zh-CN"/>
              </w:rPr>
              <w:t>辽宁省税务</w:t>
            </w:r>
            <w:r>
              <w:rPr>
                <w:rStyle w:val="20"/>
                <w:rFonts w:hint="eastAsia" w:ascii="宋体" w:hAnsi="宋体" w:cs="宋体"/>
                <w:b/>
                <w:bCs/>
                <w:i w:val="0"/>
                <w:iCs w:val="0"/>
                <w:smallCaps w:val="0"/>
                <w:color w:val="auto"/>
                <w:kern w:val="0"/>
                <w:sz w:val="21"/>
                <w:szCs w:val="21"/>
                <w:highlight w:val="none"/>
                <w:lang w:eastAsia="zh-CN"/>
              </w:rPr>
              <w:t>局</w:t>
            </w:r>
            <w:r>
              <w:rPr>
                <w:rStyle w:val="20"/>
                <w:rFonts w:ascii="宋体" w:hAnsi="宋体" w:cs="宋体"/>
                <w:b w:val="0"/>
                <w:bCs w:val="0"/>
                <w:i w:val="0"/>
                <w:iCs w:val="0"/>
                <w:smallCaps w:val="0"/>
                <w:color w:val="auto"/>
                <w:kern w:val="0"/>
                <w:sz w:val="21"/>
                <w:szCs w:val="21"/>
                <w:highlight w:val="none"/>
              </w:rPr>
              <w:t>备案。以</w:t>
            </w:r>
            <w:r>
              <w:rPr>
                <w:rStyle w:val="20"/>
                <w:rFonts w:hint="eastAsia" w:ascii="宋体" w:hAnsi="宋体" w:cs="宋体"/>
                <w:b/>
                <w:bCs/>
                <w:i w:val="0"/>
                <w:iCs w:val="0"/>
                <w:smallCaps w:val="0"/>
                <w:color w:val="auto"/>
                <w:kern w:val="0"/>
                <w:sz w:val="21"/>
                <w:szCs w:val="21"/>
                <w:highlight w:val="none"/>
              </w:rPr>
              <w:t>国家税务总局辽宁省税务局关于国家税务总局盖州市税务局综合业务办公用房维修改造项目初步设计和投资概算的批复</w:t>
            </w:r>
            <w:r>
              <w:rPr>
                <w:rStyle w:val="20"/>
                <w:rFonts w:hint="eastAsia" w:ascii="宋体" w:hAnsi="宋体" w:cs="宋体"/>
                <w:b/>
                <w:bCs/>
                <w:i w:val="0"/>
                <w:iCs w:val="0"/>
                <w:smallCaps w:val="0"/>
                <w:color w:val="auto"/>
                <w:kern w:val="0"/>
                <w:sz w:val="21"/>
                <w:szCs w:val="21"/>
                <w:highlight w:val="none"/>
                <w:lang w:eastAsia="zh-CN"/>
              </w:rPr>
              <w:t>（</w:t>
            </w:r>
            <w:r>
              <w:rPr>
                <w:rStyle w:val="20"/>
                <w:rFonts w:hint="eastAsia" w:ascii="宋体" w:hAnsi="宋体" w:cs="宋体"/>
                <w:b/>
                <w:bCs/>
                <w:i w:val="0"/>
                <w:iCs w:val="0"/>
                <w:smallCaps w:val="0"/>
                <w:color w:val="auto"/>
                <w:kern w:val="0"/>
                <w:sz w:val="21"/>
                <w:szCs w:val="21"/>
                <w:highlight w:val="none"/>
              </w:rPr>
              <w:t>辽税函〔2026〕194号</w:t>
            </w:r>
            <w:r>
              <w:rPr>
                <w:rStyle w:val="20"/>
                <w:rFonts w:hint="eastAsia" w:ascii="宋体" w:hAnsi="宋体" w:cs="宋体"/>
                <w:b/>
                <w:bCs/>
                <w:i w:val="0"/>
                <w:iCs w:val="0"/>
                <w:smallCaps w:val="0"/>
                <w:color w:val="auto"/>
                <w:kern w:val="0"/>
                <w:sz w:val="21"/>
                <w:szCs w:val="21"/>
                <w:highlight w:val="none"/>
                <w:lang w:eastAsia="zh-CN"/>
              </w:rPr>
              <w:t>）</w:t>
            </w:r>
            <w:r>
              <w:rPr>
                <w:rStyle w:val="20"/>
                <w:rFonts w:hint="eastAsia" w:ascii="宋体" w:hAnsi="宋体" w:cs="宋体"/>
                <w:b/>
                <w:bCs/>
                <w:i w:val="0"/>
                <w:iCs w:val="0"/>
                <w:smallCaps w:val="0"/>
                <w:color w:val="auto"/>
                <w:kern w:val="0"/>
                <w:sz w:val="21"/>
                <w:szCs w:val="21"/>
                <w:highlight w:val="none"/>
                <w:lang w:val="en-US" w:eastAsia="zh-CN"/>
              </w:rPr>
              <w:t>和国家税务总局营口市税务局关于国家税务总局盖州市税务局综合业务办公用房维修改造项目初步设计和投资概算的批复（营税函〔2026〕19号）</w:t>
            </w:r>
            <w:r>
              <w:rPr>
                <w:rStyle w:val="20"/>
                <w:rFonts w:ascii="宋体" w:hAnsi="宋体" w:cs="宋体"/>
                <w:b/>
                <w:bCs/>
                <w:i w:val="0"/>
                <w:iCs w:val="0"/>
                <w:smallCaps w:val="0"/>
                <w:color w:val="auto"/>
                <w:kern w:val="0"/>
                <w:sz w:val="21"/>
                <w:szCs w:val="21"/>
                <w:highlight w:val="none"/>
              </w:rPr>
              <w:t>批准建设</w:t>
            </w:r>
            <w:r>
              <w:rPr>
                <w:rStyle w:val="20"/>
                <w:rFonts w:ascii="宋体" w:hAnsi="宋体" w:cs="宋体"/>
                <w:b w:val="0"/>
                <w:bCs w:val="0"/>
                <w:i w:val="0"/>
                <w:iCs w:val="0"/>
                <w:smallCaps w:val="0"/>
                <w:color w:val="auto"/>
                <w:kern w:val="0"/>
                <w:sz w:val="21"/>
                <w:szCs w:val="21"/>
                <w:highlight w:val="none"/>
              </w:rPr>
              <w:t>，招标人为</w:t>
            </w:r>
            <w:r>
              <w:rPr>
                <w:rStyle w:val="20"/>
                <w:rFonts w:hint="eastAsia" w:ascii="宋体" w:hAnsi="宋体" w:cs="宋体"/>
                <w:b/>
                <w:bCs/>
                <w:i w:val="0"/>
                <w:iCs w:val="0"/>
                <w:smallCaps w:val="0"/>
                <w:color w:val="auto"/>
                <w:kern w:val="0"/>
                <w:sz w:val="21"/>
                <w:szCs w:val="21"/>
                <w:highlight w:val="none"/>
                <w:lang w:eastAsia="zh-CN"/>
              </w:rPr>
              <w:t>国家税务总局盖州市税务局，</w:t>
            </w:r>
            <w:r>
              <w:rPr>
                <w:rStyle w:val="20"/>
                <w:rFonts w:ascii="宋体" w:hAnsi="宋体" w:cs="宋体"/>
                <w:b w:val="0"/>
                <w:bCs w:val="0"/>
                <w:i w:val="0"/>
                <w:iCs w:val="0"/>
                <w:smallCaps w:val="0"/>
                <w:color w:val="auto"/>
                <w:kern w:val="0"/>
                <w:sz w:val="21"/>
                <w:szCs w:val="21"/>
                <w:highlight w:val="none"/>
              </w:rPr>
              <w:t>工程所需资金来源为</w:t>
            </w:r>
            <w:r>
              <w:rPr>
                <w:rStyle w:val="20"/>
                <w:rFonts w:hint="eastAsia" w:ascii="宋体" w:hAnsi="宋体" w:cs="宋体"/>
                <w:b/>
                <w:bCs/>
                <w:i w:val="0"/>
                <w:iCs w:val="0"/>
                <w:smallCaps w:val="0"/>
                <w:color w:val="auto"/>
                <w:kern w:val="0"/>
                <w:sz w:val="21"/>
                <w:szCs w:val="21"/>
                <w:highlight w:val="none"/>
                <w:lang w:val="en-US" w:eastAsia="zh-CN"/>
              </w:rPr>
              <w:t>中央预算内资金</w:t>
            </w:r>
            <w:r>
              <w:rPr>
                <w:rStyle w:val="20"/>
                <w:rFonts w:ascii="宋体" w:hAnsi="宋体" w:cs="宋体"/>
                <w:b w:val="0"/>
                <w:bCs w:val="0"/>
                <w:i w:val="0"/>
                <w:iCs w:val="0"/>
                <w:smallCaps w:val="0"/>
                <w:color w:val="auto"/>
                <w:kern w:val="0"/>
                <w:sz w:val="21"/>
                <w:szCs w:val="21"/>
                <w:highlight w:val="none"/>
              </w:rPr>
              <w:t>。</w:t>
            </w:r>
            <w:r>
              <w:rPr>
                <w:rStyle w:val="20"/>
                <w:rFonts w:ascii="宋体" w:hAnsi="宋体" w:cs="宋体"/>
                <w:b/>
                <w:bCs/>
                <w:i w:val="0"/>
                <w:iCs w:val="0"/>
                <w:smallCaps w:val="0"/>
                <w:color w:val="auto"/>
                <w:kern w:val="0"/>
                <w:sz w:val="21"/>
                <w:szCs w:val="21"/>
                <w:highlight w:val="none"/>
              </w:rPr>
              <w:t>项目出资比例100%</w:t>
            </w:r>
            <w:r>
              <w:rPr>
                <w:rStyle w:val="20"/>
                <w:rFonts w:ascii="宋体" w:hAnsi="宋体" w:cs="宋体"/>
                <w:b w:val="0"/>
                <w:bCs w:val="0"/>
                <w:i w:val="0"/>
                <w:iCs w:val="0"/>
                <w:smallCaps w:val="0"/>
                <w:color w:val="auto"/>
                <w:kern w:val="0"/>
                <w:sz w:val="21"/>
                <w:szCs w:val="21"/>
                <w:highlight w:val="none"/>
              </w:rPr>
              <w:t>，项目已具备招标条件，现对该项目的</w:t>
            </w:r>
            <w:r>
              <w:rPr>
                <w:rStyle w:val="20"/>
                <w:rFonts w:hint="eastAsia" w:ascii="宋体" w:hAnsi="宋体" w:cs="宋体"/>
                <w:b/>
                <w:bCs/>
                <w:i w:val="0"/>
                <w:iCs w:val="0"/>
                <w:smallCaps w:val="0"/>
                <w:color w:val="auto"/>
                <w:kern w:val="0"/>
                <w:sz w:val="21"/>
                <w:szCs w:val="21"/>
                <w:highlight w:val="none"/>
                <w:lang w:eastAsia="zh-CN"/>
              </w:rPr>
              <w:t>国家税务总局盖州市税务局综合业务办公用房维修改造项目</w:t>
            </w:r>
            <w:r>
              <w:rPr>
                <w:rStyle w:val="20"/>
                <w:rFonts w:ascii="宋体" w:hAnsi="宋体" w:cs="宋体"/>
                <w:b w:val="0"/>
                <w:bCs w:val="0"/>
                <w:i w:val="0"/>
                <w:iCs w:val="0"/>
                <w:smallCaps w:val="0"/>
                <w:color w:val="auto"/>
                <w:kern w:val="0"/>
                <w:sz w:val="21"/>
                <w:szCs w:val="21"/>
                <w:highlight w:val="none"/>
              </w:rPr>
              <w:t>进行公开招标。本次招标对投标报名人的资格审查，采用</w:t>
            </w:r>
            <w:r>
              <w:rPr>
                <w:rStyle w:val="20"/>
                <w:rFonts w:ascii="宋体" w:hAnsi="宋体" w:cs="宋体"/>
                <w:b/>
                <w:bCs/>
                <w:i w:val="0"/>
                <w:iCs w:val="0"/>
                <w:smallCaps w:val="0"/>
                <w:color w:val="auto"/>
                <w:kern w:val="0"/>
                <w:sz w:val="21"/>
                <w:szCs w:val="21"/>
                <w:highlight w:val="none"/>
              </w:rPr>
              <w:t>资格后审</w:t>
            </w:r>
            <w:r>
              <w:rPr>
                <w:rStyle w:val="20"/>
                <w:rFonts w:ascii="宋体" w:hAnsi="宋体" w:cs="宋体"/>
                <w:b w:val="0"/>
                <w:bCs w:val="0"/>
                <w:i w:val="0"/>
                <w:iCs w:val="0"/>
                <w:smallCaps w:val="0"/>
                <w:color w:val="auto"/>
                <w:kern w:val="0"/>
                <w:sz w:val="21"/>
                <w:szCs w:val="21"/>
                <w:highlight w:val="none"/>
              </w:rPr>
              <w:t>方法选择合适的投标申请人参加投标。</w:t>
            </w:r>
          </w:p>
        </w:tc>
      </w:tr>
      <w:tr w14:paraId="6834B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jc w:val="center"/>
        </w:trPr>
        <w:tc>
          <w:tcPr>
            <w:tcW w:w="0" w:type="auto"/>
            <w:noWrap w:val="0"/>
            <w:tcMar>
              <w:top w:w="15" w:type="dxa"/>
              <w:left w:w="15" w:type="dxa"/>
              <w:bottom w:w="15" w:type="dxa"/>
              <w:right w:w="15" w:type="dxa"/>
            </w:tcMar>
            <w:vAlign w:val="center"/>
          </w:tcPr>
          <w:p w14:paraId="24BF22A0">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ascii="宋体" w:hAnsi="宋体" w:cs="宋体"/>
                <w:b w:val="0"/>
                <w:bCs w:val="0"/>
                <w:i w:val="0"/>
                <w:iCs w:val="0"/>
                <w:smallCaps w:val="0"/>
                <w:color w:val="auto"/>
                <w:kern w:val="0"/>
                <w:sz w:val="21"/>
                <w:szCs w:val="21"/>
                <w:highlight w:val="none"/>
              </w:rPr>
            </w:pPr>
            <w:r>
              <w:rPr>
                <w:rStyle w:val="20"/>
                <w:rFonts w:ascii="宋体" w:hAnsi="宋体" w:cs="宋体"/>
                <w:b/>
                <w:bCs/>
                <w:i w:val="0"/>
                <w:iCs w:val="0"/>
                <w:smallCaps w:val="0"/>
                <w:color w:val="auto"/>
                <w:kern w:val="0"/>
                <w:sz w:val="21"/>
                <w:szCs w:val="21"/>
                <w:highlight w:val="none"/>
              </w:rPr>
              <w:t>二、项目概况与招标范围</w:t>
            </w:r>
          </w:p>
        </w:tc>
      </w:tr>
      <w:tr w14:paraId="6B373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jc w:val="center"/>
        </w:trPr>
        <w:tc>
          <w:tcPr>
            <w:tcW w:w="0" w:type="auto"/>
            <w:noWrap w:val="0"/>
            <w:tcMar>
              <w:top w:w="15" w:type="dxa"/>
              <w:left w:w="15" w:type="dxa"/>
              <w:bottom w:w="15" w:type="dxa"/>
              <w:right w:w="15" w:type="dxa"/>
            </w:tcMar>
            <w:vAlign w:val="center"/>
          </w:tcPr>
          <w:p w14:paraId="684D0AB2">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ascii="宋体" w:hAnsi="宋体" w:cs="宋体"/>
                <w:b w:val="0"/>
                <w:bCs w:val="0"/>
                <w:i w:val="0"/>
                <w:iCs w:val="0"/>
                <w:smallCaps w:val="0"/>
                <w:color w:val="auto"/>
                <w:kern w:val="0"/>
                <w:sz w:val="21"/>
                <w:szCs w:val="21"/>
                <w:highlight w:val="none"/>
              </w:rPr>
            </w:pPr>
            <w:r>
              <w:rPr>
                <w:rStyle w:val="20"/>
                <w:rFonts w:ascii="宋体" w:hAnsi="宋体" w:cs="宋体"/>
                <w:b w:val="0"/>
                <w:bCs w:val="0"/>
                <w:i w:val="0"/>
                <w:iCs w:val="0"/>
                <w:smallCaps w:val="0"/>
                <w:color w:val="auto"/>
                <w:kern w:val="0"/>
                <w:sz w:val="21"/>
                <w:szCs w:val="21"/>
                <w:highlight w:val="none"/>
              </w:rPr>
              <w:t>1.本次招标项目的建设地点：</w:t>
            </w:r>
            <w:r>
              <w:rPr>
                <w:rStyle w:val="20"/>
                <w:rFonts w:hint="eastAsia" w:ascii="宋体" w:hAnsi="宋体" w:cs="宋体"/>
                <w:b/>
                <w:bCs/>
                <w:i w:val="0"/>
                <w:iCs w:val="0"/>
                <w:smallCaps w:val="0"/>
                <w:color w:val="auto"/>
                <w:kern w:val="0"/>
                <w:sz w:val="21"/>
                <w:szCs w:val="21"/>
                <w:highlight w:val="none"/>
                <w:lang w:eastAsia="zh-CN"/>
              </w:rPr>
              <w:t>辽宁省盖州市市府大街6号</w:t>
            </w:r>
            <w:r>
              <w:rPr>
                <w:rStyle w:val="20"/>
                <w:rFonts w:ascii="宋体" w:hAnsi="宋体" w:cs="宋体"/>
                <w:b w:val="0"/>
                <w:bCs w:val="0"/>
                <w:i w:val="0"/>
                <w:iCs w:val="0"/>
                <w:smallCaps w:val="0"/>
                <w:color w:val="auto"/>
                <w:kern w:val="0"/>
                <w:sz w:val="21"/>
                <w:szCs w:val="21"/>
                <w:highlight w:val="none"/>
              </w:rPr>
              <w:t xml:space="preserve"> </w:t>
            </w:r>
            <w:r>
              <w:rPr>
                <w:rStyle w:val="20"/>
                <w:rFonts w:ascii="宋体" w:hAnsi="宋体" w:cs="宋体"/>
                <w:b w:val="0"/>
                <w:bCs w:val="0"/>
                <w:i w:val="0"/>
                <w:iCs w:val="0"/>
                <w:smallCaps w:val="0"/>
                <w:color w:val="auto"/>
                <w:kern w:val="0"/>
                <w:sz w:val="21"/>
                <w:szCs w:val="21"/>
                <w:highlight w:val="none"/>
              </w:rPr>
              <w:br w:type="textWrapping"/>
            </w:r>
            <w:r>
              <w:rPr>
                <w:rStyle w:val="20"/>
                <w:rFonts w:ascii="宋体" w:hAnsi="宋体" w:cs="宋体"/>
                <w:b w:val="0"/>
                <w:bCs w:val="0"/>
                <w:i w:val="0"/>
                <w:iCs w:val="0"/>
                <w:smallCaps w:val="0"/>
                <w:color w:val="auto"/>
                <w:kern w:val="0"/>
                <w:sz w:val="21"/>
                <w:szCs w:val="21"/>
                <w:highlight w:val="none"/>
              </w:rPr>
              <w:t>2.工程规模：</w:t>
            </w:r>
            <w:r>
              <w:rPr>
                <w:rStyle w:val="20"/>
                <w:rFonts w:hint="eastAsia" w:ascii="宋体" w:hAnsi="宋体" w:eastAsia="宋体" w:cs="宋体"/>
                <w:b/>
                <w:bCs/>
                <w:i w:val="0"/>
                <w:iCs w:val="0"/>
                <w:smallCaps w:val="0"/>
                <w:color w:val="auto"/>
                <w:kern w:val="0"/>
                <w:sz w:val="21"/>
                <w:szCs w:val="21"/>
                <w:highlight w:val="none"/>
                <w:u w:val="single"/>
                <w:lang w:eastAsia="zh-CN"/>
              </w:rPr>
              <w:t>项目维修改造内容包括</w:t>
            </w:r>
            <w:r>
              <w:rPr>
                <w:rStyle w:val="20"/>
                <w:rFonts w:hint="eastAsia" w:ascii="宋体" w:hAnsi="宋体" w:cs="宋体"/>
                <w:b/>
                <w:bCs/>
                <w:i w:val="0"/>
                <w:iCs w:val="0"/>
                <w:smallCaps w:val="0"/>
                <w:color w:val="auto"/>
                <w:kern w:val="0"/>
                <w:sz w:val="21"/>
                <w:szCs w:val="21"/>
                <w:highlight w:val="none"/>
                <w:u w:val="single"/>
                <w:lang w:eastAsia="zh-CN"/>
              </w:rPr>
              <w:t>：</w:t>
            </w:r>
            <w:r>
              <w:rPr>
                <w:rStyle w:val="20"/>
                <w:rFonts w:hint="eastAsia" w:ascii="宋体" w:hAnsi="宋体" w:eastAsia="宋体" w:cs="宋体"/>
                <w:b/>
                <w:bCs/>
                <w:i w:val="0"/>
                <w:iCs w:val="0"/>
                <w:smallCaps w:val="0"/>
                <w:color w:val="auto"/>
                <w:kern w:val="0"/>
                <w:sz w:val="21"/>
                <w:szCs w:val="21"/>
                <w:highlight w:val="none"/>
                <w:u w:val="single"/>
                <w:lang w:eastAsia="zh-CN"/>
              </w:rPr>
              <w:t>承重系统、围护系统、建筑装修系统、给排水系统、采暖系统、通风与空调系统、电气系统、建筑消防系统、建筑智能化系统。</w:t>
            </w:r>
            <w:r>
              <w:rPr>
                <w:rStyle w:val="20"/>
                <w:rFonts w:hint="eastAsia" w:ascii="宋体" w:hAnsi="宋体" w:eastAsia="宋体" w:cs="宋体"/>
                <w:b/>
                <w:bCs/>
                <w:i w:val="0"/>
                <w:iCs w:val="0"/>
                <w:smallCaps w:val="0"/>
                <w:color w:val="auto"/>
                <w:kern w:val="0"/>
                <w:sz w:val="21"/>
                <w:szCs w:val="21"/>
                <w:highlight w:val="none"/>
                <w:u w:val="single"/>
              </w:rPr>
              <w:br w:type="textWrapping"/>
            </w:r>
            <w:r>
              <w:rPr>
                <w:rStyle w:val="20"/>
                <w:rFonts w:ascii="宋体" w:hAnsi="宋体" w:cs="宋体"/>
                <w:b w:val="0"/>
                <w:bCs w:val="0"/>
                <w:i w:val="0"/>
                <w:iCs w:val="0"/>
                <w:smallCaps w:val="0"/>
                <w:color w:val="auto"/>
                <w:kern w:val="0"/>
                <w:sz w:val="21"/>
                <w:szCs w:val="21"/>
                <w:highlight w:val="none"/>
              </w:rPr>
              <w:t>3.本公告共划分为</w:t>
            </w:r>
            <w:r>
              <w:rPr>
                <w:rStyle w:val="20"/>
                <w:rFonts w:ascii="宋体" w:hAnsi="宋体" w:cs="宋体"/>
                <w:b/>
                <w:bCs/>
                <w:i w:val="0"/>
                <w:iCs w:val="0"/>
                <w:smallCaps w:val="0"/>
                <w:color w:val="auto"/>
                <w:kern w:val="0"/>
                <w:sz w:val="21"/>
                <w:szCs w:val="21"/>
                <w:highlight w:val="none"/>
              </w:rPr>
              <w:t>1</w:t>
            </w:r>
            <w:r>
              <w:rPr>
                <w:rStyle w:val="20"/>
                <w:rFonts w:ascii="宋体" w:hAnsi="宋体" w:cs="宋体"/>
                <w:b w:val="0"/>
                <w:bCs w:val="0"/>
                <w:i w:val="0"/>
                <w:iCs w:val="0"/>
                <w:smallCaps w:val="0"/>
                <w:color w:val="auto"/>
                <w:kern w:val="0"/>
                <w:sz w:val="21"/>
                <w:szCs w:val="21"/>
                <w:highlight w:val="none"/>
              </w:rPr>
              <w:t>个标段</w:t>
            </w:r>
          </w:p>
        </w:tc>
      </w:tr>
      <w:tr w14:paraId="01890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jc w:val="center"/>
        </w:trPr>
        <w:tc>
          <w:tcPr>
            <w:tcW w:w="0" w:type="auto"/>
            <w:noWrap w:val="0"/>
            <w:tcMar>
              <w:top w:w="15" w:type="dxa"/>
              <w:left w:w="15" w:type="dxa"/>
              <w:bottom w:w="15" w:type="dxa"/>
              <w:right w:w="15" w:type="dxa"/>
            </w:tcMar>
            <w:vAlign w:val="center"/>
          </w:tcPr>
          <w:tbl>
            <w:tblPr>
              <w:tblStyle w:val="40"/>
              <w:tblW w:w="5000" w:type="pct"/>
              <w:tblCellSpacing w:w="15" w:type="dxa"/>
              <w:tblInd w:w="0" w:type="dxa"/>
              <w:tblBorders>
                <w:top w:val="none" w:color="auto" w:sz="0" w:space="0"/>
                <w:left w:val="none" w:color="auto" w:sz="0" w:space="0"/>
                <w:bottom w:val="single" w:color="auto" w:sz="6" w:space="0"/>
                <w:right w:val="single" w:color="auto" w:sz="6" w:space="0"/>
                <w:insideH w:val="none" w:color="auto" w:sz="0" w:space="0"/>
                <w:insideV w:val="none" w:color="auto" w:sz="0" w:space="0"/>
              </w:tblBorders>
              <w:tblLayout w:type="autofit"/>
              <w:tblCellMar>
                <w:top w:w="15" w:type="dxa"/>
                <w:left w:w="15" w:type="dxa"/>
                <w:bottom w:w="15" w:type="dxa"/>
                <w:right w:w="15" w:type="dxa"/>
              </w:tblCellMar>
            </w:tblPr>
            <w:tblGrid>
              <w:gridCol w:w="466"/>
              <w:gridCol w:w="1660"/>
              <w:gridCol w:w="4400"/>
              <w:gridCol w:w="819"/>
              <w:gridCol w:w="783"/>
              <w:gridCol w:w="914"/>
            </w:tblGrid>
            <w:tr w14:paraId="3F8D07AC">
              <w:tblPrEx>
                <w:tblBorders>
                  <w:top w:val="none" w:color="auto" w:sz="0" w:space="0"/>
                  <w:left w:val="none" w:color="auto" w:sz="0"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tcBorders>
                    <w:top w:val="single" w:color="auto" w:sz="6" w:space="0"/>
                    <w:left w:val="single" w:color="auto" w:sz="6" w:space="0"/>
                  </w:tcBorders>
                  <w:noWrap w:val="0"/>
                  <w:tcMar>
                    <w:top w:w="15" w:type="dxa"/>
                    <w:left w:w="15" w:type="dxa"/>
                    <w:bottom w:w="15" w:type="dxa"/>
                    <w:right w:w="15" w:type="dxa"/>
                  </w:tcMar>
                  <w:vAlign w:val="center"/>
                </w:tcPr>
                <w:p w14:paraId="226BDCCA">
                  <w:pPr>
                    <w:keepNext w:val="0"/>
                    <w:keepLines w:val="0"/>
                    <w:pageBreakBefore w:val="0"/>
                    <w:widowControl/>
                    <w:shd w:val="clear"/>
                    <w:kinsoku/>
                    <w:wordWrap/>
                    <w:overflowPunct/>
                    <w:topLinePunct w:val="0"/>
                    <w:autoSpaceDE/>
                    <w:autoSpaceDN/>
                    <w:bidi w:val="0"/>
                    <w:adjustRightInd w:val="0"/>
                    <w:snapToGrid w:val="0"/>
                    <w:spacing w:line="360" w:lineRule="auto"/>
                    <w:jc w:val="center"/>
                    <w:textAlignment w:val="auto"/>
                    <w:rPr>
                      <w:rStyle w:val="20"/>
                      <w:rFonts w:ascii="宋体" w:hAnsi="宋体" w:cs="宋体"/>
                      <w:b w:val="0"/>
                      <w:bCs w:val="0"/>
                      <w:i w:val="0"/>
                      <w:iCs w:val="0"/>
                      <w:smallCaps w:val="0"/>
                      <w:color w:val="auto"/>
                      <w:kern w:val="0"/>
                      <w:sz w:val="21"/>
                      <w:szCs w:val="21"/>
                      <w:highlight w:val="none"/>
                    </w:rPr>
                  </w:pPr>
                  <w:r>
                    <w:rPr>
                      <w:rStyle w:val="20"/>
                      <w:rFonts w:ascii="宋体" w:hAnsi="宋体" w:cs="宋体"/>
                      <w:b/>
                      <w:bCs/>
                      <w:i w:val="0"/>
                      <w:iCs w:val="0"/>
                      <w:smallCaps w:val="0"/>
                      <w:color w:val="auto"/>
                      <w:kern w:val="0"/>
                      <w:sz w:val="21"/>
                      <w:szCs w:val="21"/>
                      <w:highlight w:val="none"/>
                    </w:rPr>
                    <w:t>标段编号</w:t>
                  </w:r>
                </w:p>
              </w:tc>
              <w:tc>
                <w:tcPr>
                  <w:tcW w:w="0" w:type="auto"/>
                  <w:tcBorders>
                    <w:top w:val="single" w:color="auto" w:sz="6" w:space="0"/>
                    <w:left w:val="single" w:color="auto" w:sz="6" w:space="0"/>
                  </w:tcBorders>
                  <w:noWrap w:val="0"/>
                  <w:tcMar>
                    <w:top w:w="15" w:type="dxa"/>
                    <w:left w:w="15" w:type="dxa"/>
                    <w:bottom w:w="15" w:type="dxa"/>
                    <w:right w:w="15" w:type="dxa"/>
                  </w:tcMar>
                  <w:vAlign w:val="center"/>
                </w:tcPr>
                <w:p w14:paraId="15720840">
                  <w:pPr>
                    <w:keepNext w:val="0"/>
                    <w:keepLines w:val="0"/>
                    <w:pageBreakBefore w:val="0"/>
                    <w:widowControl/>
                    <w:shd w:val="clear"/>
                    <w:kinsoku/>
                    <w:wordWrap/>
                    <w:overflowPunct/>
                    <w:topLinePunct w:val="0"/>
                    <w:autoSpaceDE/>
                    <w:autoSpaceDN/>
                    <w:bidi w:val="0"/>
                    <w:adjustRightInd w:val="0"/>
                    <w:snapToGrid w:val="0"/>
                    <w:spacing w:line="360" w:lineRule="auto"/>
                    <w:jc w:val="center"/>
                    <w:textAlignment w:val="auto"/>
                    <w:rPr>
                      <w:rStyle w:val="20"/>
                      <w:rFonts w:ascii="宋体" w:hAnsi="宋体" w:cs="宋体"/>
                      <w:b w:val="0"/>
                      <w:bCs w:val="0"/>
                      <w:i w:val="0"/>
                      <w:iCs w:val="0"/>
                      <w:smallCaps w:val="0"/>
                      <w:color w:val="auto"/>
                      <w:kern w:val="0"/>
                      <w:sz w:val="21"/>
                      <w:szCs w:val="21"/>
                      <w:highlight w:val="none"/>
                    </w:rPr>
                  </w:pPr>
                  <w:r>
                    <w:rPr>
                      <w:rStyle w:val="20"/>
                      <w:rFonts w:ascii="宋体" w:hAnsi="宋体" w:cs="宋体"/>
                      <w:b/>
                      <w:bCs/>
                      <w:i w:val="0"/>
                      <w:iCs w:val="0"/>
                      <w:smallCaps w:val="0"/>
                      <w:color w:val="auto"/>
                      <w:kern w:val="0"/>
                      <w:sz w:val="21"/>
                      <w:szCs w:val="21"/>
                      <w:highlight w:val="none"/>
                    </w:rPr>
                    <w:t>标段名称</w:t>
                  </w:r>
                </w:p>
              </w:tc>
              <w:tc>
                <w:tcPr>
                  <w:tcW w:w="0" w:type="auto"/>
                  <w:tcBorders>
                    <w:top w:val="single" w:color="auto" w:sz="6" w:space="0"/>
                    <w:left w:val="single" w:color="auto" w:sz="6" w:space="0"/>
                  </w:tcBorders>
                  <w:noWrap w:val="0"/>
                  <w:tcMar>
                    <w:top w:w="15" w:type="dxa"/>
                    <w:left w:w="15" w:type="dxa"/>
                    <w:bottom w:w="15" w:type="dxa"/>
                    <w:right w:w="15" w:type="dxa"/>
                  </w:tcMar>
                  <w:vAlign w:val="center"/>
                </w:tcPr>
                <w:p w14:paraId="7648EF45">
                  <w:pPr>
                    <w:keepNext w:val="0"/>
                    <w:keepLines w:val="0"/>
                    <w:pageBreakBefore w:val="0"/>
                    <w:widowControl/>
                    <w:shd w:val="clear"/>
                    <w:kinsoku/>
                    <w:wordWrap/>
                    <w:overflowPunct/>
                    <w:topLinePunct w:val="0"/>
                    <w:autoSpaceDE/>
                    <w:autoSpaceDN/>
                    <w:bidi w:val="0"/>
                    <w:adjustRightInd w:val="0"/>
                    <w:snapToGrid w:val="0"/>
                    <w:spacing w:line="360" w:lineRule="auto"/>
                    <w:jc w:val="center"/>
                    <w:textAlignment w:val="auto"/>
                    <w:rPr>
                      <w:rStyle w:val="20"/>
                      <w:rFonts w:ascii="宋体" w:hAnsi="宋体" w:cs="宋体"/>
                      <w:b w:val="0"/>
                      <w:bCs w:val="0"/>
                      <w:i w:val="0"/>
                      <w:iCs w:val="0"/>
                      <w:smallCaps w:val="0"/>
                      <w:color w:val="auto"/>
                      <w:kern w:val="0"/>
                      <w:sz w:val="21"/>
                      <w:szCs w:val="21"/>
                      <w:highlight w:val="none"/>
                    </w:rPr>
                  </w:pPr>
                  <w:r>
                    <w:rPr>
                      <w:rStyle w:val="20"/>
                      <w:rFonts w:ascii="宋体" w:hAnsi="宋体" w:cs="宋体"/>
                      <w:b/>
                      <w:bCs/>
                      <w:i w:val="0"/>
                      <w:iCs w:val="0"/>
                      <w:smallCaps w:val="0"/>
                      <w:color w:val="auto"/>
                      <w:kern w:val="0"/>
                      <w:sz w:val="21"/>
                      <w:szCs w:val="21"/>
                      <w:highlight w:val="none"/>
                    </w:rPr>
                    <w:t>招标范围</w:t>
                  </w:r>
                </w:p>
              </w:tc>
              <w:tc>
                <w:tcPr>
                  <w:tcW w:w="0" w:type="auto"/>
                  <w:tcBorders>
                    <w:top w:val="single" w:color="auto" w:sz="6" w:space="0"/>
                    <w:left w:val="single" w:color="auto" w:sz="6" w:space="0"/>
                  </w:tcBorders>
                  <w:noWrap w:val="0"/>
                  <w:tcMar>
                    <w:top w:w="15" w:type="dxa"/>
                    <w:left w:w="15" w:type="dxa"/>
                    <w:bottom w:w="15" w:type="dxa"/>
                    <w:right w:w="15" w:type="dxa"/>
                  </w:tcMar>
                  <w:vAlign w:val="center"/>
                </w:tcPr>
                <w:p w14:paraId="36B39DCD">
                  <w:pPr>
                    <w:keepNext w:val="0"/>
                    <w:keepLines w:val="0"/>
                    <w:pageBreakBefore w:val="0"/>
                    <w:widowControl/>
                    <w:shd w:val="clear"/>
                    <w:kinsoku/>
                    <w:wordWrap/>
                    <w:overflowPunct/>
                    <w:topLinePunct w:val="0"/>
                    <w:autoSpaceDE/>
                    <w:autoSpaceDN/>
                    <w:bidi w:val="0"/>
                    <w:adjustRightInd w:val="0"/>
                    <w:snapToGrid w:val="0"/>
                    <w:spacing w:line="360" w:lineRule="auto"/>
                    <w:jc w:val="center"/>
                    <w:textAlignment w:val="auto"/>
                    <w:rPr>
                      <w:rStyle w:val="20"/>
                      <w:rFonts w:ascii="宋体" w:hAnsi="宋体" w:cs="宋体"/>
                      <w:b w:val="0"/>
                      <w:bCs w:val="0"/>
                      <w:i w:val="0"/>
                      <w:iCs w:val="0"/>
                      <w:smallCaps w:val="0"/>
                      <w:color w:val="auto"/>
                      <w:kern w:val="0"/>
                      <w:sz w:val="21"/>
                      <w:szCs w:val="21"/>
                      <w:highlight w:val="none"/>
                    </w:rPr>
                  </w:pPr>
                  <w:r>
                    <w:rPr>
                      <w:rStyle w:val="20"/>
                      <w:rFonts w:ascii="宋体" w:hAnsi="宋体" w:cs="宋体"/>
                      <w:b/>
                      <w:bCs/>
                      <w:i w:val="0"/>
                      <w:iCs w:val="0"/>
                      <w:smallCaps w:val="0"/>
                      <w:color w:val="auto"/>
                      <w:kern w:val="0"/>
                      <w:sz w:val="21"/>
                      <w:szCs w:val="21"/>
                      <w:highlight w:val="none"/>
                    </w:rPr>
                    <w:t>工期（天）</w:t>
                  </w:r>
                </w:p>
              </w:tc>
              <w:tc>
                <w:tcPr>
                  <w:tcW w:w="0" w:type="auto"/>
                  <w:tcBorders>
                    <w:top w:val="single" w:color="auto" w:sz="6" w:space="0"/>
                    <w:left w:val="single" w:color="auto" w:sz="6" w:space="0"/>
                  </w:tcBorders>
                  <w:noWrap w:val="0"/>
                  <w:tcMar>
                    <w:top w:w="15" w:type="dxa"/>
                    <w:left w:w="15" w:type="dxa"/>
                    <w:bottom w:w="15" w:type="dxa"/>
                    <w:right w:w="15" w:type="dxa"/>
                  </w:tcMar>
                  <w:vAlign w:val="center"/>
                </w:tcPr>
                <w:p w14:paraId="2E831587">
                  <w:pPr>
                    <w:keepNext w:val="0"/>
                    <w:keepLines w:val="0"/>
                    <w:pageBreakBefore w:val="0"/>
                    <w:widowControl/>
                    <w:shd w:val="clear"/>
                    <w:kinsoku/>
                    <w:wordWrap/>
                    <w:overflowPunct/>
                    <w:topLinePunct w:val="0"/>
                    <w:autoSpaceDE/>
                    <w:autoSpaceDN/>
                    <w:bidi w:val="0"/>
                    <w:adjustRightInd w:val="0"/>
                    <w:snapToGrid w:val="0"/>
                    <w:spacing w:line="360" w:lineRule="auto"/>
                    <w:jc w:val="center"/>
                    <w:textAlignment w:val="auto"/>
                    <w:rPr>
                      <w:rStyle w:val="20"/>
                      <w:rFonts w:ascii="宋体" w:hAnsi="宋体" w:cs="宋体"/>
                      <w:b w:val="0"/>
                      <w:bCs w:val="0"/>
                      <w:i w:val="0"/>
                      <w:iCs w:val="0"/>
                      <w:smallCaps w:val="0"/>
                      <w:color w:val="auto"/>
                      <w:kern w:val="0"/>
                      <w:sz w:val="21"/>
                      <w:szCs w:val="21"/>
                      <w:highlight w:val="none"/>
                    </w:rPr>
                  </w:pPr>
                  <w:r>
                    <w:rPr>
                      <w:rStyle w:val="20"/>
                      <w:rFonts w:ascii="宋体" w:hAnsi="宋体" w:cs="宋体"/>
                      <w:b/>
                      <w:bCs/>
                      <w:i w:val="0"/>
                      <w:iCs w:val="0"/>
                      <w:smallCaps w:val="0"/>
                      <w:color w:val="auto"/>
                      <w:kern w:val="0"/>
                      <w:sz w:val="21"/>
                      <w:szCs w:val="21"/>
                      <w:highlight w:val="none"/>
                    </w:rPr>
                    <w:t>政府采购政策落实情况</w:t>
                  </w:r>
                </w:p>
              </w:tc>
              <w:tc>
                <w:tcPr>
                  <w:tcW w:w="0" w:type="auto"/>
                  <w:tcBorders>
                    <w:top w:val="single" w:color="auto" w:sz="6" w:space="0"/>
                    <w:left w:val="single" w:color="auto" w:sz="6" w:space="0"/>
                  </w:tcBorders>
                  <w:noWrap w:val="0"/>
                  <w:tcMar>
                    <w:top w:w="15" w:type="dxa"/>
                    <w:left w:w="15" w:type="dxa"/>
                    <w:bottom w:w="15" w:type="dxa"/>
                    <w:right w:w="15" w:type="dxa"/>
                  </w:tcMar>
                  <w:vAlign w:val="center"/>
                </w:tcPr>
                <w:p w14:paraId="760965FB">
                  <w:pPr>
                    <w:keepNext w:val="0"/>
                    <w:keepLines w:val="0"/>
                    <w:pageBreakBefore w:val="0"/>
                    <w:widowControl/>
                    <w:shd w:val="clear"/>
                    <w:kinsoku/>
                    <w:wordWrap/>
                    <w:overflowPunct/>
                    <w:topLinePunct w:val="0"/>
                    <w:autoSpaceDE/>
                    <w:autoSpaceDN/>
                    <w:bidi w:val="0"/>
                    <w:adjustRightInd w:val="0"/>
                    <w:snapToGrid w:val="0"/>
                    <w:spacing w:line="360" w:lineRule="auto"/>
                    <w:jc w:val="center"/>
                    <w:textAlignment w:val="auto"/>
                    <w:rPr>
                      <w:rStyle w:val="20"/>
                      <w:rFonts w:ascii="宋体" w:hAnsi="宋体" w:cs="宋体"/>
                      <w:b w:val="0"/>
                      <w:bCs w:val="0"/>
                      <w:i w:val="0"/>
                      <w:iCs w:val="0"/>
                      <w:smallCaps w:val="0"/>
                      <w:color w:val="auto"/>
                      <w:kern w:val="0"/>
                      <w:sz w:val="21"/>
                      <w:szCs w:val="21"/>
                      <w:highlight w:val="none"/>
                    </w:rPr>
                  </w:pPr>
                  <w:r>
                    <w:rPr>
                      <w:rStyle w:val="20"/>
                      <w:rFonts w:ascii="宋体" w:hAnsi="宋体" w:cs="宋体"/>
                      <w:b/>
                      <w:bCs/>
                      <w:i w:val="0"/>
                      <w:iCs w:val="0"/>
                      <w:smallCaps w:val="0"/>
                      <w:color w:val="auto"/>
                      <w:kern w:val="0"/>
                      <w:sz w:val="21"/>
                      <w:szCs w:val="21"/>
                      <w:highlight w:val="none"/>
                    </w:rPr>
                    <w:t>保证金金额（万元）</w:t>
                  </w:r>
                </w:p>
              </w:tc>
            </w:tr>
            <w:tr w14:paraId="4A06E61D">
              <w:tblPrEx>
                <w:tblBorders>
                  <w:top w:val="none" w:color="auto" w:sz="0" w:space="0"/>
                  <w:left w:val="none" w:color="auto" w:sz="0"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tcBorders>
                    <w:top w:val="single" w:color="auto" w:sz="6" w:space="0"/>
                    <w:left w:val="single" w:color="auto" w:sz="6" w:space="0"/>
                  </w:tcBorders>
                  <w:noWrap w:val="0"/>
                  <w:tcMar>
                    <w:top w:w="15" w:type="dxa"/>
                    <w:left w:w="15" w:type="dxa"/>
                    <w:bottom w:w="15" w:type="dxa"/>
                    <w:right w:w="15" w:type="dxa"/>
                  </w:tcMar>
                  <w:vAlign w:val="center"/>
                </w:tcPr>
                <w:p w14:paraId="00794734">
                  <w:pPr>
                    <w:keepNext w:val="0"/>
                    <w:keepLines w:val="0"/>
                    <w:pageBreakBefore w:val="0"/>
                    <w:widowControl/>
                    <w:shd w:val="clear"/>
                    <w:kinsoku/>
                    <w:wordWrap/>
                    <w:overflowPunct/>
                    <w:topLinePunct w:val="0"/>
                    <w:autoSpaceDE/>
                    <w:autoSpaceDN/>
                    <w:bidi w:val="0"/>
                    <w:adjustRightInd w:val="0"/>
                    <w:snapToGrid w:val="0"/>
                    <w:spacing w:line="360" w:lineRule="auto"/>
                    <w:jc w:val="center"/>
                    <w:textAlignment w:val="auto"/>
                    <w:rPr>
                      <w:rStyle w:val="20"/>
                      <w:rFonts w:ascii="宋体" w:hAnsi="宋体" w:cs="宋体"/>
                      <w:b w:val="0"/>
                      <w:bCs w:val="0"/>
                      <w:i w:val="0"/>
                      <w:iCs w:val="0"/>
                      <w:smallCaps w:val="0"/>
                      <w:color w:val="auto"/>
                      <w:kern w:val="0"/>
                      <w:sz w:val="21"/>
                      <w:szCs w:val="21"/>
                      <w:highlight w:val="none"/>
                    </w:rPr>
                  </w:pPr>
                </w:p>
              </w:tc>
              <w:tc>
                <w:tcPr>
                  <w:tcW w:w="0" w:type="auto"/>
                  <w:tcBorders>
                    <w:top w:val="single" w:color="auto" w:sz="6" w:space="0"/>
                    <w:left w:val="single" w:color="auto" w:sz="6" w:space="0"/>
                  </w:tcBorders>
                  <w:noWrap w:val="0"/>
                  <w:tcMar>
                    <w:top w:w="15" w:type="dxa"/>
                    <w:left w:w="15" w:type="dxa"/>
                    <w:bottom w:w="15" w:type="dxa"/>
                    <w:right w:w="15" w:type="dxa"/>
                  </w:tcMar>
                  <w:vAlign w:val="center"/>
                </w:tcPr>
                <w:p w14:paraId="778B08EF">
                  <w:pPr>
                    <w:keepNext w:val="0"/>
                    <w:keepLines w:val="0"/>
                    <w:pageBreakBefore w:val="0"/>
                    <w:widowControl/>
                    <w:shd w:val="clear"/>
                    <w:kinsoku/>
                    <w:wordWrap/>
                    <w:overflowPunct/>
                    <w:topLinePunct w:val="0"/>
                    <w:autoSpaceDE/>
                    <w:autoSpaceDN/>
                    <w:bidi w:val="0"/>
                    <w:adjustRightInd w:val="0"/>
                    <w:snapToGrid w:val="0"/>
                    <w:spacing w:line="360" w:lineRule="auto"/>
                    <w:jc w:val="center"/>
                    <w:textAlignment w:val="auto"/>
                    <w:rPr>
                      <w:rStyle w:val="20"/>
                      <w:rFonts w:hint="eastAsia" w:ascii="宋体" w:hAnsi="宋体" w:eastAsia="宋体" w:cs="宋体"/>
                      <w:b w:val="0"/>
                      <w:bCs w:val="0"/>
                      <w:i w:val="0"/>
                      <w:iCs w:val="0"/>
                      <w:smallCaps w:val="0"/>
                      <w:color w:val="auto"/>
                      <w:kern w:val="0"/>
                      <w:sz w:val="21"/>
                      <w:szCs w:val="21"/>
                      <w:highlight w:val="none"/>
                      <w:lang w:eastAsia="zh-CN"/>
                    </w:rPr>
                  </w:pPr>
                  <w:r>
                    <w:rPr>
                      <w:rStyle w:val="20"/>
                      <w:rFonts w:hint="eastAsia" w:ascii="宋体" w:hAnsi="宋体" w:cs="宋体"/>
                      <w:b w:val="0"/>
                      <w:bCs w:val="0"/>
                      <w:i w:val="0"/>
                      <w:iCs w:val="0"/>
                      <w:smallCaps w:val="0"/>
                      <w:color w:val="auto"/>
                      <w:kern w:val="0"/>
                      <w:sz w:val="21"/>
                      <w:szCs w:val="21"/>
                      <w:highlight w:val="none"/>
                      <w:lang w:eastAsia="zh-CN"/>
                    </w:rPr>
                    <w:t>国家税务总局盖州市税务局综合业务办公用房维修改造项目</w:t>
                  </w:r>
                </w:p>
              </w:tc>
              <w:tc>
                <w:tcPr>
                  <w:tcW w:w="0" w:type="auto"/>
                  <w:tcBorders>
                    <w:top w:val="single" w:color="auto" w:sz="6" w:space="0"/>
                    <w:left w:val="single" w:color="auto" w:sz="6" w:space="0"/>
                  </w:tcBorders>
                  <w:noWrap w:val="0"/>
                  <w:tcMar>
                    <w:top w:w="15" w:type="dxa"/>
                    <w:left w:w="15" w:type="dxa"/>
                    <w:bottom w:w="15" w:type="dxa"/>
                    <w:right w:w="15" w:type="dxa"/>
                  </w:tcMar>
                  <w:vAlign w:val="center"/>
                </w:tcPr>
                <w:p w14:paraId="067E3050">
                  <w:pPr>
                    <w:keepNext w:val="0"/>
                    <w:keepLines w:val="0"/>
                    <w:pageBreakBefore w:val="0"/>
                    <w:widowControl/>
                    <w:shd w:val="clear"/>
                    <w:kinsoku/>
                    <w:wordWrap/>
                    <w:overflowPunct/>
                    <w:topLinePunct w:val="0"/>
                    <w:autoSpaceDE/>
                    <w:autoSpaceDN/>
                    <w:bidi w:val="0"/>
                    <w:adjustRightInd w:val="0"/>
                    <w:snapToGrid w:val="0"/>
                    <w:spacing w:line="360" w:lineRule="auto"/>
                    <w:jc w:val="center"/>
                    <w:textAlignment w:val="auto"/>
                    <w:rPr>
                      <w:rStyle w:val="20"/>
                      <w:rFonts w:ascii="宋体" w:hAnsi="宋体" w:cs="宋体"/>
                      <w:b w:val="0"/>
                      <w:bCs w:val="0"/>
                      <w:i w:val="0"/>
                      <w:iCs w:val="0"/>
                      <w:smallCaps w:val="0"/>
                      <w:color w:val="auto"/>
                      <w:kern w:val="0"/>
                      <w:sz w:val="21"/>
                      <w:szCs w:val="21"/>
                      <w:highlight w:val="none"/>
                    </w:rPr>
                  </w:pPr>
                  <w:r>
                    <w:rPr>
                      <w:rStyle w:val="20"/>
                      <w:rFonts w:hint="eastAsia" w:ascii="宋体" w:hAnsi="宋体" w:cs="宋体"/>
                      <w:b w:val="0"/>
                      <w:bCs w:val="0"/>
                      <w:i w:val="0"/>
                      <w:iCs w:val="0"/>
                      <w:smallCaps w:val="0"/>
                      <w:color w:val="auto"/>
                      <w:kern w:val="0"/>
                      <w:sz w:val="21"/>
                      <w:szCs w:val="21"/>
                      <w:highlight w:val="none"/>
                      <w:lang w:eastAsia="zh-CN"/>
                    </w:rPr>
                    <w:t>承重系统、围护系统、建筑装修系统、给排水系统、采暖系统、通风与空调系统、电气系统、建筑消防系统、建筑智能化系统，具体工作内容详见图纸及工程量清单。</w:t>
                  </w:r>
                </w:p>
              </w:tc>
              <w:tc>
                <w:tcPr>
                  <w:tcW w:w="0" w:type="auto"/>
                  <w:tcBorders>
                    <w:top w:val="single" w:color="auto" w:sz="6" w:space="0"/>
                    <w:left w:val="single" w:color="auto" w:sz="6" w:space="0"/>
                  </w:tcBorders>
                  <w:noWrap w:val="0"/>
                  <w:tcMar>
                    <w:top w:w="15" w:type="dxa"/>
                    <w:left w:w="15" w:type="dxa"/>
                    <w:bottom w:w="15" w:type="dxa"/>
                    <w:right w:w="15" w:type="dxa"/>
                  </w:tcMar>
                  <w:vAlign w:val="center"/>
                </w:tcPr>
                <w:p w14:paraId="0D8BEF2E">
                  <w:pPr>
                    <w:keepNext w:val="0"/>
                    <w:keepLines w:val="0"/>
                    <w:pageBreakBefore w:val="0"/>
                    <w:widowControl/>
                    <w:shd w:val="clear"/>
                    <w:kinsoku/>
                    <w:wordWrap/>
                    <w:overflowPunct/>
                    <w:topLinePunct w:val="0"/>
                    <w:autoSpaceDE/>
                    <w:autoSpaceDN/>
                    <w:bidi w:val="0"/>
                    <w:adjustRightInd w:val="0"/>
                    <w:snapToGrid w:val="0"/>
                    <w:spacing w:line="360" w:lineRule="auto"/>
                    <w:jc w:val="center"/>
                    <w:textAlignment w:val="auto"/>
                    <w:rPr>
                      <w:rStyle w:val="20"/>
                      <w:rFonts w:hint="default" w:ascii="宋体" w:hAnsi="宋体" w:eastAsia="宋体" w:cs="宋体"/>
                      <w:b w:val="0"/>
                      <w:bCs w:val="0"/>
                      <w:i w:val="0"/>
                      <w:iCs w:val="0"/>
                      <w:smallCaps w:val="0"/>
                      <w:color w:val="auto"/>
                      <w:kern w:val="0"/>
                      <w:sz w:val="21"/>
                      <w:szCs w:val="21"/>
                      <w:highlight w:val="none"/>
                      <w:lang w:val="en-US" w:eastAsia="zh-CN"/>
                    </w:rPr>
                  </w:pPr>
                  <w:r>
                    <w:rPr>
                      <w:rStyle w:val="20"/>
                      <w:rFonts w:hint="eastAsia" w:ascii="宋体" w:hAnsi="宋体" w:cs="宋体"/>
                      <w:b w:val="0"/>
                      <w:bCs w:val="0"/>
                      <w:i w:val="0"/>
                      <w:iCs w:val="0"/>
                      <w:smallCaps w:val="0"/>
                      <w:color w:val="auto"/>
                      <w:kern w:val="0"/>
                      <w:sz w:val="21"/>
                      <w:szCs w:val="21"/>
                      <w:highlight w:val="none"/>
                      <w:lang w:val="en-US" w:eastAsia="zh-CN"/>
                    </w:rPr>
                    <w:t>304</w:t>
                  </w:r>
                </w:p>
              </w:tc>
              <w:tc>
                <w:tcPr>
                  <w:tcW w:w="0" w:type="auto"/>
                  <w:tcBorders>
                    <w:top w:val="single" w:color="auto" w:sz="6" w:space="0"/>
                    <w:left w:val="single" w:color="auto" w:sz="6" w:space="0"/>
                  </w:tcBorders>
                  <w:noWrap w:val="0"/>
                  <w:tcMar>
                    <w:top w:w="15" w:type="dxa"/>
                    <w:left w:w="15" w:type="dxa"/>
                    <w:bottom w:w="15" w:type="dxa"/>
                    <w:right w:w="15" w:type="dxa"/>
                  </w:tcMar>
                  <w:vAlign w:val="center"/>
                </w:tcPr>
                <w:p w14:paraId="51938B54">
                  <w:pPr>
                    <w:keepNext w:val="0"/>
                    <w:keepLines w:val="0"/>
                    <w:pageBreakBefore w:val="0"/>
                    <w:widowControl/>
                    <w:shd w:val="clear"/>
                    <w:kinsoku/>
                    <w:wordWrap/>
                    <w:overflowPunct/>
                    <w:topLinePunct w:val="0"/>
                    <w:autoSpaceDE/>
                    <w:autoSpaceDN/>
                    <w:bidi w:val="0"/>
                    <w:adjustRightInd w:val="0"/>
                    <w:snapToGrid w:val="0"/>
                    <w:spacing w:line="360" w:lineRule="auto"/>
                    <w:jc w:val="center"/>
                    <w:textAlignment w:val="auto"/>
                    <w:rPr>
                      <w:rStyle w:val="20"/>
                      <w:rFonts w:ascii="宋体" w:hAnsi="宋体" w:cs="宋体"/>
                      <w:b w:val="0"/>
                      <w:bCs w:val="0"/>
                      <w:i w:val="0"/>
                      <w:iCs w:val="0"/>
                      <w:smallCaps w:val="0"/>
                      <w:color w:val="auto"/>
                      <w:kern w:val="0"/>
                      <w:sz w:val="21"/>
                      <w:szCs w:val="21"/>
                      <w:highlight w:val="none"/>
                    </w:rPr>
                  </w:pPr>
                  <w:r>
                    <w:rPr>
                      <w:rStyle w:val="20"/>
                      <w:rFonts w:ascii="宋体" w:hAnsi="宋体" w:cs="宋体"/>
                      <w:b w:val="0"/>
                      <w:bCs w:val="0"/>
                      <w:i w:val="0"/>
                      <w:iCs w:val="0"/>
                      <w:smallCaps w:val="0"/>
                      <w:color w:val="auto"/>
                      <w:kern w:val="0"/>
                      <w:sz w:val="21"/>
                      <w:szCs w:val="21"/>
                      <w:highlight w:val="none"/>
                    </w:rPr>
                    <w:t>不只面向中小企业</w:t>
                  </w:r>
                </w:p>
              </w:tc>
              <w:tc>
                <w:tcPr>
                  <w:tcW w:w="0" w:type="auto"/>
                  <w:tcBorders>
                    <w:top w:val="single" w:color="auto" w:sz="6" w:space="0"/>
                    <w:left w:val="single" w:color="auto" w:sz="6" w:space="0"/>
                  </w:tcBorders>
                  <w:noWrap w:val="0"/>
                  <w:tcMar>
                    <w:top w:w="15" w:type="dxa"/>
                    <w:left w:w="15" w:type="dxa"/>
                    <w:bottom w:w="15" w:type="dxa"/>
                    <w:right w:w="15" w:type="dxa"/>
                  </w:tcMar>
                  <w:vAlign w:val="center"/>
                </w:tcPr>
                <w:p w14:paraId="6B7D1503">
                  <w:pPr>
                    <w:keepNext w:val="0"/>
                    <w:keepLines w:val="0"/>
                    <w:pageBreakBefore w:val="0"/>
                    <w:widowControl/>
                    <w:shd w:val="clear"/>
                    <w:kinsoku/>
                    <w:wordWrap/>
                    <w:overflowPunct/>
                    <w:topLinePunct w:val="0"/>
                    <w:autoSpaceDE/>
                    <w:autoSpaceDN/>
                    <w:bidi w:val="0"/>
                    <w:adjustRightInd w:val="0"/>
                    <w:snapToGrid w:val="0"/>
                    <w:spacing w:line="360" w:lineRule="auto"/>
                    <w:jc w:val="center"/>
                    <w:textAlignment w:val="auto"/>
                    <w:rPr>
                      <w:rStyle w:val="20"/>
                      <w:rFonts w:hint="default" w:ascii="宋体" w:hAnsi="宋体" w:eastAsia="宋体" w:cs="宋体"/>
                      <w:b w:val="0"/>
                      <w:bCs w:val="0"/>
                      <w:i w:val="0"/>
                      <w:iCs w:val="0"/>
                      <w:smallCaps w:val="0"/>
                      <w:color w:val="auto"/>
                      <w:kern w:val="0"/>
                      <w:sz w:val="21"/>
                      <w:szCs w:val="21"/>
                      <w:highlight w:val="none"/>
                      <w:lang w:val="en-US" w:eastAsia="zh-CN"/>
                    </w:rPr>
                  </w:pPr>
                  <w:r>
                    <w:rPr>
                      <w:rFonts w:hint="eastAsia"/>
                      <w:color w:val="auto"/>
                      <w:sz w:val="21"/>
                      <w:szCs w:val="21"/>
                      <w:lang w:val="en-US" w:eastAsia="zh-CN"/>
                    </w:rPr>
                    <w:t>0</w:t>
                  </w:r>
                </w:p>
              </w:tc>
            </w:tr>
          </w:tbl>
          <w:p w14:paraId="47FD0B6F">
            <w:pPr>
              <w:keepNext w:val="0"/>
              <w:keepLines w:val="0"/>
              <w:pageBreakBefore w:val="0"/>
              <w:widowControl w:val="0"/>
              <w:shd w:val="clear"/>
              <w:kinsoku/>
              <w:wordWrap/>
              <w:overflowPunct/>
              <w:topLinePunct w:val="0"/>
              <w:autoSpaceDE/>
              <w:autoSpaceDN/>
              <w:bidi w:val="0"/>
              <w:adjustRightInd w:val="0"/>
              <w:snapToGrid w:val="0"/>
              <w:spacing w:line="360" w:lineRule="auto"/>
              <w:jc w:val="both"/>
              <w:textAlignment w:val="auto"/>
              <w:rPr>
                <w:rStyle w:val="20"/>
                <w:rFonts w:ascii="宋体" w:hAnsi="宋体" w:cs="宋体"/>
                <w:b w:val="0"/>
                <w:bCs w:val="0"/>
                <w:i w:val="0"/>
                <w:iCs w:val="0"/>
                <w:smallCaps w:val="0"/>
                <w:color w:val="auto"/>
                <w:kern w:val="0"/>
                <w:sz w:val="21"/>
                <w:szCs w:val="21"/>
                <w:highlight w:val="none"/>
              </w:rPr>
            </w:pPr>
          </w:p>
        </w:tc>
      </w:tr>
      <w:tr w14:paraId="2FF1B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blCellSpacing w:w="15" w:type="dxa"/>
          <w:jc w:val="center"/>
        </w:trPr>
        <w:tc>
          <w:tcPr>
            <w:tcW w:w="0" w:type="auto"/>
            <w:noWrap w:val="0"/>
            <w:tcMar>
              <w:top w:w="15" w:type="dxa"/>
              <w:left w:w="15" w:type="dxa"/>
              <w:bottom w:w="15" w:type="dxa"/>
              <w:right w:w="15" w:type="dxa"/>
            </w:tcMar>
            <w:vAlign w:val="center"/>
          </w:tcPr>
          <w:p w14:paraId="3373C71C">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ascii="宋体" w:hAnsi="宋体" w:cs="宋体"/>
                <w:b w:val="0"/>
                <w:bCs w:val="0"/>
                <w:i w:val="0"/>
                <w:iCs w:val="0"/>
                <w:smallCaps w:val="0"/>
                <w:color w:val="auto"/>
                <w:kern w:val="0"/>
                <w:sz w:val="21"/>
                <w:szCs w:val="21"/>
                <w:highlight w:val="none"/>
              </w:rPr>
            </w:pPr>
            <w:r>
              <w:rPr>
                <w:rStyle w:val="20"/>
                <w:rFonts w:ascii="宋体" w:hAnsi="宋体" w:cs="宋体"/>
                <w:b w:val="0"/>
                <w:bCs w:val="0"/>
                <w:i w:val="0"/>
                <w:iCs w:val="0"/>
                <w:smallCaps w:val="0"/>
                <w:color w:val="auto"/>
                <w:kern w:val="0"/>
                <w:sz w:val="21"/>
                <w:szCs w:val="21"/>
                <w:highlight w:val="none"/>
              </w:rPr>
              <w:t>4.工期要求：</w:t>
            </w:r>
            <w:r>
              <w:rPr>
                <w:rStyle w:val="20"/>
                <w:rFonts w:ascii="宋体" w:hAnsi="宋体" w:cs="宋体"/>
                <w:b/>
                <w:bCs/>
                <w:i w:val="0"/>
                <w:iCs w:val="0"/>
                <w:smallCaps w:val="0"/>
                <w:color w:val="auto"/>
                <w:kern w:val="0"/>
                <w:sz w:val="21"/>
                <w:szCs w:val="21"/>
                <w:highlight w:val="none"/>
              </w:rPr>
              <w:t>202</w:t>
            </w:r>
            <w:r>
              <w:rPr>
                <w:rStyle w:val="20"/>
                <w:rFonts w:hint="eastAsia" w:ascii="宋体" w:hAnsi="宋体" w:cs="宋体"/>
                <w:b/>
                <w:bCs/>
                <w:i w:val="0"/>
                <w:iCs w:val="0"/>
                <w:smallCaps w:val="0"/>
                <w:color w:val="auto"/>
                <w:kern w:val="0"/>
                <w:sz w:val="21"/>
                <w:szCs w:val="21"/>
                <w:highlight w:val="none"/>
                <w:lang w:val="en-US" w:eastAsia="zh-CN"/>
              </w:rPr>
              <w:t>6</w:t>
            </w:r>
            <w:r>
              <w:rPr>
                <w:rStyle w:val="20"/>
                <w:rFonts w:ascii="宋体" w:hAnsi="宋体" w:cs="宋体"/>
                <w:b/>
                <w:bCs/>
                <w:i w:val="0"/>
                <w:iCs w:val="0"/>
                <w:smallCaps w:val="0"/>
                <w:color w:val="auto"/>
                <w:kern w:val="0"/>
                <w:sz w:val="21"/>
                <w:szCs w:val="21"/>
                <w:highlight w:val="none"/>
              </w:rPr>
              <w:t>年</w:t>
            </w:r>
            <w:r>
              <w:rPr>
                <w:rStyle w:val="20"/>
                <w:rFonts w:hint="eastAsia" w:ascii="宋体" w:hAnsi="宋体" w:cs="宋体"/>
                <w:b/>
                <w:bCs/>
                <w:i w:val="0"/>
                <w:iCs w:val="0"/>
                <w:smallCaps w:val="0"/>
                <w:color w:val="auto"/>
                <w:kern w:val="0"/>
                <w:sz w:val="21"/>
                <w:szCs w:val="21"/>
                <w:highlight w:val="none"/>
                <w:lang w:val="en-US" w:eastAsia="zh-CN"/>
              </w:rPr>
              <w:t>10</w:t>
            </w:r>
            <w:r>
              <w:rPr>
                <w:rStyle w:val="20"/>
                <w:rFonts w:ascii="宋体" w:hAnsi="宋体" w:cs="宋体"/>
                <w:b/>
                <w:bCs/>
                <w:i w:val="0"/>
                <w:iCs w:val="0"/>
                <w:smallCaps w:val="0"/>
                <w:color w:val="auto"/>
                <w:kern w:val="0"/>
                <w:sz w:val="21"/>
                <w:szCs w:val="21"/>
                <w:highlight w:val="none"/>
              </w:rPr>
              <w:t>月</w:t>
            </w:r>
            <w:r>
              <w:rPr>
                <w:rStyle w:val="20"/>
                <w:rFonts w:hint="eastAsia" w:ascii="宋体" w:hAnsi="宋体" w:cs="宋体"/>
                <w:b/>
                <w:bCs/>
                <w:i w:val="0"/>
                <w:iCs w:val="0"/>
                <w:smallCaps w:val="0"/>
                <w:color w:val="auto"/>
                <w:kern w:val="0"/>
                <w:sz w:val="21"/>
                <w:szCs w:val="21"/>
                <w:highlight w:val="none"/>
                <w:lang w:val="en-US" w:eastAsia="zh-CN"/>
              </w:rPr>
              <w:t>20</w:t>
            </w:r>
            <w:r>
              <w:rPr>
                <w:rStyle w:val="20"/>
                <w:rFonts w:ascii="宋体" w:hAnsi="宋体" w:cs="宋体"/>
                <w:b/>
                <w:bCs/>
                <w:i w:val="0"/>
                <w:iCs w:val="0"/>
                <w:smallCaps w:val="0"/>
                <w:color w:val="auto"/>
                <w:kern w:val="0"/>
                <w:sz w:val="21"/>
                <w:szCs w:val="21"/>
                <w:highlight w:val="none"/>
              </w:rPr>
              <w:t xml:space="preserve">日 </w:t>
            </w:r>
            <w:r>
              <w:rPr>
                <w:rStyle w:val="20"/>
                <w:rFonts w:ascii="宋体" w:hAnsi="宋体" w:cs="宋体"/>
                <w:b w:val="0"/>
                <w:bCs w:val="0"/>
                <w:i w:val="0"/>
                <w:iCs w:val="0"/>
                <w:smallCaps w:val="0"/>
                <w:color w:val="auto"/>
                <w:kern w:val="0"/>
                <w:sz w:val="21"/>
                <w:szCs w:val="21"/>
                <w:highlight w:val="none"/>
              </w:rPr>
              <w:t xml:space="preserve">开工至 </w:t>
            </w:r>
            <w:r>
              <w:rPr>
                <w:rStyle w:val="20"/>
                <w:rFonts w:ascii="宋体" w:hAnsi="宋体" w:cs="宋体"/>
                <w:b/>
                <w:bCs/>
                <w:i w:val="0"/>
                <w:iCs w:val="0"/>
                <w:smallCaps w:val="0"/>
                <w:color w:val="auto"/>
                <w:kern w:val="0"/>
                <w:sz w:val="21"/>
                <w:szCs w:val="21"/>
                <w:highlight w:val="none"/>
              </w:rPr>
              <w:t>202</w:t>
            </w:r>
            <w:r>
              <w:rPr>
                <w:rStyle w:val="20"/>
                <w:rFonts w:hint="eastAsia" w:ascii="宋体" w:hAnsi="宋体" w:cs="宋体"/>
                <w:b/>
                <w:bCs/>
                <w:i w:val="0"/>
                <w:iCs w:val="0"/>
                <w:smallCaps w:val="0"/>
                <w:color w:val="auto"/>
                <w:kern w:val="0"/>
                <w:sz w:val="21"/>
                <w:szCs w:val="21"/>
                <w:highlight w:val="none"/>
                <w:lang w:val="en-US" w:eastAsia="zh-CN"/>
              </w:rPr>
              <w:t>7</w:t>
            </w:r>
            <w:r>
              <w:rPr>
                <w:rStyle w:val="20"/>
                <w:rFonts w:ascii="宋体" w:hAnsi="宋体" w:cs="宋体"/>
                <w:b/>
                <w:bCs/>
                <w:i w:val="0"/>
                <w:iCs w:val="0"/>
                <w:smallCaps w:val="0"/>
                <w:color w:val="auto"/>
                <w:kern w:val="0"/>
                <w:sz w:val="21"/>
                <w:szCs w:val="21"/>
                <w:highlight w:val="none"/>
              </w:rPr>
              <w:t>年</w:t>
            </w:r>
            <w:r>
              <w:rPr>
                <w:rStyle w:val="20"/>
                <w:rFonts w:hint="eastAsia" w:ascii="宋体" w:hAnsi="宋体" w:cs="宋体"/>
                <w:b/>
                <w:bCs/>
                <w:i w:val="0"/>
                <w:iCs w:val="0"/>
                <w:smallCaps w:val="0"/>
                <w:color w:val="auto"/>
                <w:kern w:val="0"/>
                <w:sz w:val="21"/>
                <w:szCs w:val="21"/>
                <w:highlight w:val="none"/>
                <w:lang w:val="en-US" w:eastAsia="zh-CN"/>
              </w:rPr>
              <w:t>8</w:t>
            </w:r>
            <w:r>
              <w:rPr>
                <w:rStyle w:val="20"/>
                <w:rFonts w:ascii="宋体" w:hAnsi="宋体" w:cs="宋体"/>
                <w:b/>
                <w:bCs/>
                <w:i w:val="0"/>
                <w:iCs w:val="0"/>
                <w:smallCaps w:val="0"/>
                <w:color w:val="auto"/>
                <w:kern w:val="0"/>
                <w:sz w:val="21"/>
                <w:szCs w:val="21"/>
                <w:highlight w:val="none"/>
              </w:rPr>
              <w:t>月</w:t>
            </w:r>
            <w:r>
              <w:rPr>
                <w:rStyle w:val="20"/>
                <w:rFonts w:hint="eastAsia" w:ascii="宋体" w:hAnsi="宋体" w:cs="宋体"/>
                <w:b/>
                <w:bCs/>
                <w:i w:val="0"/>
                <w:iCs w:val="0"/>
                <w:smallCaps w:val="0"/>
                <w:color w:val="auto"/>
                <w:kern w:val="0"/>
                <w:sz w:val="21"/>
                <w:szCs w:val="21"/>
                <w:highlight w:val="none"/>
                <w:lang w:val="en-US" w:eastAsia="zh-CN"/>
              </w:rPr>
              <w:t>20</w:t>
            </w:r>
            <w:r>
              <w:rPr>
                <w:rStyle w:val="20"/>
                <w:rFonts w:ascii="宋体" w:hAnsi="宋体" w:cs="宋体"/>
                <w:b/>
                <w:bCs/>
                <w:i w:val="0"/>
                <w:iCs w:val="0"/>
                <w:smallCaps w:val="0"/>
                <w:color w:val="auto"/>
                <w:kern w:val="0"/>
                <w:sz w:val="21"/>
                <w:szCs w:val="21"/>
                <w:highlight w:val="none"/>
              </w:rPr>
              <w:t xml:space="preserve">日 </w:t>
            </w:r>
            <w:r>
              <w:rPr>
                <w:rStyle w:val="20"/>
                <w:rFonts w:ascii="宋体" w:hAnsi="宋体" w:cs="宋体"/>
                <w:b w:val="0"/>
                <w:bCs w:val="0"/>
                <w:i w:val="0"/>
                <w:iCs w:val="0"/>
                <w:smallCaps w:val="0"/>
                <w:color w:val="auto"/>
                <w:kern w:val="0"/>
                <w:sz w:val="21"/>
                <w:szCs w:val="21"/>
                <w:highlight w:val="none"/>
              </w:rPr>
              <w:t xml:space="preserve">竣工 </w:t>
            </w:r>
          </w:p>
        </w:tc>
      </w:tr>
      <w:tr w14:paraId="110ED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jc w:val="center"/>
        </w:trPr>
        <w:tc>
          <w:tcPr>
            <w:tcW w:w="0" w:type="auto"/>
            <w:noWrap w:val="0"/>
            <w:tcMar>
              <w:top w:w="15" w:type="dxa"/>
              <w:left w:w="15" w:type="dxa"/>
              <w:bottom w:w="15" w:type="dxa"/>
              <w:right w:w="15" w:type="dxa"/>
            </w:tcMar>
            <w:vAlign w:val="center"/>
          </w:tcPr>
          <w:p w14:paraId="5C637D86">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ascii="宋体" w:hAnsi="宋体" w:cs="宋体"/>
                <w:b w:val="0"/>
                <w:bCs w:val="0"/>
                <w:i w:val="0"/>
                <w:iCs w:val="0"/>
                <w:smallCaps w:val="0"/>
                <w:color w:val="auto"/>
                <w:kern w:val="0"/>
                <w:sz w:val="21"/>
                <w:szCs w:val="21"/>
                <w:highlight w:val="none"/>
              </w:rPr>
            </w:pPr>
            <w:r>
              <w:rPr>
                <w:rStyle w:val="20"/>
                <w:rFonts w:ascii="宋体" w:hAnsi="宋体" w:cs="宋体"/>
                <w:b/>
                <w:bCs/>
                <w:i w:val="0"/>
                <w:iCs w:val="0"/>
                <w:smallCaps w:val="0"/>
                <w:color w:val="auto"/>
                <w:kern w:val="0"/>
                <w:sz w:val="21"/>
                <w:szCs w:val="21"/>
                <w:highlight w:val="none"/>
              </w:rPr>
              <w:t>三、投标人资格要求</w:t>
            </w:r>
          </w:p>
        </w:tc>
      </w:tr>
      <w:tr w14:paraId="650E4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jc w:val="center"/>
        </w:trPr>
        <w:tc>
          <w:tcPr>
            <w:tcW w:w="0" w:type="auto"/>
            <w:noWrap w:val="0"/>
            <w:tcMar>
              <w:top w:w="15" w:type="dxa"/>
              <w:left w:w="15" w:type="dxa"/>
              <w:bottom w:w="15" w:type="dxa"/>
              <w:right w:w="15" w:type="dxa"/>
            </w:tcMar>
            <w:vAlign w:val="center"/>
          </w:tcPr>
          <w:p w14:paraId="70B19C1A">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ascii="宋体" w:hAnsi="宋体" w:cs="宋体"/>
                <w:b w:val="0"/>
                <w:bCs w:val="0"/>
                <w:i w:val="0"/>
                <w:iCs w:val="0"/>
                <w:smallCaps w:val="0"/>
                <w:color w:val="auto"/>
                <w:kern w:val="0"/>
                <w:sz w:val="21"/>
                <w:szCs w:val="21"/>
                <w:highlight w:val="none"/>
              </w:rPr>
            </w:pPr>
            <w:r>
              <w:rPr>
                <w:rStyle w:val="20"/>
                <w:rFonts w:ascii="宋体" w:hAnsi="宋体" w:cs="宋体"/>
                <w:b w:val="0"/>
                <w:bCs w:val="0"/>
                <w:i w:val="0"/>
                <w:iCs w:val="0"/>
                <w:smallCaps w:val="0"/>
                <w:color w:val="auto"/>
                <w:kern w:val="0"/>
                <w:sz w:val="21"/>
                <w:szCs w:val="21"/>
                <w:highlight w:val="none"/>
              </w:rPr>
              <w:t>1.资质等级及范围：</w:t>
            </w:r>
            <w:r>
              <w:rPr>
                <w:rStyle w:val="20"/>
                <w:rFonts w:hint="eastAsia" w:ascii="宋体" w:hAnsi="宋体" w:cs="宋体"/>
                <w:b w:val="0"/>
                <w:bCs w:val="0"/>
                <w:i w:val="0"/>
                <w:iCs w:val="0"/>
                <w:smallCaps w:val="0"/>
                <w:color w:val="auto"/>
                <w:kern w:val="0"/>
                <w:sz w:val="21"/>
                <w:szCs w:val="21"/>
                <w:highlight w:val="none"/>
                <w:lang w:val="en-US" w:eastAsia="zh-CN"/>
              </w:rPr>
              <w:t>[施工总承包·建筑工程·建筑工程三级]（</w:t>
            </w:r>
            <w:r>
              <w:rPr>
                <w:rStyle w:val="20"/>
                <w:rFonts w:hint="eastAsia" w:ascii="宋体" w:hAnsi="宋体" w:cs="宋体"/>
                <w:b w:val="0"/>
                <w:bCs w:val="0"/>
                <w:i w:val="0"/>
                <w:iCs w:val="0"/>
                <w:smallCaps w:val="0"/>
                <w:color w:val="auto"/>
                <w:kern w:val="0"/>
                <w:sz w:val="21"/>
                <w:szCs w:val="21"/>
                <w:highlight w:val="none"/>
              </w:rPr>
              <w:t>含</w:t>
            </w:r>
            <w:r>
              <w:rPr>
                <w:rStyle w:val="20"/>
                <w:rFonts w:hint="eastAsia" w:ascii="宋体" w:hAnsi="宋体" w:cs="宋体"/>
                <w:b w:val="0"/>
                <w:bCs w:val="0"/>
                <w:i w:val="0"/>
                <w:iCs w:val="0"/>
                <w:smallCaps w:val="0"/>
                <w:color w:val="auto"/>
                <w:kern w:val="0"/>
                <w:sz w:val="21"/>
                <w:szCs w:val="21"/>
                <w:highlight w:val="none"/>
                <w:lang w:eastAsia="zh-CN"/>
              </w:rPr>
              <w:t>）</w:t>
            </w:r>
            <w:r>
              <w:rPr>
                <w:rStyle w:val="20"/>
                <w:rFonts w:hint="eastAsia" w:ascii="宋体" w:hAnsi="宋体" w:cs="宋体"/>
                <w:b w:val="0"/>
                <w:bCs w:val="0"/>
                <w:i w:val="0"/>
                <w:iCs w:val="0"/>
                <w:smallCaps w:val="0"/>
                <w:color w:val="auto"/>
                <w:kern w:val="0"/>
                <w:sz w:val="21"/>
                <w:szCs w:val="21"/>
                <w:highlight w:val="none"/>
              </w:rPr>
              <w:t>以上</w:t>
            </w:r>
            <w:r>
              <w:rPr>
                <w:rStyle w:val="20"/>
                <w:rFonts w:hint="eastAsia" w:ascii="宋体" w:hAnsi="宋体" w:cs="宋体"/>
                <w:b w:val="0"/>
                <w:bCs w:val="0"/>
                <w:i w:val="0"/>
                <w:iCs w:val="0"/>
                <w:smallCaps w:val="0"/>
                <w:color w:val="auto"/>
                <w:kern w:val="0"/>
                <w:sz w:val="21"/>
                <w:szCs w:val="21"/>
                <w:highlight w:val="none"/>
                <w:lang w:val="en-US" w:eastAsia="zh-CN"/>
              </w:rPr>
              <w:t>资质</w:t>
            </w:r>
            <w:r>
              <w:rPr>
                <w:rStyle w:val="20"/>
                <w:rFonts w:ascii="宋体" w:hAnsi="宋体" w:cs="宋体"/>
                <w:b w:val="0"/>
                <w:bCs w:val="0"/>
                <w:i w:val="0"/>
                <w:iCs w:val="0"/>
                <w:smallCaps w:val="0"/>
                <w:color w:val="auto"/>
                <w:kern w:val="0"/>
                <w:sz w:val="21"/>
                <w:szCs w:val="21"/>
                <w:highlight w:val="none"/>
              </w:rPr>
              <w:br w:type="textWrapping"/>
            </w:r>
            <w:r>
              <w:rPr>
                <w:rStyle w:val="20"/>
                <w:rFonts w:ascii="宋体" w:hAnsi="宋体" w:cs="宋体"/>
                <w:b w:val="0"/>
                <w:bCs w:val="0"/>
                <w:i w:val="0"/>
                <w:iCs w:val="0"/>
                <w:smallCaps w:val="0"/>
                <w:color w:val="auto"/>
                <w:kern w:val="0"/>
                <w:sz w:val="21"/>
                <w:szCs w:val="21"/>
                <w:highlight w:val="none"/>
              </w:rPr>
              <w:t>2.项目负责人资质类别和等级</w:t>
            </w:r>
            <w:r>
              <w:rPr>
                <w:rStyle w:val="20"/>
                <w:rFonts w:hint="eastAsia" w:ascii="宋体" w:hAnsi="宋体" w:cs="宋体"/>
                <w:b w:val="0"/>
                <w:bCs w:val="0"/>
                <w:i w:val="0"/>
                <w:iCs w:val="0"/>
                <w:smallCaps w:val="0"/>
                <w:color w:val="auto"/>
                <w:kern w:val="0"/>
                <w:sz w:val="21"/>
                <w:szCs w:val="21"/>
                <w:highlight w:val="none"/>
                <w:lang w:eastAsia="zh-CN"/>
              </w:rPr>
              <w:t>：</w:t>
            </w:r>
            <w:r>
              <w:rPr>
                <w:rStyle w:val="20"/>
                <w:rFonts w:hint="eastAsia" w:ascii="宋体" w:hAnsi="宋体" w:cs="宋体"/>
                <w:b w:val="0"/>
                <w:bCs w:val="0"/>
                <w:i w:val="0"/>
                <w:iCs w:val="0"/>
                <w:smallCaps w:val="0"/>
                <w:color w:val="auto"/>
                <w:kern w:val="0"/>
                <w:sz w:val="21"/>
                <w:szCs w:val="21"/>
                <w:highlight w:val="none"/>
              </w:rPr>
              <w:t>[</w:t>
            </w:r>
            <w:r>
              <w:rPr>
                <w:rStyle w:val="20"/>
                <w:rFonts w:hint="eastAsia" w:ascii="宋体" w:hAnsi="宋体" w:cs="宋体"/>
                <w:b w:val="0"/>
                <w:bCs w:val="0"/>
                <w:i w:val="0"/>
                <w:iCs w:val="0"/>
                <w:smallCaps w:val="0"/>
                <w:color w:val="auto"/>
                <w:kern w:val="0"/>
                <w:sz w:val="21"/>
                <w:szCs w:val="21"/>
                <w:highlight w:val="none"/>
                <w:lang w:val="en-US" w:eastAsia="zh-CN"/>
              </w:rPr>
              <w:t>二</w:t>
            </w:r>
            <w:r>
              <w:rPr>
                <w:rStyle w:val="20"/>
                <w:rFonts w:hint="eastAsia" w:ascii="宋体" w:hAnsi="宋体" w:cs="宋体"/>
                <w:b w:val="0"/>
                <w:bCs w:val="0"/>
                <w:i w:val="0"/>
                <w:iCs w:val="0"/>
                <w:smallCaps w:val="0"/>
                <w:color w:val="auto"/>
                <w:kern w:val="0"/>
                <w:sz w:val="21"/>
                <w:szCs w:val="21"/>
                <w:highlight w:val="none"/>
              </w:rPr>
              <w:t>级注册建造师·建筑工程及以上]执业资格</w:t>
            </w:r>
            <w:r>
              <w:rPr>
                <w:rStyle w:val="20"/>
                <w:rFonts w:ascii="宋体" w:hAnsi="宋体" w:cs="宋体"/>
                <w:b w:val="0"/>
                <w:bCs w:val="0"/>
                <w:i w:val="0"/>
                <w:iCs w:val="0"/>
                <w:smallCaps w:val="0"/>
                <w:color w:val="auto"/>
                <w:kern w:val="0"/>
                <w:sz w:val="21"/>
                <w:szCs w:val="21"/>
                <w:highlight w:val="none"/>
              </w:rPr>
              <w:br w:type="textWrapping"/>
            </w:r>
            <w:r>
              <w:rPr>
                <w:rStyle w:val="20"/>
                <w:rFonts w:ascii="宋体" w:hAnsi="宋体" w:cs="宋体"/>
                <w:b w:val="0"/>
                <w:bCs w:val="0"/>
                <w:i w:val="0"/>
                <w:iCs w:val="0"/>
                <w:smallCaps w:val="0"/>
                <w:color w:val="auto"/>
                <w:kern w:val="0"/>
                <w:sz w:val="21"/>
                <w:szCs w:val="21"/>
                <w:highlight w:val="none"/>
              </w:rPr>
              <w:t xml:space="preserve">3.本次招标不接受联合体投标。 </w:t>
            </w:r>
            <w:r>
              <w:rPr>
                <w:rStyle w:val="20"/>
                <w:rFonts w:ascii="宋体" w:hAnsi="宋体" w:cs="宋体"/>
                <w:b w:val="0"/>
                <w:bCs w:val="0"/>
                <w:i w:val="0"/>
                <w:iCs w:val="0"/>
                <w:smallCaps w:val="0"/>
                <w:color w:val="auto"/>
                <w:kern w:val="0"/>
                <w:sz w:val="21"/>
                <w:szCs w:val="21"/>
                <w:highlight w:val="none"/>
              </w:rPr>
              <w:br w:type="textWrapping"/>
            </w:r>
            <w:r>
              <w:rPr>
                <w:rStyle w:val="20"/>
                <w:rFonts w:ascii="宋体" w:hAnsi="宋体" w:cs="宋体"/>
                <w:b w:val="0"/>
                <w:bCs w:val="0"/>
                <w:i w:val="0"/>
                <w:iCs w:val="0"/>
                <w:smallCaps w:val="0"/>
                <w:color w:val="auto"/>
                <w:kern w:val="0"/>
                <w:sz w:val="21"/>
                <w:szCs w:val="21"/>
                <w:highlight w:val="none"/>
              </w:rPr>
              <w:t>4.</w:t>
            </w:r>
            <w:r>
              <w:rPr>
                <w:rStyle w:val="20"/>
                <w:rFonts w:hint="eastAsia" w:ascii="宋体" w:hAnsi="宋体" w:cs="宋体"/>
                <w:b w:val="0"/>
                <w:bCs w:val="0"/>
                <w:i w:val="0"/>
                <w:iCs w:val="0"/>
                <w:smallCaps w:val="0"/>
                <w:color w:val="auto"/>
                <w:kern w:val="0"/>
                <w:sz w:val="21"/>
                <w:szCs w:val="21"/>
                <w:highlight w:val="none"/>
                <w:lang w:eastAsia="zh-CN"/>
              </w:rPr>
              <w:t>其他</w:t>
            </w:r>
            <w:r>
              <w:rPr>
                <w:rStyle w:val="20"/>
                <w:rFonts w:ascii="宋体" w:hAnsi="宋体" w:cs="宋体"/>
                <w:b w:val="0"/>
                <w:bCs w:val="0"/>
                <w:i w:val="0"/>
                <w:iCs w:val="0"/>
                <w:smallCaps w:val="0"/>
                <w:color w:val="auto"/>
                <w:kern w:val="0"/>
                <w:sz w:val="21"/>
                <w:szCs w:val="21"/>
                <w:highlight w:val="none"/>
              </w:rPr>
              <w:t>要求：项目经理具备有效的安全生产考核合格证书（B证），不得在其他在建工程担任项目经理。投标人在“信用中国”网站（www.creditchina.gov.cn）、“中国政府采购网”（www.ccgp.gov.cn），没有被列入失信被执行人、重大税收违法案件当事人名单、政府采购严重违法失信行为记录名单。落实政府采购政策需满足的资格要求：根据《政府采购促进中小企业发展管理办法》（财库〔2020〕46号）文件规定：（1）本项目为面向中小企业预留采购份额的项目的工程类项目。（2）</w:t>
            </w:r>
            <w:r>
              <w:rPr>
                <w:rStyle w:val="20"/>
                <w:rFonts w:hint="eastAsia" w:ascii="宋体" w:hAnsi="宋体" w:cs="宋体"/>
                <w:b w:val="0"/>
                <w:bCs w:val="0"/>
                <w:i w:val="0"/>
                <w:iCs w:val="0"/>
                <w:smallCaps w:val="0"/>
                <w:color w:val="auto"/>
                <w:kern w:val="0"/>
                <w:sz w:val="21"/>
                <w:szCs w:val="21"/>
                <w:highlight w:val="none"/>
                <w:lang w:eastAsia="zh-CN"/>
              </w:rPr>
              <w:t>投标单位</w:t>
            </w:r>
            <w:r>
              <w:rPr>
                <w:rStyle w:val="20"/>
                <w:rFonts w:ascii="宋体" w:hAnsi="宋体" w:cs="宋体"/>
                <w:b w:val="0"/>
                <w:bCs w:val="0"/>
                <w:i w:val="0"/>
                <w:iCs w:val="0"/>
                <w:smallCaps w:val="0"/>
                <w:color w:val="auto"/>
                <w:kern w:val="0"/>
                <w:sz w:val="21"/>
                <w:szCs w:val="21"/>
                <w:highlight w:val="none"/>
              </w:rPr>
              <w:t>应将采购合同中不低于40%</w:t>
            </w:r>
            <w:r>
              <w:rPr>
                <w:rStyle w:val="20"/>
                <w:rFonts w:hint="eastAsia" w:ascii="宋体" w:hAnsi="宋体" w:cs="宋体"/>
                <w:b w:val="0"/>
                <w:bCs w:val="0"/>
                <w:i w:val="0"/>
                <w:iCs w:val="0"/>
                <w:smallCaps w:val="0"/>
                <w:color w:val="auto"/>
                <w:kern w:val="0"/>
                <w:sz w:val="21"/>
                <w:szCs w:val="21"/>
                <w:highlight w:val="none"/>
                <w:lang w:eastAsia="zh-CN"/>
              </w:rPr>
              <w:t>（</w:t>
            </w:r>
            <w:r>
              <w:rPr>
                <w:rStyle w:val="20"/>
                <w:rFonts w:ascii="宋体" w:hAnsi="宋体" w:cs="宋体"/>
                <w:b w:val="0"/>
                <w:bCs w:val="0"/>
                <w:i w:val="0"/>
                <w:iCs w:val="0"/>
                <w:smallCaps w:val="0"/>
                <w:color w:val="auto"/>
                <w:kern w:val="0"/>
                <w:sz w:val="21"/>
                <w:szCs w:val="21"/>
                <w:highlight w:val="none"/>
              </w:rPr>
              <w:t>含</w:t>
            </w:r>
            <w:r>
              <w:rPr>
                <w:rStyle w:val="20"/>
                <w:rFonts w:hint="eastAsia" w:ascii="宋体" w:hAnsi="宋体" w:cs="宋体"/>
                <w:b w:val="0"/>
                <w:bCs w:val="0"/>
                <w:i w:val="0"/>
                <w:iCs w:val="0"/>
                <w:smallCaps w:val="0"/>
                <w:color w:val="auto"/>
                <w:kern w:val="0"/>
                <w:sz w:val="21"/>
                <w:szCs w:val="21"/>
                <w:highlight w:val="none"/>
                <w:lang w:eastAsia="zh-CN"/>
              </w:rPr>
              <w:t>）</w:t>
            </w:r>
            <w:r>
              <w:rPr>
                <w:rStyle w:val="20"/>
                <w:rFonts w:ascii="宋体" w:hAnsi="宋体" w:cs="宋体"/>
                <w:b w:val="0"/>
                <w:bCs w:val="0"/>
                <w:i w:val="0"/>
                <w:iCs w:val="0"/>
                <w:smallCaps w:val="0"/>
                <w:color w:val="auto"/>
                <w:kern w:val="0"/>
                <w:sz w:val="21"/>
                <w:szCs w:val="21"/>
                <w:highlight w:val="none"/>
              </w:rPr>
              <w:t>的金额分包给一家或者多家中小企业，其中小微企业所占比例不低于60%</w:t>
            </w:r>
            <w:r>
              <w:rPr>
                <w:rStyle w:val="20"/>
                <w:rFonts w:hint="eastAsia" w:ascii="宋体" w:hAnsi="宋体" w:cs="宋体"/>
                <w:b w:val="0"/>
                <w:bCs w:val="0"/>
                <w:i w:val="0"/>
                <w:iCs w:val="0"/>
                <w:smallCaps w:val="0"/>
                <w:color w:val="auto"/>
                <w:kern w:val="0"/>
                <w:sz w:val="21"/>
                <w:szCs w:val="21"/>
                <w:highlight w:val="none"/>
                <w:lang w:eastAsia="zh-CN"/>
              </w:rPr>
              <w:t>（</w:t>
            </w:r>
            <w:r>
              <w:rPr>
                <w:rStyle w:val="20"/>
                <w:rFonts w:ascii="宋体" w:hAnsi="宋体" w:cs="宋体"/>
                <w:b w:val="0"/>
                <w:bCs w:val="0"/>
                <w:i w:val="0"/>
                <w:iCs w:val="0"/>
                <w:smallCaps w:val="0"/>
                <w:color w:val="auto"/>
                <w:kern w:val="0"/>
                <w:sz w:val="21"/>
                <w:szCs w:val="21"/>
                <w:highlight w:val="none"/>
              </w:rPr>
              <w:t>含）。</w:t>
            </w:r>
            <w:r>
              <w:rPr>
                <w:rStyle w:val="20"/>
                <w:rFonts w:hint="eastAsia" w:ascii="宋体" w:hAnsi="宋体" w:cs="宋体"/>
                <w:b w:val="0"/>
                <w:bCs w:val="0"/>
                <w:i w:val="0"/>
                <w:iCs w:val="0"/>
                <w:smallCaps w:val="0"/>
                <w:color w:val="auto"/>
                <w:kern w:val="0"/>
                <w:sz w:val="21"/>
                <w:szCs w:val="21"/>
                <w:highlight w:val="none"/>
                <w:lang w:eastAsia="zh-CN"/>
              </w:rPr>
              <w:t>投标单位</w:t>
            </w:r>
            <w:r>
              <w:rPr>
                <w:rStyle w:val="20"/>
                <w:rFonts w:ascii="宋体" w:hAnsi="宋体" w:cs="宋体"/>
                <w:b w:val="0"/>
                <w:bCs w:val="0"/>
                <w:i w:val="0"/>
                <w:iCs w:val="0"/>
                <w:smallCaps w:val="0"/>
                <w:color w:val="auto"/>
                <w:kern w:val="0"/>
                <w:sz w:val="21"/>
                <w:szCs w:val="21"/>
                <w:highlight w:val="none"/>
              </w:rPr>
              <w:t>为小型、微型企业且全部工程内容自行承担的，或者</w:t>
            </w:r>
            <w:r>
              <w:rPr>
                <w:rStyle w:val="20"/>
                <w:rFonts w:hint="eastAsia" w:ascii="宋体" w:hAnsi="宋体" w:cs="宋体"/>
                <w:b w:val="0"/>
                <w:bCs w:val="0"/>
                <w:i w:val="0"/>
                <w:iCs w:val="0"/>
                <w:smallCaps w:val="0"/>
                <w:color w:val="auto"/>
                <w:kern w:val="0"/>
                <w:sz w:val="21"/>
                <w:szCs w:val="21"/>
                <w:highlight w:val="none"/>
                <w:lang w:eastAsia="zh-CN"/>
              </w:rPr>
              <w:t>投标单位</w:t>
            </w:r>
            <w:r>
              <w:rPr>
                <w:rStyle w:val="20"/>
                <w:rFonts w:ascii="宋体" w:hAnsi="宋体" w:cs="宋体"/>
                <w:b w:val="0"/>
                <w:bCs w:val="0"/>
                <w:i w:val="0"/>
                <w:iCs w:val="0"/>
                <w:smallCaps w:val="0"/>
                <w:color w:val="auto"/>
                <w:kern w:val="0"/>
                <w:sz w:val="21"/>
                <w:szCs w:val="21"/>
                <w:highlight w:val="none"/>
              </w:rPr>
              <w:t>为小型、微型企业并将部分工作分包给小型、微型企业的视同符合本条要求。（3）本项目采购标的对应的中小企业划分标准所属行业：建筑业。投标人应对照《工业和信息化部、国家统计局、国家发展和改革委员会、财政部关于印发中小企业划型标准规定的通知》（工信部联企业</w:t>
            </w:r>
            <w:r>
              <w:rPr>
                <w:rStyle w:val="20"/>
                <w:rFonts w:hint="eastAsia" w:ascii="宋体" w:hAnsi="宋体" w:cs="宋体"/>
                <w:b w:val="0"/>
                <w:bCs w:val="0"/>
                <w:i w:val="0"/>
                <w:iCs w:val="0"/>
                <w:smallCaps w:val="0"/>
                <w:color w:val="auto"/>
                <w:kern w:val="0"/>
                <w:sz w:val="21"/>
                <w:szCs w:val="21"/>
                <w:highlight w:val="none"/>
                <w:lang w:eastAsia="zh-CN"/>
              </w:rPr>
              <w:t>〔2011〕300号</w:t>
            </w:r>
            <w:r>
              <w:rPr>
                <w:rStyle w:val="20"/>
                <w:rFonts w:ascii="宋体" w:hAnsi="宋体" w:cs="宋体"/>
                <w:b w:val="0"/>
                <w:bCs w:val="0"/>
                <w:i w:val="0"/>
                <w:iCs w:val="0"/>
                <w:smallCaps w:val="0"/>
                <w:color w:val="auto"/>
                <w:kern w:val="0"/>
                <w:sz w:val="21"/>
                <w:szCs w:val="21"/>
                <w:highlight w:val="none"/>
              </w:rPr>
              <w:t>）规定的划分标准确定企业规模。（4）根据《关于促进残疾人就业政府采购政策的通知》财库〔2017〕141号、财政部《司法部关于政府采购支持监狱企业发展有关问题的通知》财库〔2014〕68号的规定，残疾人福利性单位、监狱企业视同小型和微型企业。（5）小微企业不得将合同分包给大中型企业，中型企业不得将合同分包给大型企业。</w:t>
            </w:r>
            <w:r>
              <w:rPr>
                <w:rStyle w:val="20"/>
                <w:rFonts w:hint="eastAsia" w:ascii="宋体" w:hAnsi="宋体" w:cs="宋体"/>
                <w:b w:val="0"/>
                <w:bCs w:val="0"/>
                <w:i w:val="0"/>
                <w:iCs w:val="0"/>
                <w:smallCaps w:val="0"/>
                <w:color w:val="auto"/>
                <w:kern w:val="0"/>
                <w:sz w:val="21"/>
                <w:szCs w:val="21"/>
                <w:highlight w:val="none"/>
                <w:lang w:eastAsia="zh-CN"/>
              </w:rPr>
              <w:t>（</w:t>
            </w:r>
            <w:r>
              <w:rPr>
                <w:rStyle w:val="20"/>
                <w:rFonts w:ascii="宋体" w:hAnsi="宋体" w:cs="宋体"/>
                <w:b w:val="0"/>
                <w:bCs w:val="0"/>
                <w:i w:val="0"/>
                <w:iCs w:val="0"/>
                <w:smallCaps w:val="0"/>
                <w:color w:val="auto"/>
                <w:kern w:val="0"/>
                <w:sz w:val="21"/>
                <w:szCs w:val="21"/>
                <w:highlight w:val="none"/>
              </w:rPr>
              <w:t>接受分包的企业，不得再次转包</w:t>
            </w:r>
            <w:r>
              <w:rPr>
                <w:rStyle w:val="20"/>
                <w:rFonts w:hint="eastAsia" w:ascii="宋体" w:hAnsi="宋体" w:cs="宋体"/>
                <w:b w:val="0"/>
                <w:bCs w:val="0"/>
                <w:i w:val="0"/>
                <w:iCs w:val="0"/>
                <w:smallCaps w:val="0"/>
                <w:color w:val="auto"/>
                <w:kern w:val="0"/>
                <w:sz w:val="21"/>
                <w:szCs w:val="21"/>
                <w:highlight w:val="none"/>
                <w:lang w:eastAsia="zh-CN"/>
              </w:rPr>
              <w:t>）</w:t>
            </w:r>
            <w:r>
              <w:rPr>
                <w:rStyle w:val="20"/>
                <w:rFonts w:ascii="宋体" w:hAnsi="宋体" w:cs="宋体"/>
                <w:b w:val="0"/>
                <w:bCs w:val="0"/>
                <w:i w:val="0"/>
                <w:iCs w:val="0"/>
                <w:smallCaps w:val="0"/>
                <w:color w:val="auto"/>
                <w:kern w:val="0"/>
                <w:sz w:val="21"/>
                <w:szCs w:val="21"/>
                <w:highlight w:val="none"/>
              </w:rPr>
              <w:t>。（6）接受分包合同的中小企业与分包企业之间不得存在直接控股、管理关系。（7）分包给中小企业的部分，必须全部由中小企业承接，在《分包意向协议</w:t>
            </w:r>
            <w:r>
              <w:rPr>
                <w:rStyle w:val="20"/>
                <w:rFonts w:hint="eastAsia" w:ascii="宋体" w:hAnsi="宋体" w:cs="宋体"/>
                <w:b w:val="0"/>
                <w:bCs w:val="0"/>
                <w:i w:val="0"/>
                <w:iCs w:val="0"/>
                <w:smallCaps w:val="0"/>
                <w:color w:val="auto"/>
                <w:kern w:val="0"/>
                <w:sz w:val="21"/>
                <w:szCs w:val="21"/>
                <w:highlight w:val="none"/>
                <w:lang w:eastAsia="zh-CN"/>
              </w:rPr>
              <w:t>》中</w:t>
            </w:r>
            <w:r>
              <w:rPr>
                <w:rStyle w:val="20"/>
                <w:rFonts w:ascii="宋体" w:hAnsi="宋体" w:cs="宋体"/>
                <w:b w:val="0"/>
                <w:bCs w:val="0"/>
                <w:i w:val="0"/>
                <w:iCs w:val="0"/>
                <w:smallCaps w:val="0"/>
                <w:color w:val="auto"/>
                <w:kern w:val="0"/>
                <w:sz w:val="21"/>
                <w:szCs w:val="21"/>
                <w:highlight w:val="none"/>
              </w:rPr>
              <w:t>明确中小企业的具体分包内容。</w:t>
            </w:r>
            <w:r>
              <w:rPr>
                <w:rStyle w:val="20"/>
                <w:rFonts w:ascii="宋体" w:hAnsi="宋体" w:cs="宋体"/>
                <w:b w:val="0"/>
                <w:bCs w:val="0"/>
                <w:i w:val="0"/>
                <w:iCs w:val="0"/>
                <w:smallCaps w:val="0"/>
                <w:color w:val="auto"/>
                <w:kern w:val="0"/>
                <w:sz w:val="21"/>
                <w:szCs w:val="21"/>
                <w:highlight w:val="none"/>
              </w:rPr>
              <w:br w:type="textWrapping"/>
            </w:r>
            <w:r>
              <w:rPr>
                <w:rStyle w:val="20"/>
                <w:rFonts w:ascii="宋体" w:hAnsi="宋体" w:cs="宋体"/>
                <w:b w:val="0"/>
                <w:bCs w:val="0"/>
                <w:i w:val="0"/>
                <w:iCs w:val="0"/>
                <w:smallCaps w:val="0"/>
                <w:color w:val="auto"/>
                <w:kern w:val="0"/>
                <w:sz w:val="21"/>
                <w:szCs w:val="21"/>
                <w:highlight w:val="none"/>
              </w:rPr>
              <w:t>5.允许互跨专业承接同等级业务：</w:t>
            </w:r>
            <w:r>
              <w:rPr>
                <w:rStyle w:val="20"/>
                <w:rFonts w:hint="eastAsia" w:ascii="宋体" w:hAnsi="宋体" w:cs="宋体"/>
                <w:b w:val="0"/>
                <w:bCs w:val="0"/>
                <w:i w:val="0"/>
                <w:iCs w:val="0"/>
                <w:smallCaps w:val="0"/>
                <w:color w:val="auto"/>
                <w:kern w:val="0"/>
                <w:sz w:val="21"/>
                <w:szCs w:val="21"/>
                <w:highlight w:val="none"/>
                <w:lang w:eastAsia="zh-CN"/>
              </w:rPr>
              <w:t>否</w:t>
            </w:r>
            <w:r>
              <w:rPr>
                <w:rStyle w:val="20"/>
                <w:rFonts w:ascii="宋体" w:hAnsi="宋体" w:cs="宋体"/>
                <w:b w:val="0"/>
                <w:bCs w:val="0"/>
                <w:i w:val="0"/>
                <w:iCs w:val="0"/>
                <w:smallCaps w:val="0"/>
                <w:color w:val="auto"/>
                <w:kern w:val="0"/>
                <w:sz w:val="21"/>
                <w:szCs w:val="21"/>
                <w:highlight w:val="none"/>
              </w:rPr>
              <w:t xml:space="preserve"> </w:t>
            </w:r>
          </w:p>
        </w:tc>
      </w:tr>
      <w:tr w14:paraId="148A0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jc w:val="center"/>
        </w:trPr>
        <w:tc>
          <w:tcPr>
            <w:tcW w:w="0" w:type="auto"/>
            <w:noWrap w:val="0"/>
            <w:tcMar>
              <w:top w:w="15" w:type="dxa"/>
              <w:left w:w="15" w:type="dxa"/>
              <w:bottom w:w="15" w:type="dxa"/>
              <w:right w:w="15" w:type="dxa"/>
            </w:tcMar>
            <w:vAlign w:val="center"/>
          </w:tcPr>
          <w:p w14:paraId="7AEB53FF">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ascii="宋体" w:hAnsi="宋体" w:cs="宋体"/>
                <w:b w:val="0"/>
                <w:bCs w:val="0"/>
                <w:i w:val="0"/>
                <w:iCs w:val="0"/>
                <w:smallCaps w:val="0"/>
                <w:color w:val="auto"/>
                <w:kern w:val="0"/>
                <w:sz w:val="21"/>
                <w:szCs w:val="21"/>
                <w:highlight w:val="none"/>
              </w:rPr>
            </w:pPr>
            <w:r>
              <w:rPr>
                <w:rStyle w:val="20"/>
                <w:rFonts w:ascii="宋体" w:hAnsi="宋体" w:cs="宋体"/>
                <w:b/>
                <w:bCs/>
                <w:i w:val="0"/>
                <w:iCs w:val="0"/>
                <w:smallCaps w:val="0"/>
                <w:color w:val="auto"/>
                <w:kern w:val="0"/>
                <w:sz w:val="21"/>
                <w:szCs w:val="21"/>
                <w:highlight w:val="none"/>
              </w:rPr>
              <w:t>四、投标</w:t>
            </w:r>
          </w:p>
        </w:tc>
      </w:tr>
      <w:tr w14:paraId="74FE7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jc w:val="center"/>
        </w:trPr>
        <w:tc>
          <w:tcPr>
            <w:tcW w:w="0" w:type="auto"/>
            <w:noWrap w:val="0"/>
            <w:tcMar>
              <w:top w:w="15" w:type="dxa"/>
              <w:left w:w="15" w:type="dxa"/>
              <w:bottom w:w="15" w:type="dxa"/>
              <w:right w:w="15" w:type="dxa"/>
            </w:tcMar>
            <w:vAlign w:val="center"/>
          </w:tcPr>
          <w:p w14:paraId="5F1E20EA">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ascii="宋体" w:hAnsi="宋体" w:cs="宋体"/>
                <w:b w:val="0"/>
                <w:bCs w:val="0"/>
                <w:i w:val="0"/>
                <w:iCs w:val="0"/>
                <w:smallCaps w:val="0"/>
                <w:color w:val="auto"/>
                <w:kern w:val="0"/>
                <w:sz w:val="21"/>
                <w:szCs w:val="21"/>
                <w:highlight w:val="none"/>
              </w:rPr>
            </w:pPr>
            <w:r>
              <w:rPr>
                <w:rStyle w:val="20"/>
                <w:rFonts w:ascii="宋体" w:hAnsi="宋体" w:cs="宋体"/>
                <w:b w:val="0"/>
                <w:bCs w:val="0"/>
                <w:i w:val="0"/>
                <w:iCs w:val="0"/>
                <w:smallCaps w:val="0"/>
                <w:color w:val="auto"/>
                <w:kern w:val="0"/>
                <w:sz w:val="21"/>
                <w:szCs w:val="21"/>
                <w:highlight w:val="none"/>
              </w:rPr>
              <w:t>1.开标时间</w:t>
            </w:r>
            <w:r>
              <w:rPr>
                <w:rStyle w:val="20"/>
                <w:rFonts w:hint="eastAsia" w:ascii="宋体" w:hAnsi="宋体" w:cs="宋体"/>
                <w:b w:val="0"/>
                <w:bCs w:val="0"/>
                <w:i w:val="0"/>
                <w:iCs w:val="0"/>
                <w:smallCaps w:val="0"/>
                <w:color w:val="auto"/>
                <w:kern w:val="0"/>
                <w:sz w:val="21"/>
                <w:szCs w:val="21"/>
                <w:highlight w:val="none"/>
                <w:lang w:eastAsia="zh-CN"/>
              </w:rPr>
              <w:t>：</w:t>
            </w:r>
            <w:r>
              <w:rPr>
                <w:rStyle w:val="20"/>
                <w:rFonts w:ascii="宋体" w:hAnsi="宋体" w:cs="宋体"/>
                <w:b w:val="0"/>
                <w:bCs w:val="0"/>
                <w:i w:val="0"/>
                <w:iCs w:val="0"/>
                <w:smallCaps w:val="0"/>
                <w:color w:val="auto"/>
                <w:kern w:val="0"/>
                <w:sz w:val="21"/>
                <w:szCs w:val="21"/>
                <w:highlight w:val="none"/>
              </w:rPr>
              <w:t>202</w:t>
            </w:r>
            <w:r>
              <w:rPr>
                <w:rStyle w:val="20"/>
                <w:rFonts w:hint="eastAsia" w:ascii="宋体" w:hAnsi="宋体" w:cs="宋体"/>
                <w:b w:val="0"/>
                <w:bCs w:val="0"/>
                <w:i w:val="0"/>
                <w:iCs w:val="0"/>
                <w:smallCaps w:val="0"/>
                <w:color w:val="auto"/>
                <w:kern w:val="0"/>
                <w:sz w:val="21"/>
                <w:szCs w:val="21"/>
                <w:highlight w:val="none"/>
                <w:lang w:val="en-US" w:eastAsia="zh-CN"/>
              </w:rPr>
              <w:t>6</w:t>
            </w:r>
            <w:r>
              <w:rPr>
                <w:rStyle w:val="20"/>
                <w:rFonts w:ascii="宋体" w:hAnsi="宋体" w:cs="宋体"/>
                <w:b w:val="0"/>
                <w:bCs w:val="0"/>
                <w:i w:val="0"/>
                <w:iCs w:val="0"/>
                <w:smallCaps w:val="0"/>
                <w:color w:val="auto"/>
                <w:kern w:val="0"/>
                <w:sz w:val="21"/>
                <w:szCs w:val="21"/>
                <w:highlight w:val="none"/>
              </w:rPr>
              <w:t>年</w:t>
            </w:r>
            <w:r>
              <w:rPr>
                <w:rStyle w:val="20"/>
                <w:rFonts w:hint="eastAsia" w:ascii="宋体" w:hAnsi="宋体" w:cs="宋体"/>
                <w:b w:val="0"/>
                <w:bCs w:val="0"/>
                <w:i w:val="0"/>
                <w:iCs w:val="0"/>
                <w:smallCaps w:val="0"/>
                <w:color w:val="auto"/>
                <w:kern w:val="0"/>
                <w:sz w:val="21"/>
                <w:szCs w:val="21"/>
                <w:highlight w:val="none"/>
                <w:lang w:val="en-US" w:eastAsia="zh-CN"/>
              </w:rPr>
              <w:t>9</w:t>
            </w:r>
            <w:r>
              <w:rPr>
                <w:rStyle w:val="20"/>
                <w:rFonts w:ascii="宋体" w:hAnsi="宋体" w:cs="宋体"/>
                <w:b w:val="0"/>
                <w:bCs w:val="0"/>
                <w:i w:val="0"/>
                <w:iCs w:val="0"/>
                <w:smallCaps w:val="0"/>
                <w:color w:val="auto"/>
                <w:kern w:val="0"/>
                <w:sz w:val="21"/>
                <w:szCs w:val="21"/>
                <w:highlight w:val="none"/>
              </w:rPr>
              <w:t>月</w:t>
            </w:r>
            <w:r>
              <w:rPr>
                <w:rStyle w:val="20"/>
                <w:rFonts w:hint="eastAsia" w:ascii="宋体" w:hAnsi="宋体" w:cs="宋体"/>
                <w:b w:val="0"/>
                <w:bCs w:val="0"/>
                <w:i w:val="0"/>
                <w:iCs w:val="0"/>
                <w:smallCaps w:val="0"/>
                <w:color w:val="auto"/>
                <w:kern w:val="0"/>
                <w:sz w:val="21"/>
                <w:szCs w:val="21"/>
                <w:highlight w:val="none"/>
                <w:lang w:val="en-US" w:eastAsia="zh-CN"/>
              </w:rPr>
              <w:t xml:space="preserve">  </w:t>
            </w:r>
            <w:r>
              <w:rPr>
                <w:rStyle w:val="20"/>
                <w:rFonts w:ascii="宋体" w:hAnsi="宋体" w:cs="宋体"/>
                <w:b w:val="0"/>
                <w:bCs w:val="0"/>
                <w:i w:val="0"/>
                <w:iCs w:val="0"/>
                <w:smallCaps w:val="0"/>
                <w:color w:val="auto"/>
                <w:kern w:val="0"/>
                <w:sz w:val="21"/>
                <w:szCs w:val="21"/>
                <w:highlight w:val="none"/>
              </w:rPr>
              <w:t>日09</w:t>
            </w:r>
            <w:r>
              <w:rPr>
                <w:rStyle w:val="20"/>
                <w:rFonts w:hint="eastAsia" w:ascii="宋体" w:hAnsi="宋体" w:cs="宋体"/>
                <w:b w:val="0"/>
                <w:bCs w:val="0"/>
                <w:i w:val="0"/>
                <w:iCs w:val="0"/>
                <w:smallCaps w:val="0"/>
                <w:color w:val="auto"/>
                <w:kern w:val="0"/>
                <w:sz w:val="21"/>
                <w:szCs w:val="21"/>
                <w:highlight w:val="none"/>
                <w:lang w:eastAsia="zh-CN"/>
              </w:rPr>
              <w:t>:</w:t>
            </w:r>
            <w:r>
              <w:rPr>
                <w:rStyle w:val="20"/>
                <w:rFonts w:ascii="宋体" w:hAnsi="宋体" w:cs="宋体"/>
                <w:b w:val="0"/>
                <w:bCs w:val="0"/>
                <w:i w:val="0"/>
                <w:iCs w:val="0"/>
                <w:smallCaps w:val="0"/>
                <w:color w:val="auto"/>
                <w:kern w:val="0"/>
                <w:sz w:val="21"/>
                <w:szCs w:val="21"/>
                <w:highlight w:val="none"/>
              </w:rPr>
              <w:t>30</w:t>
            </w:r>
          </w:p>
        </w:tc>
      </w:tr>
      <w:tr w14:paraId="5FE4C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jc w:val="center"/>
        </w:trPr>
        <w:tc>
          <w:tcPr>
            <w:tcW w:w="0" w:type="auto"/>
            <w:noWrap w:val="0"/>
            <w:tcMar>
              <w:top w:w="15" w:type="dxa"/>
              <w:left w:w="15" w:type="dxa"/>
              <w:bottom w:w="15" w:type="dxa"/>
              <w:right w:w="15" w:type="dxa"/>
            </w:tcMar>
            <w:vAlign w:val="center"/>
          </w:tcPr>
          <w:p w14:paraId="1A0F7705">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ascii="宋体" w:hAnsi="宋体" w:cs="宋体"/>
                <w:b w:val="0"/>
                <w:bCs w:val="0"/>
                <w:i w:val="0"/>
                <w:iCs w:val="0"/>
                <w:smallCaps w:val="0"/>
                <w:color w:val="auto"/>
                <w:kern w:val="0"/>
                <w:sz w:val="21"/>
                <w:szCs w:val="21"/>
                <w:highlight w:val="none"/>
              </w:rPr>
            </w:pPr>
            <w:r>
              <w:rPr>
                <w:rStyle w:val="20"/>
                <w:rFonts w:ascii="宋体" w:hAnsi="宋体" w:cs="宋体"/>
                <w:b w:val="0"/>
                <w:bCs w:val="0"/>
                <w:i w:val="0"/>
                <w:iCs w:val="0"/>
                <w:smallCaps w:val="0"/>
                <w:color w:val="auto"/>
                <w:kern w:val="0"/>
                <w:sz w:val="21"/>
                <w:szCs w:val="21"/>
                <w:highlight w:val="none"/>
              </w:rPr>
              <w:t>2.投标文件递交方式</w:t>
            </w:r>
            <w:r>
              <w:rPr>
                <w:rStyle w:val="20"/>
                <w:rFonts w:hint="eastAsia" w:ascii="宋体" w:hAnsi="宋体" w:cs="宋体"/>
                <w:b w:val="0"/>
                <w:bCs w:val="0"/>
                <w:i w:val="0"/>
                <w:iCs w:val="0"/>
                <w:smallCaps w:val="0"/>
                <w:color w:val="auto"/>
                <w:kern w:val="0"/>
                <w:sz w:val="21"/>
                <w:szCs w:val="21"/>
                <w:highlight w:val="none"/>
                <w:lang w:eastAsia="zh-CN"/>
              </w:rPr>
              <w:t>：</w:t>
            </w:r>
            <w:r>
              <w:rPr>
                <w:rStyle w:val="20"/>
                <w:rFonts w:ascii="宋体" w:hAnsi="宋体" w:cs="宋体"/>
                <w:b w:val="0"/>
                <w:bCs w:val="0"/>
                <w:i w:val="0"/>
                <w:iCs w:val="0"/>
                <w:smallCaps w:val="0"/>
                <w:color w:val="auto"/>
                <w:kern w:val="0"/>
                <w:sz w:val="21"/>
                <w:szCs w:val="21"/>
                <w:highlight w:val="none"/>
              </w:rPr>
              <w:t xml:space="preserve">网上递交 </w:t>
            </w:r>
          </w:p>
        </w:tc>
      </w:tr>
      <w:tr w14:paraId="0AD64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jc w:val="center"/>
        </w:trPr>
        <w:tc>
          <w:tcPr>
            <w:tcW w:w="0" w:type="auto"/>
            <w:noWrap w:val="0"/>
            <w:tcMar>
              <w:top w:w="15" w:type="dxa"/>
              <w:left w:w="15" w:type="dxa"/>
              <w:bottom w:w="15" w:type="dxa"/>
              <w:right w:w="15" w:type="dxa"/>
            </w:tcMar>
            <w:vAlign w:val="center"/>
          </w:tcPr>
          <w:p w14:paraId="2B07A5E6">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ascii="宋体" w:hAnsi="宋体" w:cs="宋体"/>
                <w:b w:val="0"/>
                <w:bCs w:val="0"/>
                <w:i w:val="0"/>
                <w:iCs w:val="0"/>
                <w:smallCaps w:val="0"/>
                <w:color w:val="auto"/>
                <w:kern w:val="0"/>
                <w:sz w:val="21"/>
                <w:szCs w:val="21"/>
                <w:highlight w:val="none"/>
              </w:rPr>
            </w:pPr>
            <w:r>
              <w:rPr>
                <w:rStyle w:val="20"/>
                <w:rFonts w:ascii="宋体" w:hAnsi="宋体" w:cs="宋体"/>
                <w:b w:val="0"/>
                <w:bCs w:val="0"/>
                <w:i w:val="0"/>
                <w:iCs w:val="0"/>
                <w:smallCaps w:val="0"/>
                <w:color w:val="auto"/>
                <w:kern w:val="0"/>
                <w:sz w:val="21"/>
                <w:szCs w:val="21"/>
                <w:highlight w:val="none"/>
              </w:rPr>
              <w:t>3.递交网址</w:t>
            </w:r>
            <w:r>
              <w:rPr>
                <w:rStyle w:val="20"/>
                <w:rFonts w:hint="eastAsia" w:ascii="宋体" w:hAnsi="宋体" w:cs="宋体"/>
                <w:b w:val="0"/>
                <w:bCs w:val="0"/>
                <w:i w:val="0"/>
                <w:iCs w:val="0"/>
                <w:smallCaps w:val="0"/>
                <w:color w:val="auto"/>
                <w:kern w:val="0"/>
                <w:sz w:val="21"/>
                <w:szCs w:val="21"/>
                <w:highlight w:val="none"/>
                <w:lang w:eastAsia="zh-CN"/>
              </w:rPr>
              <w:t>：</w:t>
            </w:r>
            <w:r>
              <w:rPr>
                <w:rStyle w:val="20"/>
                <w:rFonts w:ascii="宋体" w:hAnsi="宋体" w:cs="宋体"/>
                <w:b w:val="0"/>
                <w:bCs w:val="0"/>
                <w:i w:val="0"/>
                <w:iCs w:val="0"/>
                <w:smallCaps w:val="0"/>
                <w:color w:val="auto"/>
                <w:kern w:val="0"/>
                <w:sz w:val="21"/>
                <w:szCs w:val="21"/>
                <w:highlight w:val="none"/>
              </w:rPr>
              <w:t>请到辽宁省建设工程投标盲盒系统https</w:t>
            </w:r>
            <w:r>
              <w:rPr>
                <w:rStyle w:val="20"/>
                <w:rFonts w:hint="eastAsia" w:ascii="宋体" w:hAnsi="宋体" w:cs="宋体"/>
                <w:b w:val="0"/>
                <w:bCs w:val="0"/>
                <w:i w:val="0"/>
                <w:iCs w:val="0"/>
                <w:smallCaps w:val="0"/>
                <w:color w:val="auto"/>
                <w:kern w:val="0"/>
                <w:sz w:val="21"/>
                <w:szCs w:val="21"/>
                <w:highlight w:val="none"/>
                <w:lang w:eastAsia="zh-CN"/>
              </w:rPr>
              <w:t>：</w:t>
            </w:r>
            <w:r>
              <w:rPr>
                <w:rStyle w:val="20"/>
                <w:rFonts w:ascii="宋体" w:hAnsi="宋体" w:cs="宋体"/>
                <w:b w:val="0"/>
                <w:bCs w:val="0"/>
                <w:i w:val="0"/>
                <w:iCs w:val="0"/>
                <w:smallCaps w:val="0"/>
                <w:color w:val="auto"/>
                <w:kern w:val="0"/>
                <w:sz w:val="21"/>
                <w:szCs w:val="21"/>
                <w:highlight w:val="none"/>
              </w:rPr>
              <w:t xml:space="preserve">//xbox.lnzb.com网上递交 </w:t>
            </w:r>
          </w:p>
        </w:tc>
      </w:tr>
      <w:tr w14:paraId="21FE3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jc w:val="center"/>
        </w:trPr>
        <w:tc>
          <w:tcPr>
            <w:tcW w:w="0" w:type="auto"/>
            <w:noWrap w:val="0"/>
            <w:tcMar>
              <w:top w:w="15" w:type="dxa"/>
              <w:left w:w="15" w:type="dxa"/>
              <w:bottom w:w="15" w:type="dxa"/>
              <w:right w:w="15" w:type="dxa"/>
            </w:tcMar>
            <w:vAlign w:val="center"/>
          </w:tcPr>
          <w:p w14:paraId="0CD049AF">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ascii="宋体" w:hAnsi="宋体" w:cs="宋体"/>
                <w:b w:val="0"/>
                <w:bCs w:val="0"/>
                <w:i w:val="0"/>
                <w:iCs w:val="0"/>
                <w:smallCaps w:val="0"/>
                <w:color w:val="auto"/>
                <w:kern w:val="0"/>
                <w:sz w:val="21"/>
                <w:szCs w:val="21"/>
                <w:highlight w:val="none"/>
              </w:rPr>
            </w:pPr>
            <w:r>
              <w:rPr>
                <w:rStyle w:val="20"/>
                <w:rFonts w:ascii="宋体" w:hAnsi="宋体" w:cs="宋体"/>
                <w:b w:val="0"/>
                <w:bCs w:val="0"/>
                <w:i w:val="0"/>
                <w:iCs w:val="0"/>
                <w:smallCaps w:val="0"/>
                <w:color w:val="auto"/>
                <w:kern w:val="0"/>
                <w:sz w:val="21"/>
                <w:szCs w:val="21"/>
                <w:highlight w:val="none"/>
              </w:rPr>
              <w:t>4.开标方式</w:t>
            </w:r>
            <w:r>
              <w:rPr>
                <w:rStyle w:val="20"/>
                <w:rFonts w:hint="eastAsia" w:ascii="宋体" w:hAnsi="宋体" w:cs="宋体"/>
                <w:b w:val="0"/>
                <w:bCs w:val="0"/>
                <w:i w:val="0"/>
                <w:iCs w:val="0"/>
                <w:smallCaps w:val="0"/>
                <w:color w:val="auto"/>
                <w:kern w:val="0"/>
                <w:sz w:val="21"/>
                <w:szCs w:val="21"/>
                <w:highlight w:val="none"/>
                <w:lang w:eastAsia="zh-CN"/>
              </w:rPr>
              <w:t>：</w:t>
            </w:r>
            <w:r>
              <w:rPr>
                <w:rStyle w:val="20"/>
                <w:rFonts w:ascii="宋体" w:hAnsi="宋体" w:cs="宋体"/>
                <w:b w:val="0"/>
                <w:bCs w:val="0"/>
                <w:i w:val="0"/>
                <w:iCs w:val="0"/>
                <w:smallCaps w:val="0"/>
                <w:color w:val="auto"/>
                <w:kern w:val="0"/>
                <w:sz w:val="21"/>
                <w:szCs w:val="21"/>
                <w:highlight w:val="none"/>
              </w:rPr>
              <w:t xml:space="preserve">远程开标（不见面交易） </w:t>
            </w:r>
          </w:p>
        </w:tc>
      </w:tr>
      <w:tr w14:paraId="6487E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jc w:val="center"/>
        </w:trPr>
        <w:tc>
          <w:tcPr>
            <w:tcW w:w="0" w:type="auto"/>
            <w:noWrap w:val="0"/>
            <w:tcMar>
              <w:top w:w="15" w:type="dxa"/>
              <w:left w:w="15" w:type="dxa"/>
              <w:bottom w:w="15" w:type="dxa"/>
              <w:right w:w="15" w:type="dxa"/>
            </w:tcMar>
            <w:vAlign w:val="center"/>
          </w:tcPr>
          <w:p w14:paraId="22799538">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ascii="宋体" w:hAnsi="宋体" w:cs="宋体"/>
                <w:b w:val="0"/>
                <w:bCs w:val="0"/>
                <w:i w:val="0"/>
                <w:iCs w:val="0"/>
                <w:smallCaps w:val="0"/>
                <w:color w:val="auto"/>
                <w:kern w:val="0"/>
                <w:sz w:val="21"/>
                <w:szCs w:val="21"/>
                <w:highlight w:val="none"/>
              </w:rPr>
            </w:pPr>
            <w:r>
              <w:rPr>
                <w:rStyle w:val="20"/>
                <w:rFonts w:ascii="宋体" w:hAnsi="宋体" w:cs="宋体"/>
                <w:b w:val="0"/>
                <w:bCs w:val="0"/>
                <w:i w:val="0"/>
                <w:iCs w:val="0"/>
                <w:smallCaps w:val="0"/>
                <w:color w:val="auto"/>
                <w:kern w:val="0"/>
                <w:sz w:val="21"/>
                <w:szCs w:val="21"/>
                <w:highlight w:val="none"/>
              </w:rPr>
              <w:t>5.开标说明</w:t>
            </w:r>
            <w:r>
              <w:rPr>
                <w:rStyle w:val="20"/>
                <w:rFonts w:hint="eastAsia" w:ascii="宋体" w:hAnsi="宋体" w:cs="宋体"/>
                <w:b w:val="0"/>
                <w:bCs w:val="0"/>
                <w:i w:val="0"/>
                <w:iCs w:val="0"/>
                <w:smallCaps w:val="0"/>
                <w:color w:val="auto"/>
                <w:kern w:val="0"/>
                <w:sz w:val="21"/>
                <w:szCs w:val="21"/>
                <w:highlight w:val="none"/>
                <w:lang w:eastAsia="zh-CN"/>
              </w:rPr>
              <w:t>：</w:t>
            </w:r>
            <w:r>
              <w:rPr>
                <w:rStyle w:val="20"/>
                <w:rFonts w:ascii="宋体" w:hAnsi="宋体" w:cs="宋体"/>
                <w:b w:val="0"/>
                <w:bCs w:val="0"/>
                <w:i w:val="0"/>
                <w:iCs w:val="0"/>
                <w:smallCaps w:val="0"/>
                <w:color w:val="auto"/>
                <w:kern w:val="0"/>
                <w:sz w:val="21"/>
                <w:szCs w:val="21"/>
                <w:highlight w:val="none"/>
              </w:rPr>
              <w:t>请按招标文件规定时间登录</w:t>
            </w:r>
            <w:r>
              <w:rPr>
                <w:rStyle w:val="20"/>
                <w:rFonts w:hint="eastAsia" w:ascii="宋体" w:hAnsi="宋体" w:cs="宋体"/>
                <w:b w:val="0"/>
                <w:bCs w:val="0"/>
                <w:i w:val="0"/>
                <w:iCs w:val="0"/>
                <w:smallCaps w:val="0"/>
                <w:color w:val="auto"/>
                <w:kern w:val="0"/>
                <w:sz w:val="21"/>
                <w:szCs w:val="21"/>
                <w:highlight w:val="none"/>
                <w:lang w:eastAsia="zh-CN"/>
              </w:rPr>
              <w:t>辽宁省工程建设项目数字化开标评标系统（https://dts.lnzb.com:8888/zjt-bid/)</w:t>
            </w:r>
            <w:r>
              <w:rPr>
                <w:rStyle w:val="20"/>
                <w:rFonts w:ascii="宋体" w:hAnsi="宋体" w:cs="宋体"/>
                <w:b w:val="0"/>
                <w:bCs w:val="0"/>
                <w:i w:val="0"/>
                <w:iCs w:val="0"/>
                <w:smallCaps w:val="0"/>
                <w:color w:val="auto"/>
                <w:kern w:val="0"/>
                <w:sz w:val="21"/>
                <w:szCs w:val="21"/>
                <w:highlight w:val="none"/>
              </w:rPr>
              <w:t xml:space="preserve"> 进行远程、在线解密。</w:t>
            </w:r>
          </w:p>
        </w:tc>
      </w:tr>
      <w:tr w14:paraId="7CA81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jc w:val="center"/>
        </w:trPr>
        <w:tc>
          <w:tcPr>
            <w:tcW w:w="0" w:type="auto"/>
            <w:noWrap w:val="0"/>
            <w:tcMar>
              <w:top w:w="15" w:type="dxa"/>
              <w:left w:w="15" w:type="dxa"/>
              <w:bottom w:w="15" w:type="dxa"/>
              <w:right w:w="15" w:type="dxa"/>
            </w:tcMar>
            <w:vAlign w:val="center"/>
          </w:tcPr>
          <w:p w14:paraId="11314019">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ascii="宋体" w:hAnsi="宋体" w:cs="宋体"/>
                <w:b w:val="0"/>
                <w:bCs w:val="0"/>
                <w:i w:val="0"/>
                <w:iCs w:val="0"/>
                <w:smallCaps w:val="0"/>
                <w:color w:val="auto"/>
                <w:kern w:val="0"/>
                <w:sz w:val="21"/>
                <w:szCs w:val="21"/>
                <w:highlight w:val="none"/>
              </w:rPr>
            </w:pPr>
            <w:r>
              <w:rPr>
                <w:rStyle w:val="20"/>
                <w:rFonts w:ascii="宋体" w:hAnsi="宋体" w:cs="宋体"/>
                <w:b/>
                <w:bCs/>
                <w:i w:val="0"/>
                <w:iCs w:val="0"/>
                <w:smallCaps w:val="0"/>
                <w:color w:val="auto"/>
                <w:kern w:val="0"/>
                <w:sz w:val="21"/>
                <w:szCs w:val="21"/>
                <w:highlight w:val="none"/>
              </w:rPr>
              <w:t>五、招标文件的领取</w:t>
            </w:r>
          </w:p>
        </w:tc>
      </w:tr>
      <w:tr w14:paraId="3E9D1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jc w:val="center"/>
        </w:trPr>
        <w:tc>
          <w:tcPr>
            <w:tcW w:w="0" w:type="auto"/>
            <w:noWrap w:val="0"/>
            <w:tcMar>
              <w:top w:w="15" w:type="dxa"/>
              <w:left w:w="15" w:type="dxa"/>
              <w:bottom w:w="15" w:type="dxa"/>
              <w:right w:w="15" w:type="dxa"/>
            </w:tcMar>
            <w:vAlign w:val="center"/>
          </w:tcPr>
          <w:p w14:paraId="33A58465">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ascii="宋体" w:hAnsi="宋体" w:cs="宋体"/>
                <w:b w:val="0"/>
                <w:bCs w:val="0"/>
                <w:i w:val="0"/>
                <w:iCs w:val="0"/>
                <w:smallCaps w:val="0"/>
                <w:color w:val="auto"/>
                <w:kern w:val="0"/>
                <w:sz w:val="21"/>
                <w:szCs w:val="21"/>
                <w:highlight w:val="none"/>
              </w:rPr>
            </w:pPr>
            <w:r>
              <w:rPr>
                <w:rStyle w:val="20"/>
                <w:rFonts w:ascii="宋体" w:hAnsi="宋体" w:cs="宋体"/>
                <w:b w:val="0"/>
                <w:bCs w:val="0"/>
                <w:i w:val="0"/>
                <w:iCs w:val="0"/>
                <w:smallCaps w:val="0"/>
                <w:color w:val="auto"/>
                <w:kern w:val="0"/>
                <w:sz w:val="21"/>
                <w:szCs w:val="21"/>
                <w:highlight w:val="none"/>
              </w:rPr>
              <w:t>1.领取时间：202</w:t>
            </w:r>
            <w:r>
              <w:rPr>
                <w:rStyle w:val="20"/>
                <w:rFonts w:hint="eastAsia" w:ascii="宋体" w:hAnsi="宋体" w:cs="宋体"/>
                <w:b w:val="0"/>
                <w:bCs w:val="0"/>
                <w:i w:val="0"/>
                <w:iCs w:val="0"/>
                <w:smallCaps w:val="0"/>
                <w:color w:val="auto"/>
                <w:kern w:val="0"/>
                <w:sz w:val="21"/>
                <w:szCs w:val="21"/>
                <w:highlight w:val="none"/>
                <w:lang w:val="en-US" w:eastAsia="zh-CN"/>
              </w:rPr>
              <w:t>6</w:t>
            </w:r>
            <w:r>
              <w:rPr>
                <w:rStyle w:val="20"/>
                <w:rFonts w:ascii="宋体" w:hAnsi="宋体" w:cs="宋体"/>
                <w:b w:val="0"/>
                <w:bCs w:val="0"/>
                <w:i w:val="0"/>
                <w:iCs w:val="0"/>
                <w:smallCaps w:val="0"/>
                <w:color w:val="auto"/>
                <w:kern w:val="0"/>
                <w:sz w:val="21"/>
                <w:szCs w:val="21"/>
                <w:highlight w:val="none"/>
              </w:rPr>
              <w:t>年</w:t>
            </w:r>
            <w:r>
              <w:rPr>
                <w:rStyle w:val="20"/>
                <w:rFonts w:hint="eastAsia" w:ascii="宋体" w:hAnsi="宋体" w:cs="宋体"/>
                <w:b w:val="0"/>
                <w:bCs w:val="0"/>
                <w:i w:val="0"/>
                <w:iCs w:val="0"/>
                <w:smallCaps w:val="0"/>
                <w:color w:val="auto"/>
                <w:kern w:val="0"/>
                <w:sz w:val="21"/>
                <w:szCs w:val="21"/>
                <w:highlight w:val="none"/>
                <w:lang w:val="en-US" w:eastAsia="zh-CN"/>
              </w:rPr>
              <w:t>9</w:t>
            </w:r>
            <w:r>
              <w:rPr>
                <w:rStyle w:val="20"/>
                <w:rFonts w:ascii="宋体" w:hAnsi="宋体" w:cs="宋体"/>
                <w:b w:val="0"/>
                <w:bCs w:val="0"/>
                <w:i w:val="0"/>
                <w:iCs w:val="0"/>
                <w:smallCaps w:val="0"/>
                <w:color w:val="auto"/>
                <w:kern w:val="0"/>
                <w:sz w:val="21"/>
                <w:szCs w:val="21"/>
                <w:highlight w:val="none"/>
              </w:rPr>
              <w:t>月</w:t>
            </w:r>
            <w:r>
              <w:rPr>
                <w:rStyle w:val="20"/>
                <w:rFonts w:hint="eastAsia" w:ascii="宋体" w:hAnsi="宋体" w:cs="宋体"/>
                <w:b w:val="0"/>
                <w:bCs w:val="0"/>
                <w:i w:val="0"/>
                <w:iCs w:val="0"/>
                <w:smallCaps w:val="0"/>
                <w:color w:val="auto"/>
                <w:kern w:val="0"/>
                <w:sz w:val="21"/>
                <w:szCs w:val="21"/>
                <w:highlight w:val="none"/>
                <w:lang w:val="en-US" w:eastAsia="zh-CN"/>
              </w:rPr>
              <w:t xml:space="preserve">  </w:t>
            </w:r>
            <w:r>
              <w:rPr>
                <w:rStyle w:val="20"/>
                <w:rFonts w:ascii="宋体" w:hAnsi="宋体" w:cs="宋体"/>
                <w:b w:val="0"/>
                <w:bCs w:val="0"/>
                <w:i w:val="0"/>
                <w:iCs w:val="0"/>
                <w:smallCaps w:val="0"/>
                <w:color w:val="auto"/>
                <w:kern w:val="0"/>
                <w:sz w:val="21"/>
                <w:szCs w:val="21"/>
                <w:highlight w:val="none"/>
              </w:rPr>
              <w:t>日08时30分至202</w:t>
            </w:r>
            <w:r>
              <w:rPr>
                <w:rStyle w:val="20"/>
                <w:rFonts w:hint="eastAsia" w:ascii="宋体" w:hAnsi="宋体" w:cs="宋体"/>
                <w:b w:val="0"/>
                <w:bCs w:val="0"/>
                <w:i w:val="0"/>
                <w:iCs w:val="0"/>
                <w:smallCaps w:val="0"/>
                <w:color w:val="auto"/>
                <w:kern w:val="0"/>
                <w:sz w:val="21"/>
                <w:szCs w:val="21"/>
                <w:highlight w:val="none"/>
                <w:lang w:val="en-US" w:eastAsia="zh-CN"/>
              </w:rPr>
              <w:t>6</w:t>
            </w:r>
            <w:r>
              <w:rPr>
                <w:rStyle w:val="20"/>
                <w:rFonts w:ascii="宋体" w:hAnsi="宋体" w:cs="宋体"/>
                <w:b w:val="0"/>
                <w:bCs w:val="0"/>
                <w:i w:val="0"/>
                <w:iCs w:val="0"/>
                <w:smallCaps w:val="0"/>
                <w:color w:val="auto"/>
                <w:kern w:val="0"/>
                <w:sz w:val="21"/>
                <w:szCs w:val="21"/>
                <w:highlight w:val="none"/>
              </w:rPr>
              <w:t>年</w:t>
            </w:r>
            <w:r>
              <w:rPr>
                <w:rStyle w:val="20"/>
                <w:rFonts w:hint="eastAsia" w:ascii="宋体" w:hAnsi="宋体" w:cs="宋体"/>
                <w:b w:val="0"/>
                <w:bCs w:val="0"/>
                <w:i w:val="0"/>
                <w:iCs w:val="0"/>
                <w:smallCaps w:val="0"/>
                <w:color w:val="auto"/>
                <w:kern w:val="0"/>
                <w:sz w:val="21"/>
                <w:szCs w:val="21"/>
                <w:highlight w:val="none"/>
                <w:lang w:val="en-US" w:eastAsia="zh-CN"/>
              </w:rPr>
              <w:t>9</w:t>
            </w:r>
            <w:r>
              <w:rPr>
                <w:rStyle w:val="20"/>
                <w:rFonts w:ascii="宋体" w:hAnsi="宋体" w:cs="宋体"/>
                <w:b w:val="0"/>
                <w:bCs w:val="0"/>
                <w:i w:val="0"/>
                <w:iCs w:val="0"/>
                <w:smallCaps w:val="0"/>
                <w:color w:val="auto"/>
                <w:kern w:val="0"/>
                <w:sz w:val="21"/>
                <w:szCs w:val="21"/>
                <w:highlight w:val="none"/>
              </w:rPr>
              <w:t>月</w:t>
            </w:r>
            <w:r>
              <w:rPr>
                <w:rStyle w:val="20"/>
                <w:rFonts w:hint="eastAsia" w:ascii="宋体" w:hAnsi="宋体" w:cs="宋体"/>
                <w:b w:val="0"/>
                <w:bCs w:val="0"/>
                <w:i w:val="0"/>
                <w:iCs w:val="0"/>
                <w:smallCaps w:val="0"/>
                <w:color w:val="auto"/>
                <w:kern w:val="0"/>
                <w:sz w:val="21"/>
                <w:szCs w:val="21"/>
                <w:highlight w:val="none"/>
                <w:lang w:val="en-US" w:eastAsia="zh-CN"/>
              </w:rPr>
              <w:t xml:space="preserve">  </w:t>
            </w:r>
            <w:r>
              <w:rPr>
                <w:rStyle w:val="20"/>
                <w:rFonts w:ascii="宋体" w:hAnsi="宋体" w:cs="宋体"/>
                <w:b w:val="0"/>
                <w:bCs w:val="0"/>
                <w:i w:val="0"/>
                <w:iCs w:val="0"/>
                <w:smallCaps w:val="0"/>
                <w:color w:val="auto"/>
                <w:kern w:val="0"/>
                <w:sz w:val="21"/>
                <w:szCs w:val="21"/>
                <w:highlight w:val="none"/>
              </w:rPr>
              <w:t xml:space="preserve">日17时00分 </w:t>
            </w:r>
            <w:r>
              <w:rPr>
                <w:rStyle w:val="20"/>
                <w:rFonts w:ascii="宋体" w:hAnsi="宋体" w:cs="宋体"/>
                <w:b w:val="0"/>
                <w:bCs w:val="0"/>
                <w:i w:val="0"/>
                <w:iCs w:val="0"/>
                <w:smallCaps w:val="0"/>
                <w:color w:val="auto"/>
                <w:kern w:val="0"/>
                <w:sz w:val="21"/>
                <w:szCs w:val="21"/>
                <w:highlight w:val="none"/>
              </w:rPr>
              <w:br w:type="textWrapping"/>
            </w:r>
            <w:r>
              <w:rPr>
                <w:rStyle w:val="20"/>
                <w:rFonts w:ascii="宋体" w:hAnsi="宋体" w:cs="宋体"/>
                <w:b w:val="0"/>
                <w:bCs w:val="0"/>
                <w:i w:val="0"/>
                <w:iCs w:val="0"/>
                <w:smallCaps w:val="0"/>
                <w:color w:val="auto"/>
                <w:kern w:val="0"/>
                <w:sz w:val="21"/>
                <w:szCs w:val="21"/>
                <w:highlight w:val="none"/>
              </w:rPr>
              <w:t>2.领取地点：请到辽宁省建设工程投标盲盒系统https</w:t>
            </w:r>
            <w:r>
              <w:rPr>
                <w:rStyle w:val="20"/>
                <w:rFonts w:hint="eastAsia" w:ascii="宋体" w:hAnsi="宋体" w:cs="宋体"/>
                <w:b w:val="0"/>
                <w:bCs w:val="0"/>
                <w:i w:val="0"/>
                <w:iCs w:val="0"/>
                <w:smallCaps w:val="0"/>
                <w:color w:val="auto"/>
                <w:kern w:val="0"/>
                <w:sz w:val="21"/>
                <w:szCs w:val="21"/>
                <w:highlight w:val="none"/>
                <w:lang w:eastAsia="zh-CN"/>
              </w:rPr>
              <w:t>：</w:t>
            </w:r>
            <w:r>
              <w:rPr>
                <w:rStyle w:val="20"/>
                <w:rFonts w:ascii="宋体" w:hAnsi="宋体" w:cs="宋体"/>
                <w:b w:val="0"/>
                <w:bCs w:val="0"/>
                <w:i w:val="0"/>
                <w:iCs w:val="0"/>
                <w:smallCaps w:val="0"/>
                <w:color w:val="auto"/>
                <w:kern w:val="0"/>
                <w:sz w:val="21"/>
                <w:szCs w:val="21"/>
                <w:highlight w:val="none"/>
              </w:rPr>
              <w:t>//xbox.lnzb.com资格确认并领取文件</w:t>
            </w:r>
          </w:p>
        </w:tc>
      </w:tr>
      <w:tr w14:paraId="67207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jc w:val="center"/>
        </w:trPr>
        <w:tc>
          <w:tcPr>
            <w:tcW w:w="0" w:type="auto"/>
            <w:noWrap w:val="0"/>
            <w:tcMar>
              <w:top w:w="15" w:type="dxa"/>
              <w:left w:w="15" w:type="dxa"/>
              <w:bottom w:w="15" w:type="dxa"/>
              <w:right w:w="15" w:type="dxa"/>
            </w:tcMar>
            <w:vAlign w:val="center"/>
          </w:tcPr>
          <w:p w14:paraId="1B904EA2">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ascii="宋体" w:hAnsi="宋体" w:cs="宋体"/>
                <w:b w:val="0"/>
                <w:bCs w:val="0"/>
                <w:i w:val="0"/>
                <w:iCs w:val="0"/>
                <w:smallCaps w:val="0"/>
                <w:color w:val="auto"/>
                <w:kern w:val="0"/>
                <w:sz w:val="21"/>
                <w:szCs w:val="21"/>
                <w:highlight w:val="none"/>
              </w:rPr>
            </w:pPr>
            <w:r>
              <w:rPr>
                <w:rStyle w:val="20"/>
                <w:rFonts w:ascii="宋体" w:hAnsi="宋体" w:cs="宋体"/>
                <w:b/>
                <w:bCs/>
                <w:i w:val="0"/>
                <w:iCs w:val="0"/>
                <w:smallCaps w:val="0"/>
                <w:color w:val="auto"/>
                <w:kern w:val="0"/>
                <w:sz w:val="21"/>
                <w:szCs w:val="21"/>
                <w:highlight w:val="none"/>
              </w:rPr>
              <w:t>六、其他说明</w:t>
            </w:r>
          </w:p>
        </w:tc>
      </w:tr>
      <w:tr w14:paraId="22106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jc w:val="center"/>
        </w:trPr>
        <w:tc>
          <w:tcPr>
            <w:tcW w:w="0" w:type="auto"/>
            <w:noWrap w:val="0"/>
            <w:tcMar>
              <w:top w:w="15" w:type="dxa"/>
              <w:left w:w="15" w:type="dxa"/>
              <w:bottom w:w="15" w:type="dxa"/>
              <w:right w:w="15" w:type="dxa"/>
            </w:tcMar>
            <w:vAlign w:val="center"/>
          </w:tcPr>
          <w:p w14:paraId="469F27DA">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hint="eastAsia" w:ascii="宋体" w:hAnsi="宋体" w:cs="宋体"/>
                <w:b w:val="0"/>
                <w:bCs w:val="0"/>
                <w:i w:val="0"/>
                <w:iCs w:val="0"/>
                <w:smallCaps w:val="0"/>
                <w:color w:val="auto"/>
                <w:kern w:val="0"/>
                <w:sz w:val="21"/>
                <w:szCs w:val="21"/>
                <w:highlight w:val="none"/>
              </w:rPr>
            </w:pPr>
            <w:r>
              <w:rPr>
                <w:rStyle w:val="20"/>
                <w:rFonts w:ascii="宋体" w:hAnsi="宋体" w:cs="宋体"/>
                <w:b w:val="0"/>
                <w:bCs w:val="0"/>
                <w:i w:val="0"/>
                <w:iCs w:val="0"/>
                <w:smallCaps w:val="0"/>
                <w:color w:val="auto"/>
                <w:kern w:val="0"/>
                <w:sz w:val="21"/>
                <w:szCs w:val="21"/>
                <w:highlight w:val="none"/>
              </w:rPr>
              <w:t>开标地点：</w:t>
            </w:r>
            <w:r>
              <w:rPr>
                <w:rStyle w:val="20"/>
                <w:rFonts w:hint="eastAsia" w:ascii="宋体" w:hAnsi="宋体" w:cs="宋体"/>
                <w:b w:val="0"/>
                <w:bCs w:val="0"/>
                <w:i w:val="0"/>
                <w:iCs w:val="0"/>
                <w:smallCaps w:val="0"/>
                <w:color w:val="auto"/>
                <w:kern w:val="0"/>
                <w:sz w:val="21"/>
                <w:szCs w:val="21"/>
                <w:highlight w:val="none"/>
                <w:lang w:eastAsia="zh-CN"/>
              </w:rPr>
              <w:t>辽宁省工程建设项目数字化开标评标系统（https://dts.lnzb.com:8888/zjt-bid/)</w:t>
            </w:r>
          </w:p>
          <w:p w14:paraId="60D3661A">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hint="eastAsia" w:ascii="宋体" w:hAnsi="宋体" w:eastAsia="宋体" w:cs="宋体"/>
                <w:b w:val="0"/>
                <w:bCs w:val="0"/>
                <w:i w:val="0"/>
                <w:iCs w:val="0"/>
                <w:smallCaps w:val="0"/>
                <w:color w:val="auto"/>
                <w:kern w:val="0"/>
                <w:sz w:val="21"/>
                <w:szCs w:val="21"/>
                <w:highlight w:val="none"/>
                <w:lang w:eastAsia="zh-CN"/>
              </w:rPr>
            </w:pPr>
            <w:r>
              <w:rPr>
                <w:rStyle w:val="20"/>
                <w:rFonts w:hint="eastAsia" w:ascii="宋体" w:hAnsi="宋体" w:cs="宋体"/>
                <w:b w:val="0"/>
                <w:bCs w:val="0"/>
                <w:i w:val="0"/>
                <w:iCs w:val="0"/>
                <w:smallCaps w:val="0"/>
                <w:color w:val="auto"/>
                <w:kern w:val="0"/>
                <w:sz w:val="21"/>
                <w:szCs w:val="21"/>
                <w:highlight w:val="none"/>
              </w:rPr>
              <w:t>异议投诉的渠道</w:t>
            </w:r>
            <w:r>
              <w:rPr>
                <w:rStyle w:val="20"/>
                <w:rFonts w:hint="eastAsia" w:ascii="宋体" w:hAnsi="宋体" w:cs="宋体"/>
                <w:b w:val="0"/>
                <w:bCs w:val="0"/>
                <w:i w:val="0"/>
                <w:iCs w:val="0"/>
                <w:smallCaps w:val="0"/>
                <w:color w:val="auto"/>
                <w:kern w:val="0"/>
                <w:sz w:val="21"/>
                <w:szCs w:val="21"/>
                <w:highlight w:val="none"/>
                <w:lang w:eastAsia="zh-CN"/>
              </w:rPr>
              <w:t>：</w:t>
            </w:r>
            <w:r>
              <w:rPr>
                <w:rStyle w:val="20"/>
                <w:rFonts w:hint="eastAsia" w:ascii="宋体" w:hAnsi="宋体" w:cs="宋体"/>
                <w:b w:val="0"/>
                <w:bCs w:val="0"/>
                <w:i w:val="0"/>
                <w:iCs w:val="0"/>
                <w:smallCaps w:val="0"/>
                <w:color w:val="auto"/>
                <w:kern w:val="0"/>
                <w:sz w:val="21"/>
                <w:szCs w:val="21"/>
                <w:highlight w:val="none"/>
              </w:rPr>
              <w:t>监督部门</w:t>
            </w:r>
            <w:r>
              <w:rPr>
                <w:rStyle w:val="20"/>
                <w:rFonts w:hint="eastAsia" w:ascii="宋体" w:hAnsi="宋体" w:cs="宋体"/>
                <w:b w:val="0"/>
                <w:bCs w:val="0"/>
                <w:i w:val="0"/>
                <w:iCs w:val="0"/>
                <w:smallCaps w:val="0"/>
                <w:color w:val="auto"/>
                <w:kern w:val="0"/>
                <w:sz w:val="21"/>
                <w:szCs w:val="21"/>
                <w:highlight w:val="none"/>
                <w:lang w:eastAsia="zh-CN"/>
              </w:rPr>
              <w:t>：刘女士；</w:t>
            </w:r>
            <w:r>
              <w:rPr>
                <w:rStyle w:val="20"/>
                <w:rFonts w:hint="eastAsia" w:ascii="宋体" w:hAnsi="宋体" w:cs="宋体"/>
                <w:b w:val="0"/>
                <w:bCs w:val="0"/>
                <w:i w:val="0"/>
                <w:iCs w:val="0"/>
                <w:smallCaps w:val="0"/>
                <w:color w:val="auto"/>
                <w:kern w:val="0"/>
                <w:sz w:val="21"/>
                <w:szCs w:val="21"/>
                <w:highlight w:val="none"/>
              </w:rPr>
              <w:t>联系方式</w:t>
            </w:r>
            <w:r>
              <w:rPr>
                <w:rStyle w:val="20"/>
                <w:rFonts w:hint="eastAsia" w:ascii="宋体" w:hAnsi="宋体" w:cs="宋体"/>
                <w:b w:val="0"/>
                <w:bCs w:val="0"/>
                <w:i w:val="0"/>
                <w:iCs w:val="0"/>
                <w:smallCaps w:val="0"/>
                <w:color w:val="auto"/>
                <w:kern w:val="0"/>
                <w:sz w:val="21"/>
                <w:szCs w:val="21"/>
                <w:highlight w:val="none"/>
                <w:lang w:eastAsia="zh-CN"/>
              </w:rPr>
              <w:t>：0417-7812401；</w:t>
            </w:r>
          </w:p>
          <w:p w14:paraId="57A2D3EF">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hint="eastAsia" w:ascii="宋体" w:hAnsi="宋体" w:cs="宋体"/>
                <w:b w:val="0"/>
                <w:bCs w:val="0"/>
                <w:i w:val="0"/>
                <w:iCs w:val="0"/>
                <w:smallCaps w:val="0"/>
                <w:color w:val="auto"/>
                <w:kern w:val="0"/>
                <w:sz w:val="21"/>
                <w:szCs w:val="21"/>
                <w:highlight w:val="none"/>
              </w:rPr>
            </w:pPr>
            <w:r>
              <w:rPr>
                <w:rStyle w:val="20"/>
                <w:rFonts w:hint="eastAsia" w:ascii="宋体" w:hAnsi="宋体" w:cs="宋体"/>
                <w:b w:val="0"/>
                <w:bCs w:val="0"/>
                <w:i w:val="0"/>
                <w:iCs w:val="0"/>
                <w:smallCaps w:val="0"/>
                <w:color w:val="auto"/>
                <w:kern w:val="0"/>
                <w:sz w:val="21"/>
                <w:szCs w:val="21"/>
                <w:highlight w:val="none"/>
              </w:rPr>
              <w:t>代理联系人</w:t>
            </w:r>
            <w:r>
              <w:rPr>
                <w:rStyle w:val="20"/>
                <w:rFonts w:hint="eastAsia" w:ascii="宋体" w:hAnsi="宋体" w:cs="宋体"/>
                <w:b w:val="0"/>
                <w:bCs w:val="0"/>
                <w:i w:val="0"/>
                <w:iCs w:val="0"/>
                <w:smallCaps w:val="0"/>
                <w:color w:val="auto"/>
                <w:kern w:val="0"/>
                <w:sz w:val="21"/>
                <w:szCs w:val="21"/>
                <w:highlight w:val="none"/>
                <w:lang w:eastAsia="zh-CN"/>
              </w:rPr>
              <w:t>：郑巍、张彬、董珊；</w:t>
            </w:r>
            <w:r>
              <w:rPr>
                <w:rStyle w:val="20"/>
                <w:rFonts w:hint="eastAsia" w:ascii="宋体" w:hAnsi="宋体" w:cs="宋体"/>
                <w:b w:val="0"/>
                <w:bCs w:val="0"/>
                <w:i w:val="0"/>
                <w:iCs w:val="0"/>
                <w:smallCaps w:val="0"/>
                <w:color w:val="auto"/>
                <w:kern w:val="0"/>
                <w:sz w:val="21"/>
                <w:szCs w:val="21"/>
                <w:highlight w:val="none"/>
              </w:rPr>
              <w:t>联系方式</w:t>
            </w:r>
            <w:r>
              <w:rPr>
                <w:rStyle w:val="20"/>
                <w:rFonts w:hint="eastAsia" w:ascii="宋体" w:hAnsi="宋体" w:cs="宋体"/>
                <w:b w:val="0"/>
                <w:bCs w:val="0"/>
                <w:i w:val="0"/>
                <w:iCs w:val="0"/>
                <w:smallCaps w:val="0"/>
                <w:color w:val="auto"/>
                <w:kern w:val="0"/>
                <w:sz w:val="21"/>
                <w:szCs w:val="21"/>
                <w:highlight w:val="none"/>
                <w:lang w:eastAsia="zh-CN"/>
              </w:rPr>
              <w:t>：</w:t>
            </w:r>
            <w:r>
              <w:rPr>
                <w:rStyle w:val="20"/>
                <w:rFonts w:hint="eastAsia" w:ascii="宋体" w:hAnsi="宋体" w:cs="宋体"/>
                <w:b w:val="0"/>
                <w:bCs w:val="0"/>
                <w:i w:val="0"/>
                <w:iCs w:val="0"/>
                <w:smallCaps w:val="0"/>
                <w:color w:val="auto"/>
                <w:kern w:val="0"/>
                <w:sz w:val="21"/>
                <w:szCs w:val="21"/>
                <w:highlight w:val="none"/>
              </w:rPr>
              <w:t>024-25158333。</w:t>
            </w:r>
          </w:p>
        </w:tc>
      </w:tr>
      <w:tr w14:paraId="1D8DE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jc w:val="center"/>
        </w:trPr>
        <w:tc>
          <w:tcPr>
            <w:tcW w:w="0" w:type="auto"/>
            <w:noWrap w:val="0"/>
            <w:tcMar>
              <w:top w:w="15" w:type="dxa"/>
              <w:left w:w="15" w:type="dxa"/>
              <w:bottom w:w="15" w:type="dxa"/>
              <w:right w:w="15" w:type="dxa"/>
            </w:tcMar>
            <w:vAlign w:val="center"/>
          </w:tcPr>
          <w:p w14:paraId="2C79DAF2">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ascii="宋体" w:hAnsi="宋体" w:cs="宋体"/>
                <w:b w:val="0"/>
                <w:bCs w:val="0"/>
                <w:i w:val="0"/>
                <w:iCs w:val="0"/>
                <w:smallCaps w:val="0"/>
                <w:color w:val="auto"/>
                <w:kern w:val="0"/>
                <w:sz w:val="21"/>
                <w:szCs w:val="21"/>
                <w:highlight w:val="none"/>
              </w:rPr>
            </w:pPr>
            <w:r>
              <w:rPr>
                <w:rStyle w:val="20"/>
                <w:rFonts w:ascii="宋体" w:hAnsi="宋体" w:cs="宋体"/>
                <w:b/>
                <w:bCs/>
                <w:i w:val="0"/>
                <w:iCs w:val="0"/>
                <w:smallCaps w:val="0"/>
                <w:color w:val="auto"/>
                <w:kern w:val="0"/>
                <w:sz w:val="21"/>
                <w:szCs w:val="21"/>
                <w:highlight w:val="none"/>
              </w:rPr>
              <w:t>七、发布公告的媒介</w:t>
            </w:r>
          </w:p>
        </w:tc>
      </w:tr>
      <w:tr w14:paraId="0A289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jc w:val="center"/>
        </w:trPr>
        <w:tc>
          <w:tcPr>
            <w:tcW w:w="0" w:type="auto"/>
            <w:noWrap w:val="0"/>
            <w:tcMar>
              <w:top w:w="15" w:type="dxa"/>
              <w:left w:w="15" w:type="dxa"/>
              <w:bottom w:w="15" w:type="dxa"/>
              <w:right w:w="15" w:type="dxa"/>
            </w:tcMar>
            <w:vAlign w:val="center"/>
          </w:tcPr>
          <w:p w14:paraId="43D2D0F1">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ascii="宋体" w:hAnsi="宋体" w:cs="宋体"/>
                <w:b w:val="0"/>
                <w:bCs w:val="0"/>
                <w:i w:val="0"/>
                <w:iCs w:val="0"/>
                <w:smallCaps w:val="0"/>
                <w:color w:val="auto"/>
                <w:kern w:val="0"/>
                <w:sz w:val="21"/>
                <w:szCs w:val="21"/>
                <w:highlight w:val="none"/>
              </w:rPr>
            </w:pPr>
            <w:r>
              <w:rPr>
                <w:rStyle w:val="20"/>
                <w:rFonts w:ascii="宋体" w:hAnsi="宋体" w:cs="宋体"/>
                <w:b w:val="0"/>
                <w:bCs w:val="0"/>
                <w:i w:val="0"/>
                <w:iCs w:val="0"/>
                <w:smallCaps w:val="0"/>
                <w:color w:val="auto"/>
                <w:kern w:val="0"/>
                <w:sz w:val="21"/>
                <w:szCs w:val="21"/>
                <w:highlight w:val="none"/>
              </w:rPr>
              <w:t>  本次招标公告同时在辽宁省招标投标监管网、中国招标投标公共服务平台、辽宁省建设工程信息网</w:t>
            </w:r>
            <w:r>
              <w:rPr>
                <w:rStyle w:val="20"/>
                <w:rFonts w:hint="eastAsia" w:ascii="宋体" w:hAnsi="宋体" w:cs="宋体"/>
                <w:b w:val="0"/>
                <w:bCs w:val="0"/>
                <w:i w:val="0"/>
                <w:iCs w:val="0"/>
                <w:smallCaps w:val="0"/>
                <w:color w:val="auto"/>
                <w:kern w:val="0"/>
                <w:sz w:val="21"/>
                <w:szCs w:val="21"/>
                <w:highlight w:val="none"/>
                <w:lang w:eastAsia="zh-CN"/>
              </w:rPr>
              <w:t>、全国公共资源交易平台（辽宁省·营口市）</w:t>
            </w:r>
            <w:r>
              <w:rPr>
                <w:rStyle w:val="20"/>
                <w:rFonts w:ascii="宋体" w:hAnsi="宋体" w:cs="宋体"/>
                <w:b w:val="0"/>
                <w:bCs w:val="0"/>
                <w:i w:val="0"/>
                <w:iCs w:val="0"/>
                <w:smallCaps w:val="0"/>
                <w:color w:val="auto"/>
                <w:kern w:val="0"/>
                <w:sz w:val="21"/>
                <w:szCs w:val="21"/>
                <w:highlight w:val="none"/>
              </w:rPr>
              <w:t>上发布</w:t>
            </w:r>
          </w:p>
        </w:tc>
      </w:tr>
      <w:tr w14:paraId="4536E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jc w:val="center"/>
        </w:trPr>
        <w:tc>
          <w:tcPr>
            <w:tcW w:w="0" w:type="auto"/>
            <w:noWrap w:val="0"/>
            <w:tcMar>
              <w:top w:w="15" w:type="dxa"/>
              <w:left w:w="15" w:type="dxa"/>
              <w:bottom w:w="15" w:type="dxa"/>
              <w:right w:w="15" w:type="dxa"/>
            </w:tcMar>
            <w:vAlign w:val="center"/>
          </w:tcPr>
          <w:p w14:paraId="10C54752">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ascii="宋体" w:hAnsi="宋体" w:cs="宋体"/>
                <w:b w:val="0"/>
                <w:bCs w:val="0"/>
                <w:i w:val="0"/>
                <w:iCs w:val="0"/>
                <w:smallCaps w:val="0"/>
                <w:color w:val="auto"/>
                <w:kern w:val="0"/>
                <w:sz w:val="21"/>
                <w:szCs w:val="21"/>
                <w:highlight w:val="none"/>
              </w:rPr>
            </w:pPr>
            <w:r>
              <w:rPr>
                <w:rStyle w:val="20"/>
                <w:rFonts w:ascii="宋体" w:hAnsi="宋体" w:cs="宋体"/>
                <w:b/>
                <w:bCs/>
                <w:i w:val="0"/>
                <w:iCs w:val="0"/>
                <w:smallCaps w:val="0"/>
                <w:color w:val="auto"/>
                <w:kern w:val="0"/>
                <w:sz w:val="21"/>
                <w:szCs w:val="21"/>
                <w:highlight w:val="none"/>
              </w:rPr>
              <w:t>八、招标人信息</w:t>
            </w:r>
          </w:p>
        </w:tc>
      </w:tr>
      <w:tr w14:paraId="218D3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jc w:val="center"/>
        </w:trPr>
        <w:tc>
          <w:tcPr>
            <w:tcW w:w="0" w:type="auto"/>
            <w:noWrap w:val="0"/>
            <w:tcMar>
              <w:top w:w="15" w:type="dxa"/>
              <w:left w:w="15" w:type="dxa"/>
              <w:bottom w:w="15" w:type="dxa"/>
              <w:right w:w="15" w:type="dxa"/>
            </w:tcMar>
            <w:vAlign w:val="center"/>
          </w:tcPr>
          <w:tbl>
            <w:tblPr>
              <w:tblStyle w:val="18"/>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1693"/>
              <w:gridCol w:w="2832"/>
              <w:gridCol w:w="1678"/>
              <w:gridCol w:w="2847"/>
            </w:tblGrid>
            <w:tr w14:paraId="08B8D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blCellSpacing w:w="15" w:type="dxa"/>
              </w:trPr>
              <w:tc>
                <w:tcPr>
                  <w:tcW w:w="4480" w:type="dxa"/>
                  <w:gridSpan w:val="2"/>
                  <w:noWrap w:val="0"/>
                  <w:tcMar>
                    <w:top w:w="15" w:type="dxa"/>
                    <w:left w:w="15" w:type="dxa"/>
                    <w:bottom w:w="15" w:type="dxa"/>
                    <w:right w:w="15" w:type="dxa"/>
                  </w:tcMar>
                  <w:vAlign w:val="center"/>
                </w:tcPr>
                <w:p w14:paraId="5918B48E">
                  <w:pPr>
                    <w:keepNext w:val="0"/>
                    <w:keepLines w:val="0"/>
                    <w:pageBreakBefore w:val="0"/>
                    <w:widowControl/>
                    <w:shd w:val="clear"/>
                    <w:kinsoku/>
                    <w:wordWrap/>
                    <w:overflowPunct/>
                    <w:topLinePunct w:val="0"/>
                    <w:autoSpaceDE/>
                    <w:autoSpaceDN/>
                    <w:bidi w:val="0"/>
                    <w:adjustRightInd w:val="0"/>
                    <w:snapToGrid w:val="0"/>
                    <w:spacing w:line="360" w:lineRule="auto"/>
                    <w:ind w:left="0"/>
                    <w:jc w:val="left"/>
                    <w:textAlignment w:val="auto"/>
                    <w:rPr>
                      <w:rStyle w:val="20"/>
                      <w:rFonts w:ascii="宋体" w:hAnsi="宋体" w:cs="宋体"/>
                      <w:b w:val="0"/>
                      <w:bCs w:val="0"/>
                      <w:i w:val="0"/>
                      <w:iCs w:val="0"/>
                      <w:smallCaps w:val="0"/>
                      <w:color w:val="auto"/>
                      <w:kern w:val="0"/>
                      <w:sz w:val="21"/>
                      <w:szCs w:val="21"/>
                      <w:highlight w:val="none"/>
                    </w:rPr>
                  </w:pPr>
                  <w:r>
                    <w:rPr>
                      <w:rStyle w:val="20"/>
                      <w:rFonts w:ascii="宋体" w:hAnsi="宋体" w:cs="宋体"/>
                      <w:b w:val="0"/>
                      <w:bCs w:val="0"/>
                      <w:i w:val="0"/>
                      <w:iCs w:val="0"/>
                      <w:smallCaps w:val="0"/>
                      <w:color w:val="auto"/>
                      <w:kern w:val="0"/>
                      <w:sz w:val="21"/>
                      <w:szCs w:val="21"/>
                      <w:highlight w:val="none"/>
                    </w:rPr>
                    <w:t>招标工作负责人</w:t>
                  </w:r>
                </w:p>
              </w:tc>
              <w:tc>
                <w:tcPr>
                  <w:tcW w:w="4480" w:type="dxa"/>
                  <w:gridSpan w:val="2"/>
                  <w:noWrap w:val="0"/>
                  <w:tcMar>
                    <w:top w:w="15" w:type="dxa"/>
                    <w:left w:w="15" w:type="dxa"/>
                    <w:bottom w:w="15" w:type="dxa"/>
                    <w:right w:w="15" w:type="dxa"/>
                  </w:tcMar>
                  <w:vAlign w:val="center"/>
                </w:tcPr>
                <w:p w14:paraId="40A9F651">
                  <w:pPr>
                    <w:keepNext w:val="0"/>
                    <w:keepLines w:val="0"/>
                    <w:pageBreakBefore w:val="0"/>
                    <w:widowControl/>
                    <w:shd w:val="clear"/>
                    <w:kinsoku/>
                    <w:wordWrap/>
                    <w:overflowPunct/>
                    <w:topLinePunct w:val="0"/>
                    <w:autoSpaceDE/>
                    <w:autoSpaceDN/>
                    <w:bidi w:val="0"/>
                    <w:adjustRightInd w:val="0"/>
                    <w:snapToGrid w:val="0"/>
                    <w:spacing w:line="360" w:lineRule="auto"/>
                    <w:ind w:left="0"/>
                    <w:jc w:val="left"/>
                    <w:textAlignment w:val="auto"/>
                    <w:rPr>
                      <w:rStyle w:val="20"/>
                      <w:rFonts w:ascii="宋体" w:hAnsi="宋体" w:cs="宋体"/>
                      <w:b w:val="0"/>
                      <w:bCs w:val="0"/>
                      <w:i w:val="0"/>
                      <w:iCs w:val="0"/>
                      <w:smallCaps w:val="0"/>
                      <w:color w:val="auto"/>
                      <w:kern w:val="0"/>
                      <w:sz w:val="21"/>
                      <w:szCs w:val="21"/>
                      <w:highlight w:val="none"/>
                    </w:rPr>
                  </w:pPr>
                  <w:r>
                    <w:rPr>
                      <w:rStyle w:val="20"/>
                      <w:rFonts w:ascii="宋体" w:hAnsi="宋体" w:cs="宋体"/>
                      <w:b w:val="0"/>
                      <w:bCs w:val="0"/>
                      <w:i w:val="0"/>
                      <w:iCs w:val="0"/>
                      <w:smallCaps w:val="0"/>
                      <w:color w:val="auto"/>
                      <w:kern w:val="0"/>
                      <w:sz w:val="21"/>
                      <w:szCs w:val="21"/>
                      <w:highlight w:val="none"/>
                    </w:rPr>
                    <w:t>制定招标文件主要条款人</w:t>
                  </w:r>
                </w:p>
              </w:tc>
            </w:tr>
            <w:tr w14:paraId="5BA82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1648" w:type="dxa"/>
                  <w:noWrap w:val="0"/>
                  <w:tcMar>
                    <w:top w:w="15" w:type="dxa"/>
                    <w:left w:w="15" w:type="dxa"/>
                    <w:bottom w:w="15" w:type="dxa"/>
                    <w:right w:w="15" w:type="dxa"/>
                  </w:tcMar>
                  <w:vAlign w:val="center"/>
                </w:tcPr>
                <w:p w14:paraId="3262B6D4">
                  <w:pPr>
                    <w:keepNext w:val="0"/>
                    <w:keepLines w:val="0"/>
                    <w:pageBreakBefore w:val="0"/>
                    <w:widowControl/>
                    <w:shd w:val="clear"/>
                    <w:kinsoku/>
                    <w:wordWrap/>
                    <w:overflowPunct/>
                    <w:topLinePunct w:val="0"/>
                    <w:autoSpaceDE/>
                    <w:autoSpaceDN/>
                    <w:bidi w:val="0"/>
                    <w:adjustRightInd w:val="0"/>
                    <w:snapToGrid w:val="0"/>
                    <w:spacing w:line="360" w:lineRule="auto"/>
                    <w:ind w:left="0"/>
                    <w:jc w:val="left"/>
                    <w:textAlignment w:val="auto"/>
                    <w:rPr>
                      <w:rStyle w:val="20"/>
                      <w:rFonts w:hint="eastAsia" w:ascii="宋体" w:hAnsi="宋体" w:eastAsia="宋体" w:cs="宋体"/>
                      <w:b w:val="0"/>
                      <w:bCs w:val="0"/>
                      <w:i w:val="0"/>
                      <w:iCs w:val="0"/>
                      <w:smallCaps w:val="0"/>
                      <w:color w:val="auto"/>
                      <w:kern w:val="0"/>
                      <w:sz w:val="21"/>
                      <w:szCs w:val="21"/>
                      <w:highlight w:val="none"/>
                      <w:lang w:eastAsia="zh-CN"/>
                    </w:rPr>
                  </w:pPr>
                  <w:r>
                    <w:rPr>
                      <w:rStyle w:val="20"/>
                      <w:rFonts w:ascii="宋体" w:hAnsi="宋体" w:cs="宋体"/>
                      <w:b w:val="0"/>
                      <w:bCs w:val="0"/>
                      <w:i w:val="0"/>
                      <w:iCs w:val="0"/>
                      <w:smallCaps w:val="0"/>
                      <w:color w:val="auto"/>
                      <w:kern w:val="0"/>
                      <w:sz w:val="21"/>
                      <w:szCs w:val="21"/>
                      <w:highlight w:val="none"/>
                    </w:rPr>
                    <w:t>姓名</w:t>
                  </w:r>
                  <w:r>
                    <w:rPr>
                      <w:rStyle w:val="20"/>
                      <w:rFonts w:hint="eastAsia" w:ascii="宋体" w:hAnsi="宋体" w:cs="宋体"/>
                      <w:b w:val="0"/>
                      <w:bCs w:val="0"/>
                      <w:i w:val="0"/>
                      <w:iCs w:val="0"/>
                      <w:smallCaps w:val="0"/>
                      <w:color w:val="auto"/>
                      <w:kern w:val="0"/>
                      <w:sz w:val="21"/>
                      <w:szCs w:val="21"/>
                      <w:highlight w:val="none"/>
                      <w:lang w:eastAsia="zh-CN"/>
                    </w:rPr>
                    <w:t>：</w:t>
                  </w:r>
                </w:p>
              </w:tc>
              <w:tc>
                <w:tcPr>
                  <w:tcW w:w="2802" w:type="dxa"/>
                  <w:noWrap w:val="0"/>
                  <w:tcMar>
                    <w:top w:w="15" w:type="dxa"/>
                    <w:left w:w="15" w:type="dxa"/>
                    <w:bottom w:w="15" w:type="dxa"/>
                    <w:right w:w="15" w:type="dxa"/>
                  </w:tcMar>
                  <w:vAlign w:val="center"/>
                </w:tcPr>
                <w:p w14:paraId="3AB84253">
                  <w:pPr>
                    <w:keepNext w:val="0"/>
                    <w:keepLines w:val="0"/>
                    <w:pageBreakBefore w:val="0"/>
                    <w:widowControl/>
                    <w:shd w:val="clear"/>
                    <w:kinsoku/>
                    <w:wordWrap/>
                    <w:overflowPunct/>
                    <w:topLinePunct w:val="0"/>
                    <w:autoSpaceDE/>
                    <w:autoSpaceDN/>
                    <w:bidi w:val="0"/>
                    <w:adjustRightInd w:val="0"/>
                    <w:snapToGrid w:val="0"/>
                    <w:spacing w:line="360" w:lineRule="auto"/>
                    <w:ind w:left="0"/>
                    <w:jc w:val="left"/>
                    <w:textAlignment w:val="auto"/>
                    <w:rPr>
                      <w:rStyle w:val="20"/>
                      <w:rFonts w:hint="eastAsia" w:ascii="宋体" w:hAnsi="宋体" w:eastAsia="宋体" w:cs="宋体"/>
                      <w:b w:val="0"/>
                      <w:bCs w:val="0"/>
                      <w:i w:val="0"/>
                      <w:iCs w:val="0"/>
                      <w:smallCaps w:val="0"/>
                      <w:color w:val="auto"/>
                      <w:kern w:val="0"/>
                      <w:sz w:val="21"/>
                      <w:szCs w:val="21"/>
                      <w:highlight w:val="none"/>
                      <w:lang w:val="en-US" w:eastAsia="zh-CN"/>
                    </w:rPr>
                  </w:pPr>
                  <w:r>
                    <w:rPr>
                      <w:rStyle w:val="20"/>
                      <w:rFonts w:hint="eastAsia" w:ascii="宋体" w:hAnsi="宋体" w:cs="宋体"/>
                      <w:b w:val="0"/>
                      <w:bCs w:val="0"/>
                      <w:i w:val="0"/>
                      <w:iCs w:val="0"/>
                      <w:smallCaps w:val="0"/>
                      <w:color w:val="auto"/>
                      <w:kern w:val="0"/>
                      <w:sz w:val="21"/>
                      <w:szCs w:val="21"/>
                      <w:highlight w:val="none"/>
                      <w:lang w:val="en-US" w:eastAsia="zh-CN"/>
                    </w:rPr>
                    <w:t>刘女士</w:t>
                  </w:r>
                </w:p>
              </w:tc>
              <w:tc>
                <w:tcPr>
                  <w:tcW w:w="1648" w:type="dxa"/>
                  <w:noWrap w:val="0"/>
                  <w:tcMar>
                    <w:top w:w="15" w:type="dxa"/>
                    <w:left w:w="15" w:type="dxa"/>
                    <w:bottom w:w="15" w:type="dxa"/>
                    <w:right w:w="15" w:type="dxa"/>
                  </w:tcMar>
                  <w:vAlign w:val="center"/>
                </w:tcPr>
                <w:p w14:paraId="2874DFDD">
                  <w:pPr>
                    <w:keepNext w:val="0"/>
                    <w:keepLines w:val="0"/>
                    <w:pageBreakBefore w:val="0"/>
                    <w:widowControl/>
                    <w:shd w:val="clear"/>
                    <w:kinsoku/>
                    <w:wordWrap/>
                    <w:overflowPunct/>
                    <w:topLinePunct w:val="0"/>
                    <w:autoSpaceDE/>
                    <w:autoSpaceDN/>
                    <w:bidi w:val="0"/>
                    <w:adjustRightInd w:val="0"/>
                    <w:snapToGrid w:val="0"/>
                    <w:spacing w:line="360" w:lineRule="auto"/>
                    <w:ind w:left="0"/>
                    <w:jc w:val="left"/>
                    <w:textAlignment w:val="auto"/>
                    <w:rPr>
                      <w:rStyle w:val="20"/>
                      <w:rFonts w:hint="eastAsia" w:ascii="宋体" w:hAnsi="宋体" w:eastAsia="宋体" w:cs="宋体"/>
                      <w:b w:val="0"/>
                      <w:bCs w:val="0"/>
                      <w:i w:val="0"/>
                      <w:iCs w:val="0"/>
                      <w:smallCaps w:val="0"/>
                      <w:color w:val="auto"/>
                      <w:kern w:val="0"/>
                      <w:sz w:val="21"/>
                      <w:szCs w:val="21"/>
                      <w:highlight w:val="none"/>
                      <w:lang w:eastAsia="zh-CN"/>
                    </w:rPr>
                  </w:pPr>
                  <w:r>
                    <w:rPr>
                      <w:rStyle w:val="20"/>
                      <w:rFonts w:ascii="宋体" w:hAnsi="宋体" w:cs="宋体"/>
                      <w:b w:val="0"/>
                      <w:bCs w:val="0"/>
                      <w:i w:val="0"/>
                      <w:iCs w:val="0"/>
                      <w:smallCaps w:val="0"/>
                      <w:color w:val="auto"/>
                      <w:kern w:val="0"/>
                      <w:sz w:val="21"/>
                      <w:szCs w:val="21"/>
                      <w:highlight w:val="none"/>
                    </w:rPr>
                    <w:t>姓名</w:t>
                  </w:r>
                  <w:r>
                    <w:rPr>
                      <w:rStyle w:val="20"/>
                      <w:rFonts w:hint="eastAsia" w:ascii="宋体" w:hAnsi="宋体" w:cs="宋体"/>
                      <w:b w:val="0"/>
                      <w:bCs w:val="0"/>
                      <w:i w:val="0"/>
                      <w:iCs w:val="0"/>
                      <w:smallCaps w:val="0"/>
                      <w:color w:val="auto"/>
                      <w:kern w:val="0"/>
                      <w:sz w:val="21"/>
                      <w:szCs w:val="21"/>
                      <w:highlight w:val="none"/>
                      <w:lang w:eastAsia="zh-CN"/>
                    </w:rPr>
                    <w:t>：</w:t>
                  </w:r>
                </w:p>
              </w:tc>
              <w:tc>
                <w:tcPr>
                  <w:tcW w:w="2802" w:type="dxa"/>
                  <w:noWrap w:val="0"/>
                  <w:tcMar>
                    <w:top w:w="15" w:type="dxa"/>
                    <w:left w:w="15" w:type="dxa"/>
                    <w:bottom w:w="15" w:type="dxa"/>
                    <w:right w:w="15" w:type="dxa"/>
                  </w:tcMar>
                  <w:vAlign w:val="center"/>
                </w:tcPr>
                <w:p w14:paraId="295A1B97">
                  <w:pPr>
                    <w:keepNext w:val="0"/>
                    <w:keepLines w:val="0"/>
                    <w:pageBreakBefore w:val="0"/>
                    <w:widowControl/>
                    <w:shd w:val="clear"/>
                    <w:kinsoku/>
                    <w:wordWrap/>
                    <w:overflowPunct/>
                    <w:topLinePunct w:val="0"/>
                    <w:autoSpaceDE/>
                    <w:autoSpaceDN/>
                    <w:bidi w:val="0"/>
                    <w:adjustRightInd w:val="0"/>
                    <w:snapToGrid w:val="0"/>
                    <w:spacing w:line="360" w:lineRule="auto"/>
                    <w:ind w:left="0"/>
                    <w:jc w:val="left"/>
                    <w:textAlignment w:val="auto"/>
                    <w:rPr>
                      <w:rStyle w:val="20"/>
                      <w:rFonts w:hint="eastAsia" w:ascii="宋体" w:hAnsi="宋体" w:eastAsia="宋体" w:cs="宋体"/>
                      <w:b w:val="0"/>
                      <w:bCs w:val="0"/>
                      <w:i w:val="0"/>
                      <w:iCs w:val="0"/>
                      <w:smallCaps w:val="0"/>
                      <w:color w:val="auto"/>
                      <w:kern w:val="0"/>
                      <w:sz w:val="21"/>
                      <w:szCs w:val="21"/>
                      <w:highlight w:val="none"/>
                      <w:lang w:val="en-US" w:eastAsia="zh-CN"/>
                    </w:rPr>
                  </w:pPr>
                  <w:r>
                    <w:rPr>
                      <w:rStyle w:val="20"/>
                      <w:rFonts w:hint="eastAsia" w:ascii="宋体" w:hAnsi="宋体" w:cs="宋体"/>
                      <w:b w:val="0"/>
                      <w:bCs w:val="0"/>
                      <w:i w:val="0"/>
                      <w:iCs w:val="0"/>
                      <w:smallCaps w:val="0"/>
                      <w:color w:val="auto"/>
                      <w:kern w:val="0"/>
                      <w:sz w:val="21"/>
                      <w:szCs w:val="21"/>
                      <w:highlight w:val="none"/>
                      <w:lang w:val="en-US" w:eastAsia="zh-CN"/>
                    </w:rPr>
                    <w:t>刘女士</w:t>
                  </w:r>
                </w:p>
              </w:tc>
            </w:tr>
            <w:tr w14:paraId="2BF3F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1648" w:type="dxa"/>
                  <w:noWrap w:val="0"/>
                  <w:tcMar>
                    <w:top w:w="15" w:type="dxa"/>
                    <w:left w:w="15" w:type="dxa"/>
                    <w:bottom w:w="15" w:type="dxa"/>
                    <w:right w:w="15" w:type="dxa"/>
                  </w:tcMar>
                  <w:vAlign w:val="center"/>
                </w:tcPr>
                <w:p w14:paraId="0E6D0330">
                  <w:pPr>
                    <w:keepNext w:val="0"/>
                    <w:keepLines w:val="0"/>
                    <w:pageBreakBefore w:val="0"/>
                    <w:widowControl/>
                    <w:shd w:val="clear"/>
                    <w:kinsoku/>
                    <w:wordWrap/>
                    <w:overflowPunct/>
                    <w:topLinePunct w:val="0"/>
                    <w:autoSpaceDE/>
                    <w:autoSpaceDN/>
                    <w:bidi w:val="0"/>
                    <w:adjustRightInd w:val="0"/>
                    <w:snapToGrid w:val="0"/>
                    <w:spacing w:line="360" w:lineRule="auto"/>
                    <w:ind w:left="0"/>
                    <w:jc w:val="left"/>
                    <w:textAlignment w:val="auto"/>
                    <w:rPr>
                      <w:rStyle w:val="20"/>
                      <w:rFonts w:hint="eastAsia" w:ascii="宋体" w:hAnsi="宋体" w:eastAsia="宋体" w:cs="宋体"/>
                      <w:b w:val="0"/>
                      <w:bCs w:val="0"/>
                      <w:i w:val="0"/>
                      <w:iCs w:val="0"/>
                      <w:smallCaps w:val="0"/>
                      <w:color w:val="auto"/>
                      <w:kern w:val="0"/>
                      <w:sz w:val="21"/>
                      <w:szCs w:val="21"/>
                      <w:highlight w:val="none"/>
                      <w:lang w:eastAsia="zh-CN"/>
                    </w:rPr>
                  </w:pPr>
                  <w:r>
                    <w:rPr>
                      <w:rStyle w:val="20"/>
                      <w:rFonts w:ascii="宋体" w:hAnsi="宋体" w:cs="宋体"/>
                      <w:b w:val="0"/>
                      <w:bCs w:val="0"/>
                      <w:i w:val="0"/>
                      <w:iCs w:val="0"/>
                      <w:smallCaps w:val="0"/>
                      <w:color w:val="auto"/>
                      <w:kern w:val="0"/>
                      <w:sz w:val="21"/>
                      <w:szCs w:val="21"/>
                      <w:highlight w:val="none"/>
                    </w:rPr>
                    <w:t>单位</w:t>
                  </w:r>
                  <w:r>
                    <w:rPr>
                      <w:rStyle w:val="20"/>
                      <w:rFonts w:hint="eastAsia" w:ascii="宋体" w:hAnsi="宋体" w:cs="宋体"/>
                      <w:b w:val="0"/>
                      <w:bCs w:val="0"/>
                      <w:i w:val="0"/>
                      <w:iCs w:val="0"/>
                      <w:smallCaps w:val="0"/>
                      <w:color w:val="auto"/>
                      <w:kern w:val="0"/>
                      <w:sz w:val="21"/>
                      <w:szCs w:val="21"/>
                      <w:highlight w:val="none"/>
                      <w:lang w:eastAsia="zh-CN"/>
                    </w:rPr>
                    <w:t>：</w:t>
                  </w:r>
                </w:p>
              </w:tc>
              <w:tc>
                <w:tcPr>
                  <w:tcW w:w="2802" w:type="dxa"/>
                  <w:noWrap w:val="0"/>
                  <w:tcMar>
                    <w:top w:w="15" w:type="dxa"/>
                    <w:left w:w="15" w:type="dxa"/>
                    <w:bottom w:w="15" w:type="dxa"/>
                    <w:right w:w="15" w:type="dxa"/>
                  </w:tcMar>
                  <w:vAlign w:val="center"/>
                </w:tcPr>
                <w:p w14:paraId="478E7C9C">
                  <w:pPr>
                    <w:keepNext w:val="0"/>
                    <w:keepLines w:val="0"/>
                    <w:pageBreakBefore w:val="0"/>
                    <w:widowControl/>
                    <w:shd w:val="clear"/>
                    <w:kinsoku/>
                    <w:wordWrap/>
                    <w:overflowPunct/>
                    <w:topLinePunct w:val="0"/>
                    <w:autoSpaceDE/>
                    <w:autoSpaceDN/>
                    <w:bidi w:val="0"/>
                    <w:adjustRightInd w:val="0"/>
                    <w:snapToGrid w:val="0"/>
                    <w:spacing w:line="360" w:lineRule="auto"/>
                    <w:ind w:left="0"/>
                    <w:jc w:val="left"/>
                    <w:textAlignment w:val="auto"/>
                    <w:rPr>
                      <w:rStyle w:val="20"/>
                      <w:rFonts w:hint="eastAsia" w:ascii="宋体" w:hAnsi="宋体" w:eastAsia="宋体" w:cs="宋体"/>
                      <w:b w:val="0"/>
                      <w:bCs w:val="0"/>
                      <w:i w:val="0"/>
                      <w:iCs w:val="0"/>
                      <w:smallCaps w:val="0"/>
                      <w:color w:val="auto"/>
                      <w:kern w:val="0"/>
                      <w:sz w:val="21"/>
                      <w:szCs w:val="21"/>
                      <w:highlight w:val="none"/>
                      <w:lang w:eastAsia="zh-CN"/>
                    </w:rPr>
                  </w:pPr>
                  <w:r>
                    <w:rPr>
                      <w:rStyle w:val="20"/>
                      <w:rFonts w:hint="eastAsia" w:ascii="宋体" w:hAnsi="宋体" w:cs="宋体"/>
                      <w:b w:val="0"/>
                      <w:bCs w:val="0"/>
                      <w:i w:val="0"/>
                      <w:iCs w:val="0"/>
                      <w:smallCaps w:val="0"/>
                      <w:color w:val="auto"/>
                      <w:kern w:val="0"/>
                      <w:sz w:val="21"/>
                      <w:szCs w:val="21"/>
                      <w:highlight w:val="none"/>
                      <w:lang w:eastAsia="zh-CN"/>
                    </w:rPr>
                    <w:t>国家税务总局盖州市税务局</w:t>
                  </w:r>
                </w:p>
              </w:tc>
              <w:tc>
                <w:tcPr>
                  <w:tcW w:w="1648" w:type="dxa"/>
                  <w:noWrap w:val="0"/>
                  <w:tcMar>
                    <w:top w:w="15" w:type="dxa"/>
                    <w:left w:w="15" w:type="dxa"/>
                    <w:bottom w:w="15" w:type="dxa"/>
                    <w:right w:w="15" w:type="dxa"/>
                  </w:tcMar>
                  <w:vAlign w:val="center"/>
                </w:tcPr>
                <w:p w14:paraId="4D5B2665">
                  <w:pPr>
                    <w:keepNext w:val="0"/>
                    <w:keepLines w:val="0"/>
                    <w:pageBreakBefore w:val="0"/>
                    <w:widowControl/>
                    <w:shd w:val="clear"/>
                    <w:kinsoku/>
                    <w:wordWrap/>
                    <w:overflowPunct/>
                    <w:topLinePunct w:val="0"/>
                    <w:autoSpaceDE/>
                    <w:autoSpaceDN/>
                    <w:bidi w:val="0"/>
                    <w:adjustRightInd w:val="0"/>
                    <w:snapToGrid w:val="0"/>
                    <w:spacing w:line="360" w:lineRule="auto"/>
                    <w:ind w:left="0"/>
                    <w:jc w:val="left"/>
                    <w:textAlignment w:val="auto"/>
                    <w:rPr>
                      <w:rStyle w:val="20"/>
                      <w:rFonts w:hint="eastAsia" w:ascii="宋体" w:hAnsi="宋体" w:eastAsia="宋体" w:cs="宋体"/>
                      <w:b w:val="0"/>
                      <w:bCs w:val="0"/>
                      <w:i w:val="0"/>
                      <w:iCs w:val="0"/>
                      <w:smallCaps w:val="0"/>
                      <w:color w:val="auto"/>
                      <w:kern w:val="0"/>
                      <w:sz w:val="21"/>
                      <w:szCs w:val="21"/>
                      <w:highlight w:val="none"/>
                      <w:lang w:eastAsia="zh-CN"/>
                    </w:rPr>
                  </w:pPr>
                  <w:r>
                    <w:rPr>
                      <w:rStyle w:val="20"/>
                      <w:rFonts w:ascii="宋体" w:hAnsi="宋体" w:cs="宋体"/>
                      <w:b w:val="0"/>
                      <w:bCs w:val="0"/>
                      <w:i w:val="0"/>
                      <w:iCs w:val="0"/>
                      <w:smallCaps w:val="0"/>
                      <w:color w:val="auto"/>
                      <w:kern w:val="0"/>
                      <w:sz w:val="21"/>
                      <w:szCs w:val="21"/>
                      <w:highlight w:val="none"/>
                    </w:rPr>
                    <w:t>单位</w:t>
                  </w:r>
                  <w:r>
                    <w:rPr>
                      <w:rStyle w:val="20"/>
                      <w:rFonts w:hint="eastAsia" w:ascii="宋体" w:hAnsi="宋体" w:cs="宋体"/>
                      <w:b w:val="0"/>
                      <w:bCs w:val="0"/>
                      <w:i w:val="0"/>
                      <w:iCs w:val="0"/>
                      <w:smallCaps w:val="0"/>
                      <w:color w:val="auto"/>
                      <w:kern w:val="0"/>
                      <w:sz w:val="21"/>
                      <w:szCs w:val="21"/>
                      <w:highlight w:val="none"/>
                      <w:lang w:eastAsia="zh-CN"/>
                    </w:rPr>
                    <w:t>：</w:t>
                  </w:r>
                </w:p>
              </w:tc>
              <w:tc>
                <w:tcPr>
                  <w:tcW w:w="2802" w:type="dxa"/>
                  <w:noWrap w:val="0"/>
                  <w:tcMar>
                    <w:top w:w="15" w:type="dxa"/>
                    <w:left w:w="15" w:type="dxa"/>
                    <w:bottom w:w="15" w:type="dxa"/>
                    <w:right w:w="15" w:type="dxa"/>
                  </w:tcMar>
                  <w:vAlign w:val="center"/>
                </w:tcPr>
                <w:p w14:paraId="0CD7D7FE">
                  <w:pPr>
                    <w:keepNext w:val="0"/>
                    <w:keepLines w:val="0"/>
                    <w:pageBreakBefore w:val="0"/>
                    <w:widowControl/>
                    <w:shd w:val="clear"/>
                    <w:kinsoku/>
                    <w:wordWrap/>
                    <w:overflowPunct/>
                    <w:topLinePunct w:val="0"/>
                    <w:autoSpaceDE/>
                    <w:autoSpaceDN/>
                    <w:bidi w:val="0"/>
                    <w:adjustRightInd w:val="0"/>
                    <w:snapToGrid w:val="0"/>
                    <w:spacing w:line="360" w:lineRule="auto"/>
                    <w:ind w:left="0"/>
                    <w:jc w:val="left"/>
                    <w:textAlignment w:val="auto"/>
                    <w:rPr>
                      <w:rStyle w:val="20"/>
                      <w:rFonts w:hint="eastAsia" w:ascii="宋体" w:hAnsi="宋体" w:eastAsia="宋体" w:cs="宋体"/>
                      <w:b w:val="0"/>
                      <w:bCs w:val="0"/>
                      <w:i w:val="0"/>
                      <w:iCs w:val="0"/>
                      <w:smallCaps w:val="0"/>
                      <w:color w:val="auto"/>
                      <w:kern w:val="0"/>
                      <w:sz w:val="21"/>
                      <w:szCs w:val="21"/>
                      <w:highlight w:val="none"/>
                      <w:lang w:eastAsia="zh-CN"/>
                    </w:rPr>
                  </w:pPr>
                  <w:r>
                    <w:rPr>
                      <w:rStyle w:val="20"/>
                      <w:rFonts w:hint="eastAsia" w:ascii="宋体" w:hAnsi="宋体" w:cs="宋体"/>
                      <w:b w:val="0"/>
                      <w:bCs w:val="0"/>
                      <w:i w:val="0"/>
                      <w:iCs w:val="0"/>
                      <w:smallCaps w:val="0"/>
                      <w:color w:val="auto"/>
                      <w:kern w:val="0"/>
                      <w:sz w:val="21"/>
                      <w:szCs w:val="21"/>
                      <w:highlight w:val="none"/>
                      <w:lang w:eastAsia="zh-CN"/>
                    </w:rPr>
                    <w:t>国家税务总局盖州市税务局</w:t>
                  </w:r>
                </w:p>
              </w:tc>
            </w:tr>
            <w:tr w14:paraId="72C5E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1648" w:type="dxa"/>
                  <w:noWrap w:val="0"/>
                  <w:tcMar>
                    <w:top w:w="15" w:type="dxa"/>
                    <w:left w:w="15" w:type="dxa"/>
                    <w:bottom w:w="15" w:type="dxa"/>
                    <w:right w:w="15" w:type="dxa"/>
                  </w:tcMar>
                  <w:vAlign w:val="center"/>
                </w:tcPr>
                <w:p w14:paraId="353AB155">
                  <w:pPr>
                    <w:keepNext w:val="0"/>
                    <w:keepLines w:val="0"/>
                    <w:pageBreakBefore w:val="0"/>
                    <w:widowControl/>
                    <w:shd w:val="clear"/>
                    <w:kinsoku/>
                    <w:wordWrap/>
                    <w:overflowPunct/>
                    <w:topLinePunct w:val="0"/>
                    <w:autoSpaceDE/>
                    <w:autoSpaceDN/>
                    <w:bidi w:val="0"/>
                    <w:adjustRightInd w:val="0"/>
                    <w:snapToGrid w:val="0"/>
                    <w:spacing w:line="360" w:lineRule="auto"/>
                    <w:ind w:left="0"/>
                    <w:jc w:val="left"/>
                    <w:textAlignment w:val="auto"/>
                    <w:rPr>
                      <w:rStyle w:val="20"/>
                      <w:rFonts w:hint="eastAsia" w:ascii="宋体" w:hAnsi="宋体" w:eastAsia="宋体" w:cs="宋体"/>
                      <w:b w:val="0"/>
                      <w:bCs w:val="0"/>
                      <w:i w:val="0"/>
                      <w:iCs w:val="0"/>
                      <w:smallCaps w:val="0"/>
                      <w:color w:val="auto"/>
                      <w:kern w:val="0"/>
                      <w:sz w:val="21"/>
                      <w:szCs w:val="21"/>
                      <w:highlight w:val="none"/>
                      <w:lang w:eastAsia="zh-CN"/>
                    </w:rPr>
                  </w:pPr>
                  <w:r>
                    <w:rPr>
                      <w:rStyle w:val="20"/>
                      <w:rFonts w:ascii="宋体" w:hAnsi="宋体" w:cs="宋体"/>
                      <w:b w:val="0"/>
                      <w:bCs w:val="0"/>
                      <w:i w:val="0"/>
                      <w:iCs w:val="0"/>
                      <w:smallCaps w:val="0"/>
                      <w:color w:val="auto"/>
                      <w:kern w:val="0"/>
                      <w:sz w:val="21"/>
                      <w:szCs w:val="21"/>
                      <w:highlight w:val="none"/>
                    </w:rPr>
                    <w:t>职务</w:t>
                  </w:r>
                  <w:r>
                    <w:rPr>
                      <w:rStyle w:val="20"/>
                      <w:rFonts w:hint="eastAsia" w:ascii="宋体" w:hAnsi="宋体" w:cs="宋体"/>
                      <w:b w:val="0"/>
                      <w:bCs w:val="0"/>
                      <w:i w:val="0"/>
                      <w:iCs w:val="0"/>
                      <w:smallCaps w:val="0"/>
                      <w:color w:val="auto"/>
                      <w:kern w:val="0"/>
                      <w:sz w:val="21"/>
                      <w:szCs w:val="21"/>
                      <w:highlight w:val="none"/>
                      <w:lang w:eastAsia="zh-CN"/>
                    </w:rPr>
                    <w:t>：</w:t>
                  </w:r>
                </w:p>
              </w:tc>
              <w:tc>
                <w:tcPr>
                  <w:tcW w:w="2802" w:type="dxa"/>
                  <w:noWrap w:val="0"/>
                  <w:tcMar>
                    <w:top w:w="15" w:type="dxa"/>
                    <w:left w:w="15" w:type="dxa"/>
                    <w:bottom w:w="15" w:type="dxa"/>
                    <w:right w:w="15" w:type="dxa"/>
                  </w:tcMar>
                  <w:vAlign w:val="center"/>
                </w:tcPr>
                <w:p w14:paraId="67B45903">
                  <w:pPr>
                    <w:keepNext w:val="0"/>
                    <w:keepLines w:val="0"/>
                    <w:pageBreakBefore w:val="0"/>
                    <w:widowControl/>
                    <w:shd w:val="clear"/>
                    <w:kinsoku/>
                    <w:wordWrap/>
                    <w:overflowPunct/>
                    <w:topLinePunct w:val="0"/>
                    <w:autoSpaceDE/>
                    <w:autoSpaceDN/>
                    <w:bidi w:val="0"/>
                    <w:adjustRightInd w:val="0"/>
                    <w:snapToGrid w:val="0"/>
                    <w:spacing w:line="360" w:lineRule="auto"/>
                    <w:ind w:left="0"/>
                    <w:jc w:val="left"/>
                    <w:textAlignment w:val="auto"/>
                    <w:rPr>
                      <w:rStyle w:val="20"/>
                      <w:rFonts w:ascii="宋体" w:hAnsi="宋体" w:cs="宋体"/>
                      <w:b w:val="0"/>
                      <w:bCs w:val="0"/>
                      <w:i w:val="0"/>
                      <w:iCs w:val="0"/>
                      <w:smallCaps w:val="0"/>
                      <w:color w:val="auto"/>
                      <w:kern w:val="0"/>
                      <w:sz w:val="21"/>
                      <w:szCs w:val="21"/>
                      <w:highlight w:val="none"/>
                    </w:rPr>
                  </w:pPr>
                  <w:r>
                    <w:rPr>
                      <w:rStyle w:val="20"/>
                      <w:rFonts w:ascii="宋体" w:hAnsi="宋体" w:cs="宋体"/>
                      <w:b w:val="0"/>
                      <w:bCs w:val="0"/>
                      <w:i w:val="0"/>
                      <w:iCs w:val="0"/>
                      <w:smallCaps w:val="0"/>
                      <w:color w:val="auto"/>
                      <w:kern w:val="0"/>
                      <w:sz w:val="21"/>
                      <w:szCs w:val="21"/>
                      <w:highlight w:val="none"/>
                    </w:rPr>
                    <w:t>项目</w:t>
                  </w:r>
                  <w:r>
                    <w:rPr>
                      <w:rStyle w:val="20"/>
                      <w:rFonts w:hint="eastAsia" w:ascii="宋体" w:hAnsi="宋体" w:cs="宋体"/>
                      <w:b w:val="0"/>
                      <w:bCs w:val="0"/>
                      <w:i w:val="0"/>
                      <w:iCs w:val="0"/>
                      <w:smallCaps w:val="0"/>
                      <w:color w:val="auto"/>
                      <w:kern w:val="0"/>
                      <w:sz w:val="21"/>
                      <w:szCs w:val="21"/>
                      <w:highlight w:val="none"/>
                      <w:lang w:val="en-US" w:eastAsia="zh-CN"/>
                    </w:rPr>
                    <w:t>联系</w:t>
                  </w:r>
                  <w:r>
                    <w:rPr>
                      <w:rStyle w:val="20"/>
                      <w:rFonts w:ascii="宋体" w:hAnsi="宋体" w:cs="宋体"/>
                      <w:b w:val="0"/>
                      <w:bCs w:val="0"/>
                      <w:i w:val="0"/>
                      <w:iCs w:val="0"/>
                      <w:smallCaps w:val="0"/>
                      <w:color w:val="auto"/>
                      <w:kern w:val="0"/>
                      <w:sz w:val="21"/>
                      <w:szCs w:val="21"/>
                      <w:highlight w:val="none"/>
                    </w:rPr>
                    <w:t>人</w:t>
                  </w:r>
                </w:p>
              </w:tc>
              <w:tc>
                <w:tcPr>
                  <w:tcW w:w="1648" w:type="dxa"/>
                  <w:noWrap w:val="0"/>
                  <w:tcMar>
                    <w:top w:w="15" w:type="dxa"/>
                    <w:left w:w="15" w:type="dxa"/>
                    <w:bottom w:w="15" w:type="dxa"/>
                    <w:right w:w="15" w:type="dxa"/>
                  </w:tcMar>
                  <w:vAlign w:val="center"/>
                </w:tcPr>
                <w:p w14:paraId="029A8E69">
                  <w:pPr>
                    <w:keepNext w:val="0"/>
                    <w:keepLines w:val="0"/>
                    <w:pageBreakBefore w:val="0"/>
                    <w:widowControl/>
                    <w:shd w:val="clear"/>
                    <w:kinsoku/>
                    <w:wordWrap/>
                    <w:overflowPunct/>
                    <w:topLinePunct w:val="0"/>
                    <w:autoSpaceDE/>
                    <w:autoSpaceDN/>
                    <w:bidi w:val="0"/>
                    <w:adjustRightInd w:val="0"/>
                    <w:snapToGrid w:val="0"/>
                    <w:spacing w:line="360" w:lineRule="auto"/>
                    <w:ind w:left="0"/>
                    <w:jc w:val="left"/>
                    <w:textAlignment w:val="auto"/>
                    <w:rPr>
                      <w:rStyle w:val="20"/>
                      <w:rFonts w:hint="eastAsia" w:ascii="宋体" w:hAnsi="宋体" w:eastAsia="宋体" w:cs="宋体"/>
                      <w:b w:val="0"/>
                      <w:bCs w:val="0"/>
                      <w:i w:val="0"/>
                      <w:iCs w:val="0"/>
                      <w:smallCaps w:val="0"/>
                      <w:color w:val="auto"/>
                      <w:kern w:val="0"/>
                      <w:sz w:val="21"/>
                      <w:szCs w:val="21"/>
                      <w:highlight w:val="none"/>
                      <w:lang w:eastAsia="zh-CN"/>
                    </w:rPr>
                  </w:pPr>
                  <w:r>
                    <w:rPr>
                      <w:rStyle w:val="20"/>
                      <w:rFonts w:ascii="宋体" w:hAnsi="宋体" w:cs="宋体"/>
                      <w:b w:val="0"/>
                      <w:bCs w:val="0"/>
                      <w:i w:val="0"/>
                      <w:iCs w:val="0"/>
                      <w:smallCaps w:val="0"/>
                      <w:color w:val="auto"/>
                      <w:kern w:val="0"/>
                      <w:sz w:val="21"/>
                      <w:szCs w:val="21"/>
                      <w:highlight w:val="none"/>
                    </w:rPr>
                    <w:t>职务</w:t>
                  </w:r>
                  <w:r>
                    <w:rPr>
                      <w:rStyle w:val="20"/>
                      <w:rFonts w:hint="eastAsia" w:ascii="宋体" w:hAnsi="宋体" w:cs="宋体"/>
                      <w:b w:val="0"/>
                      <w:bCs w:val="0"/>
                      <w:i w:val="0"/>
                      <w:iCs w:val="0"/>
                      <w:smallCaps w:val="0"/>
                      <w:color w:val="auto"/>
                      <w:kern w:val="0"/>
                      <w:sz w:val="21"/>
                      <w:szCs w:val="21"/>
                      <w:highlight w:val="none"/>
                      <w:lang w:eastAsia="zh-CN"/>
                    </w:rPr>
                    <w:t>：</w:t>
                  </w:r>
                </w:p>
              </w:tc>
              <w:tc>
                <w:tcPr>
                  <w:tcW w:w="2802" w:type="dxa"/>
                  <w:noWrap w:val="0"/>
                  <w:tcMar>
                    <w:top w:w="15" w:type="dxa"/>
                    <w:left w:w="15" w:type="dxa"/>
                    <w:bottom w:w="15" w:type="dxa"/>
                    <w:right w:w="15" w:type="dxa"/>
                  </w:tcMar>
                  <w:vAlign w:val="center"/>
                </w:tcPr>
                <w:p w14:paraId="0B020253">
                  <w:pPr>
                    <w:keepNext w:val="0"/>
                    <w:keepLines w:val="0"/>
                    <w:pageBreakBefore w:val="0"/>
                    <w:widowControl/>
                    <w:shd w:val="clear"/>
                    <w:kinsoku/>
                    <w:wordWrap/>
                    <w:overflowPunct/>
                    <w:topLinePunct w:val="0"/>
                    <w:autoSpaceDE/>
                    <w:autoSpaceDN/>
                    <w:bidi w:val="0"/>
                    <w:adjustRightInd w:val="0"/>
                    <w:snapToGrid w:val="0"/>
                    <w:spacing w:line="360" w:lineRule="auto"/>
                    <w:ind w:left="0"/>
                    <w:jc w:val="left"/>
                    <w:textAlignment w:val="auto"/>
                    <w:rPr>
                      <w:rStyle w:val="20"/>
                      <w:rFonts w:ascii="宋体" w:hAnsi="宋体" w:cs="宋体"/>
                      <w:b w:val="0"/>
                      <w:bCs w:val="0"/>
                      <w:i w:val="0"/>
                      <w:iCs w:val="0"/>
                      <w:smallCaps w:val="0"/>
                      <w:color w:val="auto"/>
                      <w:kern w:val="0"/>
                      <w:sz w:val="21"/>
                      <w:szCs w:val="21"/>
                      <w:highlight w:val="none"/>
                    </w:rPr>
                  </w:pPr>
                  <w:r>
                    <w:rPr>
                      <w:rStyle w:val="20"/>
                      <w:rFonts w:ascii="宋体" w:hAnsi="宋体" w:cs="宋体"/>
                      <w:b w:val="0"/>
                      <w:bCs w:val="0"/>
                      <w:i w:val="0"/>
                      <w:iCs w:val="0"/>
                      <w:smallCaps w:val="0"/>
                      <w:color w:val="auto"/>
                      <w:kern w:val="0"/>
                      <w:sz w:val="21"/>
                      <w:szCs w:val="21"/>
                      <w:highlight w:val="none"/>
                    </w:rPr>
                    <w:t>项目</w:t>
                  </w:r>
                  <w:r>
                    <w:rPr>
                      <w:rStyle w:val="20"/>
                      <w:rFonts w:hint="eastAsia" w:ascii="宋体" w:hAnsi="宋体" w:cs="宋体"/>
                      <w:b w:val="0"/>
                      <w:bCs w:val="0"/>
                      <w:i w:val="0"/>
                      <w:iCs w:val="0"/>
                      <w:smallCaps w:val="0"/>
                      <w:color w:val="auto"/>
                      <w:kern w:val="0"/>
                      <w:sz w:val="21"/>
                      <w:szCs w:val="21"/>
                      <w:highlight w:val="none"/>
                      <w:lang w:val="en-US" w:eastAsia="zh-CN"/>
                    </w:rPr>
                    <w:t>联系</w:t>
                  </w:r>
                  <w:r>
                    <w:rPr>
                      <w:rStyle w:val="20"/>
                      <w:rFonts w:ascii="宋体" w:hAnsi="宋体" w:cs="宋体"/>
                      <w:b w:val="0"/>
                      <w:bCs w:val="0"/>
                      <w:i w:val="0"/>
                      <w:iCs w:val="0"/>
                      <w:smallCaps w:val="0"/>
                      <w:color w:val="auto"/>
                      <w:kern w:val="0"/>
                      <w:sz w:val="21"/>
                      <w:szCs w:val="21"/>
                      <w:highlight w:val="none"/>
                    </w:rPr>
                    <w:t>人</w:t>
                  </w:r>
                </w:p>
              </w:tc>
            </w:tr>
            <w:tr w14:paraId="65387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8" w:hRule="atLeast"/>
                <w:tblCellSpacing w:w="15" w:type="dxa"/>
              </w:trPr>
              <w:tc>
                <w:tcPr>
                  <w:tcW w:w="1648" w:type="dxa"/>
                  <w:noWrap w:val="0"/>
                  <w:tcMar>
                    <w:top w:w="15" w:type="dxa"/>
                    <w:left w:w="15" w:type="dxa"/>
                    <w:bottom w:w="15" w:type="dxa"/>
                    <w:right w:w="15" w:type="dxa"/>
                  </w:tcMar>
                  <w:vAlign w:val="center"/>
                </w:tcPr>
                <w:p w14:paraId="69DC3F24">
                  <w:pPr>
                    <w:keepNext w:val="0"/>
                    <w:keepLines w:val="0"/>
                    <w:pageBreakBefore w:val="0"/>
                    <w:widowControl/>
                    <w:shd w:val="clear"/>
                    <w:kinsoku/>
                    <w:wordWrap/>
                    <w:overflowPunct/>
                    <w:topLinePunct w:val="0"/>
                    <w:autoSpaceDE/>
                    <w:autoSpaceDN/>
                    <w:bidi w:val="0"/>
                    <w:adjustRightInd w:val="0"/>
                    <w:snapToGrid w:val="0"/>
                    <w:spacing w:line="360" w:lineRule="auto"/>
                    <w:ind w:left="0"/>
                    <w:jc w:val="left"/>
                    <w:textAlignment w:val="auto"/>
                    <w:rPr>
                      <w:rStyle w:val="20"/>
                      <w:rFonts w:hint="eastAsia" w:ascii="宋体" w:hAnsi="宋体" w:eastAsia="宋体" w:cs="宋体"/>
                      <w:b w:val="0"/>
                      <w:bCs w:val="0"/>
                      <w:i w:val="0"/>
                      <w:iCs w:val="0"/>
                      <w:smallCaps w:val="0"/>
                      <w:color w:val="auto"/>
                      <w:kern w:val="0"/>
                      <w:sz w:val="21"/>
                      <w:szCs w:val="21"/>
                      <w:highlight w:val="none"/>
                      <w:lang w:eastAsia="zh-CN"/>
                    </w:rPr>
                  </w:pPr>
                  <w:r>
                    <w:rPr>
                      <w:rStyle w:val="20"/>
                      <w:rFonts w:ascii="宋体" w:hAnsi="宋体" w:cs="宋体"/>
                      <w:b w:val="0"/>
                      <w:bCs w:val="0"/>
                      <w:i w:val="0"/>
                      <w:iCs w:val="0"/>
                      <w:smallCaps w:val="0"/>
                      <w:color w:val="auto"/>
                      <w:kern w:val="0"/>
                      <w:sz w:val="21"/>
                      <w:szCs w:val="21"/>
                      <w:highlight w:val="none"/>
                    </w:rPr>
                    <w:t>职称</w:t>
                  </w:r>
                  <w:r>
                    <w:rPr>
                      <w:rStyle w:val="20"/>
                      <w:rFonts w:hint="eastAsia" w:ascii="宋体" w:hAnsi="宋体" w:cs="宋体"/>
                      <w:b w:val="0"/>
                      <w:bCs w:val="0"/>
                      <w:i w:val="0"/>
                      <w:iCs w:val="0"/>
                      <w:smallCaps w:val="0"/>
                      <w:color w:val="auto"/>
                      <w:kern w:val="0"/>
                      <w:sz w:val="21"/>
                      <w:szCs w:val="21"/>
                      <w:highlight w:val="none"/>
                      <w:lang w:eastAsia="zh-CN"/>
                    </w:rPr>
                    <w:t>：</w:t>
                  </w:r>
                </w:p>
              </w:tc>
              <w:tc>
                <w:tcPr>
                  <w:tcW w:w="2802" w:type="dxa"/>
                  <w:noWrap w:val="0"/>
                  <w:tcMar>
                    <w:top w:w="15" w:type="dxa"/>
                    <w:left w:w="15" w:type="dxa"/>
                    <w:bottom w:w="15" w:type="dxa"/>
                    <w:right w:w="15" w:type="dxa"/>
                  </w:tcMar>
                  <w:vAlign w:val="center"/>
                </w:tcPr>
                <w:p w14:paraId="0415BEBD">
                  <w:pPr>
                    <w:keepNext w:val="0"/>
                    <w:keepLines w:val="0"/>
                    <w:pageBreakBefore w:val="0"/>
                    <w:widowControl/>
                    <w:shd w:val="clear"/>
                    <w:kinsoku/>
                    <w:wordWrap/>
                    <w:overflowPunct/>
                    <w:topLinePunct w:val="0"/>
                    <w:autoSpaceDE/>
                    <w:autoSpaceDN/>
                    <w:bidi w:val="0"/>
                    <w:adjustRightInd w:val="0"/>
                    <w:snapToGrid w:val="0"/>
                    <w:spacing w:line="360" w:lineRule="auto"/>
                    <w:ind w:left="0"/>
                    <w:jc w:val="left"/>
                    <w:textAlignment w:val="auto"/>
                    <w:rPr>
                      <w:rStyle w:val="20"/>
                      <w:rFonts w:hint="default" w:ascii="宋体" w:hAnsi="宋体" w:eastAsia="宋体" w:cs="宋体"/>
                      <w:b w:val="0"/>
                      <w:bCs w:val="0"/>
                      <w:i w:val="0"/>
                      <w:iCs w:val="0"/>
                      <w:smallCaps w:val="0"/>
                      <w:color w:val="auto"/>
                      <w:kern w:val="0"/>
                      <w:sz w:val="21"/>
                      <w:szCs w:val="21"/>
                      <w:highlight w:val="none"/>
                      <w:lang w:val="en-US" w:eastAsia="zh-CN"/>
                    </w:rPr>
                  </w:pPr>
                  <w:r>
                    <w:rPr>
                      <w:rStyle w:val="20"/>
                      <w:rFonts w:hint="eastAsia" w:ascii="宋体" w:hAnsi="宋体" w:cs="宋体"/>
                      <w:b w:val="0"/>
                      <w:bCs w:val="0"/>
                      <w:i w:val="0"/>
                      <w:iCs w:val="0"/>
                      <w:smallCaps w:val="0"/>
                      <w:color w:val="auto"/>
                      <w:kern w:val="0"/>
                      <w:sz w:val="21"/>
                      <w:szCs w:val="21"/>
                      <w:highlight w:val="none"/>
                      <w:lang w:val="en-US" w:eastAsia="zh-CN"/>
                    </w:rPr>
                    <w:t>无</w:t>
                  </w:r>
                </w:p>
              </w:tc>
              <w:tc>
                <w:tcPr>
                  <w:tcW w:w="1648" w:type="dxa"/>
                  <w:noWrap w:val="0"/>
                  <w:tcMar>
                    <w:top w:w="15" w:type="dxa"/>
                    <w:left w:w="15" w:type="dxa"/>
                    <w:bottom w:w="15" w:type="dxa"/>
                    <w:right w:w="15" w:type="dxa"/>
                  </w:tcMar>
                  <w:vAlign w:val="center"/>
                </w:tcPr>
                <w:p w14:paraId="56FBC67A">
                  <w:pPr>
                    <w:keepNext w:val="0"/>
                    <w:keepLines w:val="0"/>
                    <w:pageBreakBefore w:val="0"/>
                    <w:widowControl/>
                    <w:shd w:val="clear"/>
                    <w:kinsoku/>
                    <w:wordWrap/>
                    <w:overflowPunct/>
                    <w:topLinePunct w:val="0"/>
                    <w:autoSpaceDE/>
                    <w:autoSpaceDN/>
                    <w:bidi w:val="0"/>
                    <w:adjustRightInd w:val="0"/>
                    <w:snapToGrid w:val="0"/>
                    <w:spacing w:line="360" w:lineRule="auto"/>
                    <w:ind w:left="0"/>
                    <w:jc w:val="left"/>
                    <w:textAlignment w:val="auto"/>
                    <w:rPr>
                      <w:rStyle w:val="20"/>
                      <w:rFonts w:ascii="宋体" w:hAnsi="宋体" w:cs="宋体"/>
                      <w:b w:val="0"/>
                      <w:bCs w:val="0"/>
                      <w:i w:val="0"/>
                      <w:iCs w:val="0"/>
                      <w:smallCaps w:val="0"/>
                      <w:color w:val="auto"/>
                      <w:kern w:val="0"/>
                      <w:sz w:val="21"/>
                      <w:szCs w:val="21"/>
                      <w:highlight w:val="none"/>
                    </w:rPr>
                  </w:pPr>
                  <w:r>
                    <w:rPr>
                      <w:rStyle w:val="20"/>
                      <w:rFonts w:ascii="宋体" w:hAnsi="宋体" w:cs="宋体"/>
                      <w:b w:val="0"/>
                      <w:bCs w:val="0"/>
                      <w:i w:val="0"/>
                      <w:iCs w:val="0"/>
                      <w:smallCaps w:val="0"/>
                      <w:color w:val="auto"/>
                      <w:kern w:val="0"/>
                      <w:sz w:val="21"/>
                      <w:szCs w:val="21"/>
                      <w:highlight w:val="none"/>
                    </w:rPr>
                    <w:t>职称</w:t>
                  </w:r>
                  <w:r>
                    <w:rPr>
                      <w:rStyle w:val="20"/>
                      <w:rFonts w:hint="eastAsia" w:ascii="宋体" w:hAnsi="宋体" w:cs="宋体"/>
                      <w:b w:val="0"/>
                      <w:bCs w:val="0"/>
                      <w:i w:val="0"/>
                      <w:iCs w:val="0"/>
                      <w:smallCaps w:val="0"/>
                      <w:color w:val="auto"/>
                      <w:kern w:val="0"/>
                      <w:sz w:val="21"/>
                      <w:szCs w:val="21"/>
                      <w:highlight w:val="none"/>
                      <w:lang w:eastAsia="zh-CN"/>
                    </w:rPr>
                    <w:t>：</w:t>
                  </w:r>
                </w:p>
              </w:tc>
              <w:tc>
                <w:tcPr>
                  <w:tcW w:w="2802" w:type="dxa"/>
                  <w:noWrap w:val="0"/>
                  <w:tcMar>
                    <w:top w:w="15" w:type="dxa"/>
                    <w:left w:w="15" w:type="dxa"/>
                    <w:bottom w:w="15" w:type="dxa"/>
                    <w:right w:w="15" w:type="dxa"/>
                  </w:tcMar>
                  <w:vAlign w:val="center"/>
                </w:tcPr>
                <w:p w14:paraId="185D449A">
                  <w:pPr>
                    <w:keepNext w:val="0"/>
                    <w:keepLines w:val="0"/>
                    <w:pageBreakBefore w:val="0"/>
                    <w:widowControl/>
                    <w:shd w:val="clear"/>
                    <w:kinsoku/>
                    <w:wordWrap/>
                    <w:overflowPunct/>
                    <w:topLinePunct w:val="0"/>
                    <w:autoSpaceDE/>
                    <w:autoSpaceDN/>
                    <w:bidi w:val="0"/>
                    <w:adjustRightInd w:val="0"/>
                    <w:snapToGrid w:val="0"/>
                    <w:spacing w:line="360" w:lineRule="auto"/>
                    <w:ind w:left="0"/>
                    <w:jc w:val="left"/>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无</w:t>
                  </w:r>
                </w:p>
              </w:tc>
            </w:tr>
          </w:tbl>
          <w:p w14:paraId="20CDA06A">
            <w:pPr>
              <w:keepNext w:val="0"/>
              <w:keepLines w:val="0"/>
              <w:pageBreakBefore w:val="0"/>
              <w:widowControl w:val="0"/>
              <w:shd w:val="clear"/>
              <w:kinsoku/>
              <w:wordWrap/>
              <w:overflowPunct/>
              <w:topLinePunct w:val="0"/>
              <w:autoSpaceDE/>
              <w:autoSpaceDN/>
              <w:bidi w:val="0"/>
              <w:adjustRightInd w:val="0"/>
              <w:snapToGrid w:val="0"/>
              <w:spacing w:line="360" w:lineRule="auto"/>
              <w:jc w:val="both"/>
              <w:textAlignment w:val="auto"/>
              <w:rPr>
                <w:rStyle w:val="20"/>
                <w:rFonts w:ascii="宋体" w:hAnsi="宋体" w:cs="宋体"/>
                <w:b w:val="0"/>
                <w:bCs w:val="0"/>
                <w:i w:val="0"/>
                <w:iCs w:val="0"/>
                <w:smallCaps w:val="0"/>
                <w:color w:val="auto"/>
                <w:kern w:val="0"/>
                <w:sz w:val="21"/>
                <w:szCs w:val="21"/>
                <w:highlight w:val="none"/>
              </w:rPr>
            </w:pPr>
          </w:p>
        </w:tc>
      </w:tr>
      <w:tr w14:paraId="458C7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jc w:val="center"/>
        </w:trPr>
        <w:tc>
          <w:tcPr>
            <w:tcW w:w="0" w:type="auto"/>
            <w:noWrap w:val="0"/>
            <w:tcMar>
              <w:top w:w="15" w:type="dxa"/>
              <w:left w:w="15" w:type="dxa"/>
              <w:bottom w:w="15" w:type="dxa"/>
              <w:right w:w="15" w:type="dxa"/>
            </w:tcMar>
            <w:vAlign w:val="center"/>
          </w:tcPr>
          <w:p w14:paraId="66C92DFB">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ascii="宋体" w:hAnsi="宋体" w:cs="宋体"/>
                <w:b w:val="0"/>
                <w:bCs w:val="0"/>
                <w:i w:val="0"/>
                <w:iCs w:val="0"/>
                <w:smallCaps w:val="0"/>
                <w:color w:val="auto"/>
                <w:kern w:val="0"/>
                <w:sz w:val="21"/>
                <w:szCs w:val="21"/>
                <w:highlight w:val="none"/>
              </w:rPr>
            </w:pPr>
            <w:r>
              <w:rPr>
                <w:rStyle w:val="20"/>
                <w:rFonts w:ascii="宋体" w:hAnsi="宋体" w:cs="宋体"/>
                <w:b/>
                <w:bCs/>
                <w:i w:val="0"/>
                <w:iCs w:val="0"/>
                <w:smallCaps w:val="0"/>
                <w:color w:val="auto"/>
                <w:kern w:val="0"/>
                <w:sz w:val="21"/>
                <w:szCs w:val="21"/>
                <w:highlight w:val="none"/>
              </w:rPr>
              <w:t>九、联系方式</w:t>
            </w:r>
          </w:p>
        </w:tc>
      </w:tr>
      <w:tr w14:paraId="67F90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jc w:val="center"/>
        </w:trPr>
        <w:tc>
          <w:tcPr>
            <w:tcW w:w="0" w:type="auto"/>
            <w:noWrap w:val="0"/>
            <w:tcMar>
              <w:top w:w="15" w:type="dxa"/>
              <w:left w:w="15" w:type="dxa"/>
              <w:bottom w:w="15" w:type="dxa"/>
              <w:right w:w="15" w:type="dxa"/>
            </w:tcMar>
            <w:vAlign w:val="center"/>
          </w:tcPr>
          <w:tbl>
            <w:tblPr>
              <w:tblStyle w:val="18"/>
              <w:tblW w:w="496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1454"/>
              <w:gridCol w:w="2852"/>
              <w:gridCol w:w="1540"/>
              <w:gridCol w:w="3132"/>
            </w:tblGrid>
            <w:tr w14:paraId="12C48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49" w:hRule="atLeast"/>
                <w:tblCellSpacing w:w="15" w:type="dxa"/>
              </w:trPr>
              <w:tc>
                <w:tcPr>
                  <w:tcW w:w="1409" w:type="dxa"/>
                  <w:noWrap w:val="0"/>
                  <w:tcMar>
                    <w:top w:w="15" w:type="dxa"/>
                    <w:left w:w="15" w:type="dxa"/>
                    <w:bottom w:w="15" w:type="dxa"/>
                    <w:right w:w="15" w:type="dxa"/>
                  </w:tcMar>
                  <w:vAlign w:val="center"/>
                </w:tcPr>
                <w:p w14:paraId="7EF003BC">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hint="eastAsia" w:ascii="宋体" w:hAnsi="宋体" w:eastAsia="宋体" w:cs="宋体"/>
                      <w:b w:val="0"/>
                      <w:bCs w:val="0"/>
                      <w:i w:val="0"/>
                      <w:iCs w:val="0"/>
                      <w:smallCaps w:val="0"/>
                      <w:color w:val="auto"/>
                      <w:kern w:val="0"/>
                      <w:sz w:val="21"/>
                      <w:szCs w:val="21"/>
                      <w:highlight w:val="none"/>
                      <w:lang w:eastAsia="zh-CN"/>
                    </w:rPr>
                  </w:pPr>
                  <w:r>
                    <w:rPr>
                      <w:rStyle w:val="20"/>
                      <w:rFonts w:ascii="宋体" w:hAnsi="宋体" w:cs="宋体"/>
                      <w:b w:val="0"/>
                      <w:bCs w:val="0"/>
                      <w:i w:val="0"/>
                      <w:iCs w:val="0"/>
                      <w:smallCaps w:val="0"/>
                      <w:color w:val="auto"/>
                      <w:kern w:val="0"/>
                      <w:sz w:val="21"/>
                      <w:szCs w:val="21"/>
                      <w:highlight w:val="none"/>
                    </w:rPr>
                    <w:t>招标人</w:t>
                  </w:r>
                  <w:r>
                    <w:rPr>
                      <w:rStyle w:val="20"/>
                      <w:rFonts w:hint="eastAsia" w:ascii="宋体" w:hAnsi="宋体" w:cs="宋体"/>
                      <w:b w:val="0"/>
                      <w:bCs w:val="0"/>
                      <w:i w:val="0"/>
                      <w:iCs w:val="0"/>
                      <w:smallCaps w:val="0"/>
                      <w:color w:val="auto"/>
                      <w:kern w:val="0"/>
                      <w:sz w:val="21"/>
                      <w:szCs w:val="21"/>
                      <w:highlight w:val="none"/>
                      <w:lang w:eastAsia="zh-CN"/>
                    </w:rPr>
                    <w:t>：</w:t>
                  </w:r>
                </w:p>
              </w:tc>
              <w:tc>
                <w:tcPr>
                  <w:tcW w:w="2822" w:type="dxa"/>
                  <w:noWrap w:val="0"/>
                  <w:tcMar>
                    <w:top w:w="15" w:type="dxa"/>
                    <w:left w:w="15" w:type="dxa"/>
                    <w:bottom w:w="15" w:type="dxa"/>
                    <w:right w:w="15" w:type="dxa"/>
                  </w:tcMar>
                  <w:vAlign w:val="center"/>
                </w:tcPr>
                <w:p w14:paraId="10D0AAA1">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hint="eastAsia" w:ascii="宋体" w:hAnsi="宋体" w:eastAsia="宋体" w:cs="宋体"/>
                      <w:b w:val="0"/>
                      <w:bCs w:val="0"/>
                      <w:i w:val="0"/>
                      <w:iCs w:val="0"/>
                      <w:smallCaps w:val="0"/>
                      <w:color w:val="auto"/>
                      <w:kern w:val="0"/>
                      <w:sz w:val="21"/>
                      <w:szCs w:val="21"/>
                      <w:highlight w:val="none"/>
                      <w:lang w:eastAsia="zh-CN"/>
                    </w:rPr>
                  </w:pPr>
                  <w:r>
                    <w:rPr>
                      <w:rStyle w:val="20"/>
                      <w:rFonts w:hint="eastAsia" w:ascii="宋体" w:hAnsi="宋体" w:cs="宋体"/>
                      <w:b w:val="0"/>
                      <w:bCs w:val="0"/>
                      <w:i w:val="0"/>
                      <w:iCs w:val="0"/>
                      <w:smallCaps w:val="0"/>
                      <w:color w:val="auto"/>
                      <w:kern w:val="0"/>
                      <w:sz w:val="21"/>
                      <w:szCs w:val="21"/>
                      <w:highlight w:val="none"/>
                      <w:lang w:eastAsia="zh-CN"/>
                    </w:rPr>
                    <w:t>国家税务总局盖州市税务局</w:t>
                  </w:r>
                </w:p>
              </w:tc>
              <w:tc>
                <w:tcPr>
                  <w:tcW w:w="1510" w:type="dxa"/>
                  <w:noWrap w:val="0"/>
                  <w:tcMar>
                    <w:top w:w="15" w:type="dxa"/>
                    <w:left w:w="15" w:type="dxa"/>
                    <w:bottom w:w="15" w:type="dxa"/>
                    <w:right w:w="15" w:type="dxa"/>
                  </w:tcMar>
                  <w:vAlign w:val="center"/>
                </w:tcPr>
                <w:p w14:paraId="6FC36270">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hint="eastAsia" w:ascii="宋体" w:hAnsi="宋体" w:eastAsia="宋体" w:cs="宋体"/>
                      <w:b w:val="0"/>
                      <w:bCs w:val="0"/>
                      <w:i w:val="0"/>
                      <w:iCs w:val="0"/>
                      <w:smallCaps w:val="0"/>
                      <w:color w:val="auto"/>
                      <w:kern w:val="0"/>
                      <w:sz w:val="21"/>
                      <w:szCs w:val="21"/>
                      <w:highlight w:val="none"/>
                      <w:lang w:eastAsia="zh-CN"/>
                    </w:rPr>
                  </w:pPr>
                  <w:r>
                    <w:rPr>
                      <w:rStyle w:val="20"/>
                      <w:rFonts w:ascii="宋体" w:hAnsi="宋体" w:cs="宋体"/>
                      <w:b w:val="0"/>
                      <w:bCs w:val="0"/>
                      <w:i w:val="0"/>
                      <w:iCs w:val="0"/>
                      <w:smallCaps w:val="0"/>
                      <w:color w:val="auto"/>
                      <w:kern w:val="0"/>
                      <w:sz w:val="21"/>
                      <w:szCs w:val="21"/>
                      <w:highlight w:val="none"/>
                    </w:rPr>
                    <w:t>招标代理机构</w:t>
                  </w:r>
                  <w:r>
                    <w:rPr>
                      <w:rStyle w:val="20"/>
                      <w:rFonts w:hint="eastAsia" w:ascii="宋体" w:hAnsi="宋体" w:cs="宋体"/>
                      <w:b w:val="0"/>
                      <w:bCs w:val="0"/>
                      <w:i w:val="0"/>
                      <w:iCs w:val="0"/>
                      <w:smallCaps w:val="0"/>
                      <w:color w:val="auto"/>
                      <w:kern w:val="0"/>
                      <w:sz w:val="21"/>
                      <w:szCs w:val="21"/>
                      <w:highlight w:val="none"/>
                      <w:lang w:eastAsia="zh-CN"/>
                    </w:rPr>
                    <w:t>：</w:t>
                  </w:r>
                </w:p>
              </w:tc>
              <w:tc>
                <w:tcPr>
                  <w:tcW w:w="3087" w:type="dxa"/>
                  <w:noWrap w:val="0"/>
                  <w:tcMar>
                    <w:top w:w="15" w:type="dxa"/>
                    <w:left w:w="15" w:type="dxa"/>
                    <w:bottom w:w="15" w:type="dxa"/>
                    <w:right w:w="15" w:type="dxa"/>
                  </w:tcMar>
                  <w:vAlign w:val="center"/>
                </w:tcPr>
                <w:p w14:paraId="0708538D">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ascii="宋体" w:hAnsi="宋体" w:cs="宋体"/>
                      <w:b w:val="0"/>
                      <w:bCs w:val="0"/>
                      <w:i w:val="0"/>
                      <w:iCs w:val="0"/>
                      <w:smallCaps w:val="0"/>
                      <w:color w:val="auto"/>
                      <w:kern w:val="0"/>
                      <w:sz w:val="21"/>
                      <w:szCs w:val="21"/>
                      <w:highlight w:val="none"/>
                    </w:rPr>
                  </w:pPr>
                  <w:r>
                    <w:rPr>
                      <w:rStyle w:val="20"/>
                      <w:rFonts w:ascii="宋体" w:hAnsi="宋体" w:cs="宋体"/>
                      <w:b w:val="0"/>
                      <w:bCs w:val="0"/>
                      <w:i w:val="0"/>
                      <w:iCs w:val="0"/>
                      <w:smallCaps w:val="0"/>
                      <w:color w:val="auto"/>
                      <w:kern w:val="0"/>
                      <w:sz w:val="21"/>
                      <w:szCs w:val="21"/>
                      <w:highlight w:val="none"/>
                    </w:rPr>
                    <w:t>辽宁汇诚工程管理咨询有限公司</w:t>
                  </w:r>
                </w:p>
              </w:tc>
            </w:tr>
            <w:tr w14:paraId="530A3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9" w:hRule="atLeast"/>
                <w:tblCellSpacing w:w="15" w:type="dxa"/>
              </w:trPr>
              <w:tc>
                <w:tcPr>
                  <w:tcW w:w="1409" w:type="dxa"/>
                  <w:noWrap w:val="0"/>
                  <w:tcMar>
                    <w:top w:w="15" w:type="dxa"/>
                    <w:left w:w="15" w:type="dxa"/>
                    <w:bottom w:w="15" w:type="dxa"/>
                    <w:right w:w="15" w:type="dxa"/>
                  </w:tcMar>
                  <w:vAlign w:val="center"/>
                </w:tcPr>
                <w:p w14:paraId="22913A2C">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hint="eastAsia" w:ascii="宋体" w:hAnsi="宋体" w:eastAsia="宋体" w:cs="宋体"/>
                      <w:b w:val="0"/>
                      <w:bCs w:val="0"/>
                      <w:i w:val="0"/>
                      <w:iCs w:val="0"/>
                      <w:smallCaps w:val="0"/>
                      <w:color w:val="auto"/>
                      <w:kern w:val="0"/>
                      <w:sz w:val="21"/>
                      <w:szCs w:val="21"/>
                      <w:highlight w:val="none"/>
                      <w:lang w:eastAsia="zh-CN"/>
                    </w:rPr>
                  </w:pPr>
                  <w:r>
                    <w:rPr>
                      <w:rStyle w:val="20"/>
                      <w:rFonts w:ascii="宋体" w:hAnsi="宋体" w:cs="宋体"/>
                      <w:b w:val="0"/>
                      <w:bCs w:val="0"/>
                      <w:i w:val="0"/>
                      <w:iCs w:val="0"/>
                      <w:smallCaps w:val="0"/>
                      <w:color w:val="auto"/>
                      <w:kern w:val="0"/>
                      <w:sz w:val="21"/>
                      <w:szCs w:val="21"/>
                      <w:highlight w:val="none"/>
                    </w:rPr>
                    <w:t>地址</w:t>
                  </w:r>
                  <w:r>
                    <w:rPr>
                      <w:rStyle w:val="20"/>
                      <w:rFonts w:hint="eastAsia" w:ascii="宋体" w:hAnsi="宋体" w:cs="宋体"/>
                      <w:b w:val="0"/>
                      <w:bCs w:val="0"/>
                      <w:i w:val="0"/>
                      <w:iCs w:val="0"/>
                      <w:smallCaps w:val="0"/>
                      <w:color w:val="auto"/>
                      <w:kern w:val="0"/>
                      <w:sz w:val="21"/>
                      <w:szCs w:val="21"/>
                      <w:highlight w:val="none"/>
                      <w:lang w:eastAsia="zh-CN"/>
                    </w:rPr>
                    <w:t>：</w:t>
                  </w:r>
                </w:p>
              </w:tc>
              <w:tc>
                <w:tcPr>
                  <w:tcW w:w="2822" w:type="dxa"/>
                  <w:noWrap w:val="0"/>
                  <w:tcMar>
                    <w:top w:w="15" w:type="dxa"/>
                    <w:left w:w="15" w:type="dxa"/>
                    <w:bottom w:w="15" w:type="dxa"/>
                    <w:right w:w="15" w:type="dxa"/>
                  </w:tcMar>
                  <w:vAlign w:val="center"/>
                </w:tcPr>
                <w:p w14:paraId="14348A5E">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hint="eastAsia" w:ascii="宋体" w:hAnsi="宋体" w:eastAsia="宋体" w:cs="宋体"/>
                      <w:b w:val="0"/>
                      <w:bCs w:val="0"/>
                      <w:i w:val="0"/>
                      <w:iCs w:val="0"/>
                      <w:smallCaps w:val="0"/>
                      <w:color w:val="auto"/>
                      <w:kern w:val="0"/>
                      <w:sz w:val="21"/>
                      <w:szCs w:val="21"/>
                      <w:highlight w:val="none"/>
                      <w:lang w:eastAsia="zh-CN"/>
                    </w:rPr>
                  </w:pPr>
                  <w:r>
                    <w:rPr>
                      <w:rStyle w:val="20"/>
                      <w:rFonts w:hint="eastAsia" w:ascii="宋体" w:hAnsi="宋体" w:cs="宋体"/>
                      <w:b w:val="0"/>
                      <w:bCs w:val="0"/>
                      <w:i w:val="0"/>
                      <w:iCs w:val="0"/>
                      <w:smallCaps w:val="0"/>
                      <w:color w:val="auto"/>
                      <w:kern w:val="0"/>
                      <w:sz w:val="21"/>
                      <w:szCs w:val="21"/>
                      <w:highlight w:val="none"/>
                      <w:lang w:eastAsia="zh-CN"/>
                    </w:rPr>
                    <w:t>辽宁省盖州市</w:t>
                  </w:r>
                  <w:r>
                    <w:rPr>
                      <w:rStyle w:val="20"/>
                      <w:rFonts w:hint="eastAsia" w:ascii="宋体" w:hAnsi="宋体" w:cs="宋体"/>
                      <w:b w:val="0"/>
                      <w:bCs w:val="0"/>
                      <w:i w:val="0"/>
                      <w:iCs w:val="0"/>
                      <w:smallCaps w:val="0"/>
                      <w:color w:val="auto"/>
                      <w:kern w:val="0"/>
                      <w:sz w:val="21"/>
                      <w:szCs w:val="21"/>
                      <w:highlight w:val="none"/>
                      <w:lang w:val="en-US" w:eastAsia="zh-CN"/>
                    </w:rPr>
                    <w:t>红旗</w:t>
                  </w:r>
                  <w:r>
                    <w:rPr>
                      <w:rStyle w:val="20"/>
                      <w:rFonts w:hint="eastAsia" w:ascii="宋体" w:hAnsi="宋体" w:cs="宋体"/>
                      <w:b w:val="0"/>
                      <w:bCs w:val="0"/>
                      <w:i w:val="0"/>
                      <w:iCs w:val="0"/>
                      <w:smallCaps w:val="0"/>
                      <w:color w:val="auto"/>
                      <w:kern w:val="0"/>
                      <w:sz w:val="21"/>
                      <w:szCs w:val="21"/>
                      <w:highlight w:val="none"/>
                      <w:lang w:eastAsia="zh-CN"/>
                    </w:rPr>
                    <w:t>大街</w:t>
                  </w:r>
                  <w:r>
                    <w:rPr>
                      <w:rStyle w:val="20"/>
                      <w:rFonts w:hint="eastAsia" w:ascii="宋体" w:hAnsi="宋体" w:cs="宋体"/>
                      <w:b w:val="0"/>
                      <w:bCs w:val="0"/>
                      <w:i w:val="0"/>
                      <w:iCs w:val="0"/>
                      <w:smallCaps w:val="0"/>
                      <w:color w:val="auto"/>
                      <w:kern w:val="0"/>
                      <w:sz w:val="21"/>
                      <w:szCs w:val="21"/>
                      <w:highlight w:val="none"/>
                      <w:lang w:val="en-US" w:eastAsia="zh-CN"/>
                    </w:rPr>
                    <w:t>93</w:t>
                  </w:r>
                  <w:r>
                    <w:rPr>
                      <w:rStyle w:val="20"/>
                      <w:rFonts w:hint="eastAsia" w:ascii="宋体" w:hAnsi="宋体" w:cs="宋体"/>
                      <w:b w:val="0"/>
                      <w:bCs w:val="0"/>
                      <w:i w:val="0"/>
                      <w:iCs w:val="0"/>
                      <w:smallCaps w:val="0"/>
                      <w:color w:val="auto"/>
                      <w:kern w:val="0"/>
                      <w:sz w:val="21"/>
                      <w:szCs w:val="21"/>
                      <w:highlight w:val="none"/>
                      <w:lang w:eastAsia="zh-CN"/>
                    </w:rPr>
                    <w:t>号</w:t>
                  </w:r>
                </w:p>
              </w:tc>
              <w:tc>
                <w:tcPr>
                  <w:tcW w:w="1510" w:type="dxa"/>
                  <w:noWrap w:val="0"/>
                  <w:tcMar>
                    <w:top w:w="15" w:type="dxa"/>
                    <w:left w:w="15" w:type="dxa"/>
                    <w:bottom w:w="15" w:type="dxa"/>
                    <w:right w:w="15" w:type="dxa"/>
                  </w:tcMar>
                  <w:vAlign w:val="center"/>
                </w:tcPr>
                <w:p w14:paraId="71911526">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hint="eastAsia" w:ascii="宋体" w:hAnsi="宋体" w:eastAsia="宋体" w:cs="宋体"/>
                      <w:b w:val="0"/>
                      <w:bCs w:val="0"/>
                      <w:i w:val="0"/>
                      <w:iCs w:val="0"/>
                      <w:smallCaps w:val="0"/>
                      <w:color w:val="auto"/>
                      <w:kern w:val="0"/>
                      <w:sz w:val="21"/>
                      <w:szCs w:val="21"/>
                      <w:highlight w:val="none"/>
                      <w:lang w:eastAsia="zh-CN"/>
                    </w:rPr>
                  </w:pPr>
                  <w:r>
                    <w:rPr>
                      <w:rStyle w:val="20"/>
                      <w:rFonts w:ascii="宋体" w:hAnsi="宋体" w:cs="宋体"/>
                      <w:b w:val="0"/>
                      <w:bCs w:val="0"/>
                      <w:i w:val="0"/>
                      <w:iCs w:val="0"/>
                      <w:smallCaps w:val="0"/>
                      <w:color w:val="auto"/>
                      <w:kern w:val="0"/>
                      <w:sz w:val="21"/>
                      <w:szCs w:val="21"/>
                      <w:highlight w:val="none"/>
                    </w:rPr>
                    <w:t>地址</w:t>
                  </w:r>
                  <w:r>
                    <w:rPr>
                      <w:rStyle w:val="20"/>
                      <w:rFonts w:hint="eastAsia" w:ascii="宋体" w:hAnsi="宋体" w:cs="宋体"/>
                      <w:b w:val="0"/>
                      <w:bCs w:val="0"/>
                      <w:i w:val="0"/>
                      <w:iCs w:val="0"/>
                      <w:smallCaps w:val="0"/>
                      <w:color w:val="auto"/>
                      <w:kern w:val="0"/>
                      <w:sz w:val="21"/>
                      <w:szCs w:val="21"/>
                      <w:highlight w:val="none"/>
                      <w:lang w:eastAsia="zh-CN"/>
                    </w:rPr>
                    <w:t>：</w:t>
                  </w:r>
                </w:p>
              </w:tc>
              <w:tc>
                <w:tcPr>
                  <w:tcW w:w="3087" w:type="dxa"/>
                  <w:noWrap w:val="0"/>
                  <w:tcMar>
                    <w:top w:w="15" w:type="dxa"/>
                    <w:left w:w="15" w:type="dxa"/>
                    <w:bottom w:w="15" w:type="dxa"/>
                    <w:right w:w="15" w:type="dxa"/>
                  </w:tcMar>
                  <w:vAlign w:val="center"/>
                </w:tcPr>
                <w:p w14:paraId="7C079164">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ascii="宋体" w:hAnsi="宋体" w:cs="宋体"/>
                      <w:b w:val="0"/>
                      <w:bCs w:val="0"/>
                      <w:i w:val="0"/>
                      <w:iCs w:val="0"/>
                      <w:smallCaps w:val="0"/>
                      <w:color w:val="auto"/>
                      <w:kern w:val="0"/>
                      <w:sz w:val="21"/>
                      <w:szCs w:val="21"/>
                      <w:highlight w:val="none"/>
                    </w:rPr>
                  </w:pPr>
                  <w:r>
                    <w:rPr>
                      <w:rStyle w:val="20"/>
                      <w:rFonts w:ascii="宋体" w:hAnsi="宋体" w:cs="宋体"/>
                      <w:b w:val="0"/>
                      <w:bCs w:val="0"/>
                      <w:i w:val="0"/>
                      <w:iCs w:val="0"/>
                      <w:smallCaps w:val="0"/>
                      <w:color w:val="auto"/>
                      <w:kern w:val="0"/>
                      <w:sz w:val="21"/>
                      <w:szCs w:val="21"/>
                      <w:highlight w:val="none"/>
                    </w:rPr>
                    <w:t>沈阳市铁西区云峰南街20-1号</w:t>
                  </w:r>
                </w:p>
              </w:tc>
            </w:tr>
            <w:tr w14:paraId="15FD8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1" w:hRule="atLeast"/>
                <w:tblCellSpacing w:w="15" w:type="dxa"/>
              </w:trPr>
              <w:tc>
                <w:tcPr>
                  <w:tcW w:w="1409" w:type="dxa"/>
                  <w:noWrap w:val="0"/>
                  <w:tcMar>
                    <w:top w:w="15" w:type="dxa"/>
                    <w:left w:w="15" w:type="dxa"/>
                    <w:bottom w:w="15" w:type="dxa"/>
                    <w:right w:w="15" w:type="dxa"/>
                  </w:tcMar>
                  <w:vAlign w:val="center"/>
                </w:tcPr>
                <w:p w14:paraId="2C87DF24">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hint="eastAsia" w:ascii="宋体" w:hAnsi="宋体" w:eastAsia="宋体" w:cs="宋体"/>
                      <w:b w:val="0"/>
                      <w:bCs w:val="0"/>
                      <w:i w:val="0"/>
                      <w:iCs w:val="0"/>
                      <w:smallCaps w:val="0"/>
                      <w:color w:val="auto"/>
                      <w:kern w:val="0"/>
                      <w:sz w:val="21"/>
                      <w:szCs w:val="21"/>
                      <w:highlight w:val="none"/>
                      <w:lang w:eastAsia="zh-CN"/>
                    </w:rPr>
                  </w:pPr>
                  <w:r>
                    <w:rPr>
                      <w:rStyle w:val="20"/>
                      <w:rFonts w:ascii="宋体" w:hAnsi="宋体" w:cs="宋体"/>
                      <w:b w:val="0"/>
                      <w:bCs w:val="0"/>
                      <w:i w:val="0"/>
                      <w:iCs w:val="0"/>
                      <w:smallCaps w:val="0"/>
                      <w:color w:val="auto"/>
                      <w:kern w:val="0"/>
                      <w:sz w:val="21"/>
                      <w:szCs w:val="21"/>
                      <w:highlight w:val="none"/>
                    </w:rPr>
                    <w:t>邮编</w:t>
                  </w:r>
                  <w:r>
                    <w:rPr>
                      <w:rStyle w:val="20"/>
                      <w:rFonts w:hint="eastAsia" w:ascii="宋体" w:hAnsi="宋体" w:cs="宋体"/>
                      <w:b w:val="0"/>
                      <w:bCs w:val="0"/>
                      <w:i w:val="0"/>
                      <w:iCs w:val="0"/>
                      <w:smallCaps w:val="0"/>
                      <w:color w:val="auto"/>
                      <w:kern w:val="0"/>
                      <w:sz w:val="21"/>
                      <w:szCs w:val="21"/>
                      <w:highlight w:val="none"/>
                      <w:lang w:eastAsia="zh-CN"/>
                    </w:rPr>
                    <w:t>：</w:t>
                  </w:r>
                </w:p>
              </w:tc>
              <w:tc>
                <w:tcPr>
                  <w:tcW w:w="2822" w:type="dxa"/>
                  <w:noWrap w:val="0"/>
                  <w:tcMar>
                    <w:top w:w="15" w:type="dxa"/>
                    <w:left w:w="15" w:type="dxa"/>
                    <w:bottom w:w="15" w:type="dxa"/>
                    <w:right w:w="15" w:type="dxa"/>
                  </w:tcMar>
                  <w:vAlign w:val="center"/>
                </w:tcPr>
                <w:p w14:paraId="1E628301">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hint="default" w:ascii="宋体" w:hAnsi="宋体" w:eastAsia="宋体" w:cs="宋体"/>
                      <w:b w:val="0"/>
                      <w:bCs w:val="0"/>
                      <w:i w:val="0"/>
                      <w:iCs w:val="0"/>
                      <w:smallCaps w:val="0"/>
                      <w:color w:val="auto"/>
                      <w:kern w:val="0"/>
                      <w:sz w:val="21"/>
                      <w:szCs w:val="21"/>
                      <w:highlight w:val="none"/>
                      <w:lang w:val="en-US" w:eastAsia="zh-CN"/>
                    </w:rPr>
                  </w:pPr>
                </w:p>
              </w:tc>
              <w:tc>
                <w:tcPr>
                  <w:tcW w:w="1510" w:type="dxa"/>
                  <w:noWrap w:val="0"/>
                  <w:tcMar>
                    <w:top w:w="15" w:type="dxa"/>
                    <w:left w:w="15" w:type="dxa"/>
                    <w:bottom w:w="15" w:type="dxa"/>
                    <w:right w:w="15" w:type="dxa"/>
                  </w:tcMar>
                  <w:vAlign w:val="center"/>
                </w:tcPr>
                <w:p w14:paraId="470B921E">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hint="eastAsia" w:ascii="宋体" w:hAnsi="宋体" w:eastAsia="宋体" w:cs="宋体"/>
                      <w:b w:val="0"/>
                      <w:bCs w:val="0"/>
                      <w:i w:val="0"/>
                      <w:iCs w:val="0"/>
                      <w:smallCaps w:val="0"/>
                      <w:color w:val="auto"/>
                      <w:kern w:val="0"/>
                      <w:sz w:val="21"/>
                      <w:szCs w:val="21"/>
                      <w:highlight w:val="none"/>
                      <w:lang w:eastAsia="zh-CN"/>
                    </w:rPr>
                  </w:pPr>
                  <w:r>
                    <w:rPr>
                      <w:rStyle w:val="20"/>
                      <w:rFonts w:ascii="宋体" w:hAnsi="宋体" w:cs="宋体"/>
                      <w:b w:val="0"/>
                      <w:bCs w:val="0"/>
                      <w:i w:val="0"/>
                      <w:iCs w:val="0"/>
                      <w:smallCaps w:val="0"/>
                      <w:color w:val="auto"/>
                      <w:kern w:val="0"/>
                      <w:sz w:val="21"/>
                      <w:szCs w:val="21"/>
                      <w:highlight w:val="none"/>
                    </w:rPr>
                    <w:t>邮编</w:t>
                  </w:r>
                  <w:r>
                    <w:rPr>
                      <w:rStyle w:val="20"/>
                      <w:rFonts w:hint="eastAsia" w:ascii="宋体" w:hAnsi="宋体" w:cs="宋体"/>
                      <w:b w:val="0"/>
                      <w:bCs w:val="0"/>
                      <w:i w:val="0"/>
                      <w:iCs w:val="0"/>
                      <w:smallCaps w:val="0"/>
                      <w:color w:val="auto"/>
                      <w:kern w:val="0"/>
                      <w:sz w:val="21"/>
                      <w:szCs w:val="21"/>
                      <w:highlight w:val="none"/>
                      <w:lang w:eastAsia="zh-CN"/>
                    </w:rPr>
                    <w:t>：</w:t>
                  </w:r>
                </w:p>
              </w:tc>
              <w:tc>
                <w:tcPr>
                  <w:tcW w:w="3087" w:type="dxa"/>
                  <w:noWrap w:val="0"/>
                  <w:tcMar>
                    <w:top w:w="15" w:type="dxa"/>
                    <w:left w:w="15" w:type="dxa"/>
                    <w:bottom w:w="15" w:type="dxa"/>
                    <w:right w:w="15" w:type="dxa"/>
                  </w:tcMar>
                  <w:vAlign w:val="center"/>
                </w:tcPr>
                <w:p w14:paraId="0765B68C">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ascii="宋体" w:hAnsi="宋体" w:cs="宋体"/>
                      <w:b w:val="0"/>
                      <w:bCs w:val="0"/>
                      <w:i w:val="0"/>
                      <w:iCs w:val="0"/>
                      <w:smallCaps w:val="0"/>
                      <w:color w:val="auto"/>
                      <w:kern w:val="0"/>
                      <w:sz w:val="21"/>
                      <w:szCs w:val="21"/>
                      <w:highlight w:val="none"/>
                    </w:rPr>
                  </w:pPr>
                  <w:r>
                    <w:rPr>
                      <w:rStyle w:val="20"/>
                      <w:rFonts w:ascii="宋体" w:hAnsi="宋体" w:cs="宋体"/>
                      <w:b w:val="0"/>
                      <w:bCs w:val="0"/>
                      <w:i w:val="0"/>
                      <w:iCs w:val="0"/>
                      <w:smallCaps w:val="0"/>
                      <w:color w:val="auto"/>
                      <w:kern w:val="0"/>
                      <w:sz w:val="21"/>
                      <w:szCs w:val="21"/>
                      <w:highlight w:val="none"/>
                    </w:rPr>
                    <w:t>110021</w:t>
                  </w:r>
                </w:p>
              </w:tc>
            </w:tr>
            <w:tr w14:paraId="1176E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1" w:hRule="atLeast"/>
                <w:tblCellSpacing w:w="15" w:type="dxa"/>
              </w:trPr>
              <w:tc>
                <w:tcPr>
                  <w:tcW w:w="1409" w:type="dxa"/>
                  <w:noWrap w:val="0"/>
                  <w:tcMar>
                    <w:top w:w="15" w:type="dxa"/>
                    <w:left w:w="15" w:type="dxa"/>
                    <w:bottom w:w="15" w:type="dxa"/>
                    <w:right w:w="15" w:type="dxa"/>
                  </w:tcMar>
                  <w:vAlign w:val="center"/>
                </w:tcPr>
                <w:p w14:paraId="223D6D60">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hint="eastAsia" w:ascii="宋体" w:hAnsi="宋体" w:eastAsia="宋体" w:cs="宋体"/>
                      <w:b w:val="0"/>
                      <w:bCs w:val="0"/>
                      <w:i w:val="0"/>
                      <w:iCs w:val="0"/>
                      <w:smallCaps w:val="0"/>
                      <w:color w:val="auto"/>
                      <w:kern w:val="0"/>
                      <w:sz w:val="21"/>
                      <w:szCs w:val="21"/>
                      <w:highlight w:val="none"/>
                      <w:lang w:eastAsia="zh-CN"/>
                    </w:rPr>
                  </w:pPr>
                  <w:r>
                    <w:rPr>
                      <w:rStyle w:val="20"/>
                      <w:rFonts w:ascii="宋体" w:hAnsi="宋体" w:cs="宋体"/>
                      <w:b w:val="0"/>
                      <w:bCs w:val="0"/>
                      <w:i w:val="0"/>
                      <w:iCs w:val="0"/>
                      <w:smallCaps w:val="0"/>
                      <w:color w:val="auto"/>
                      <w:kern w:val="0"/>
                      <w:sz w:val="21"/>
                      <w:szCs w:val="21"/>
                      <w:highlight w:val="none"/>
                    </w:rPr>
                    <w:t>联系人</w:t>
                  </w:r>
                  <w:r>
                    <w:rPr>
                      <w:rStyle w:val="20"/>
                      <w:rFonts w:hint="eastAsia" w:ascii="宋体" w:hAnsi="宋体" w:cs="宋体"/>
                      <w:b w:val="0"/>
                      <w:bCs w:val="0"/>
                      <w:i w:val="0"/>
                      <w:iCs w:val="0"/>
                      <w:smallCaps w:val="0"/>
                      <w:color w:val="auto"/>
                      <w:kern w:val="0"/>
                      <w:sz w:val="21"/>
                      <w:szCs w:val="21"/>
                      <w:highlight w:val="none"/>
                      <w:lang w:eastAsia="zh-CN"/>
                    </w:rPr>
                    <w:t>：</w:t>
                  </w:r>
                </w:p>
              </w:tc>
              <w:tc>
                <w:tcPr>
                  <w:tcW w:w="2822" w:type="dxa"/>
                  <w:noWrap w:val="0"/>
                  <w:tcMar>
                    <w:top w:w="15" w:type="dxa"/>
                    <w:left w:w="15" w:type="dxa"/>
                    <w:bottom w:w="15" w:type="dxa"/>
                    <w:right w:w="15" w:type="dxa"/>
                  </w:tcMar>
                  <w:vAlign w:val="center"/>
                </w:tcPr>
                <w:p w14:paraId="72212272">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hint="eastAsia" w:ascii="宋体" w:hAnsi="宋体" w:eastAsia="宋体" w:cs="宋体"/>
                      <w:b w:val="0"/>
                      <w:bCs w:val="0"/>
                      <w:i w:val="0"/>
                      <w:iCs w:val="0"/>
                      <w:smallCaps w:val="0"/>
                      <w:color w:val="auto"/>
                      <w:kern w:val="0"/>
                      <w:sz w:val="21"/>
                      <w:szCs w:val="21"/>
                      <w:highlight w:val="none"/>
                      <w:lang w:eastAsia="zh-CN"/>
                    </w:rPr>
                  </w:pPr>
                  <w:r>
                    <w:rPr>
                      <w:rStyle w:val="20"/>
                      <w:rFonts w:hint="eastAsia" w:ascii="宋体" w:hAnsi="宋体" w:cs="宋体"/>
                      <w:b w:val="0"/>
                      <w:bCs w:val="0"/>
                      <w:i w:val="0"/>
                      <w:iCs w:val="0"/>
                      <w:smallCaps w:val="0"/>
                      <w:color w:val="auto"/>
                      <w:kern w:val="0"/>
                      <w:sz w:val="21"/>
                      <w:szCs w:val="21"/>
                      <w:highlight w:val="none"/>
                      <w:lang w:eastAsia="zh-CN"/>
                    </w:rPr>
                    <w:t>刘女士</w:t>
                  </w:r>
                </w:p>
              </w:tc>
              <w:tc>
                <w:tcPr>
                  <w:tcW w:w="1510" w:type="dxa"/>
                  <w:noWrap w:val="0"/>
                  <w:tcMar>
                    <w:top w:w="15" w:type="dxa"/>
                    <w:left w:w="15" w:type="dxa"/>
                    <w:bottom w:w="15" w:type="dxa"/>
                    <w:right w:w="15" w:type="dxa"/>
                  </w:tcMar>
                  <w:vAlign w:val="center"/>
                </w:tcPr>
                <w:p w14:paraId="445836EE">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hint="eastAsia" w:ascii="宋体" w:hAnsi="宋体" w:eastAsia="宋体" w:cs="宋体"/>
                      <w:b w:val="0"/>
                      <w:bCs w:val="0"/>
                      <w:i w:val="0"/>
                      <w:iCs w:val="0"/>
                      <w:smallCaps w:val="0"/>
                      <w:color w:val="auto"/>
                      <w:kern w:val="0"/>
                      <w:sz w:val="21"/>
                      <w:szCs w:val="21"/>
                      <w:highlight w:val="none"/>
                      <w:lang w:eastAsia="zh-CN"/>
                    </w:rPr>
                  </w:pPr>
                  <w:r>
                    <w:rPr>
                      <w:rStyle w:val="20"/>
                      <w:rFonts w:ascii="宋体" w:hAnsi="宋体" w:cs="宋体"/>
                      <w:b w:val="0"/>
                      <w:bCs w:val="0"/>
                      <w:i w:val="0"/>
                      <w:iCs w:val="0"/>
                      <w:smallCaps w:val="0"/>
                      <w:color w:val="auto"/>
                      <w:kern w:val="0"/>
                      <w:sz w:val="21"/>
                      <w:szCs w:val="21"/>
                      <w:highlight w:val="none"/>
                    </w:rPr>
                    <w:t>联系人</w:t>
                  </w:r>
                  <w:r>
                    <w:rPr>
                      <w:rStyle w:val="20"/>
                      <w:rFonts w:hint="eastAsia" w:ascii="宋体" w:hAnsi="宋体" w:cs="宋体"/>
                      <w:b w:val="0"/>
                      <w:bCs w:val="0"/>
                      <w:i w:val="0"/>
                      <w:iCs w:val="0"/>
                      <w:smallCaps w:val="0"/>
                      <w:color w:val="auto"/>
                      <w:kern w:val="0"/>
                      <w:sz w:val="21"/>
                      <w:szCs w:val="21"/>
                      <w:highlight w:val="none"/>
                      <w:lang w:eastAsia="zh-CN"/>
                    </w:rPr>
                    <w:t>：</w:t>
                  </w:r>
                </w:p>
              </w:tc>
              <w:tc>
                <w:tcPr>
                  <w:tcW w:w="3087" w:type="dxa"/>
                  <w:noWrap w:val="0"/>
                  <w:tcMar>
                    <w:top w:w="15" w:type="dxa"/>
                    <w:left w:w="15" w:type="dxa"/>
                    <w:bottom w:w="15" w:type="dxa"/>
                    <w:right w:w="15" w:type="dxa"/>
                  </w:tcMar>
                  <w:vAlign w:val="center"/>
                </w:tcPr>
                <w:p w14:paraId="10239B41">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hint="eastAsia" w:ascii="宋体" w:hAnsi="宋体" w:eastAsia="宋体" w:cs="宋体"/>
                      <w:b w:val="0"/>
                      <w:bCs w:val="0"/>
                      <w:i w:val="0"/>
                      <w:iCs w:val="0"/>
                      <w:smallCaps w:val="0"/>
                      <w:color w:val="auto"/>
                      <w:kern w:val="0"/>
                      <w:sz w:val="21"/>
                      <w:szCs w:val="21"/>
                      <w:highlight w:val="none"/>
                      <w:lang w:eastAsia="zh-CN"/>
                    </w:rPr>
                  </w:pPr>
                  <w:r>
                    <w:rPr>
                      <w:rStyle w:val="20"/>
                      <w:rFonts w:hint="eastAsia" w:ascii="宋体" w:hAnsi="宋体" w:cs="宋体"/>
                      <w:b w:val="0"/>
                      <w:bCs w:val="0"/>
                      <w:i w:val="0"/>
                      <w:iCs w:val="0"/>
                      <w:smallCaps w:val="0"/>
                      <w:color w:val="auto"/>
                      <w:kern w:val="0"/>
                      <w:sz w:val="21"/>
                      <w:szCs w:val="21"/>
                      <w:highlight w:val="none"/>
                      <w:lang w:eastAsia="zh-CN"/>
                    </w:rPr>
                    <w:t>郑巍、张彬、董珊</w:t>
                  </w:r>
                </w:p>
              </w:tc>
            </w:tr>
            <w:tr w14:paraId="2D2C7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blCellSpacing w:w="15" w:type="dxa"/>
              </w:trPr>
              <w:tc>
                <w:tcPr>
                  <w:tcW w:w="1409" w:type="dxa"/>
                  <w:noWrap w:val="0"/>
                  <w:tcMar>
                    <w:top w:w="15" w:type="dxa"/>
                    <w:left w:w="15" w:type="dxa"/>
                    <w:bottom w:w="15" w:type="dxa"/>
                    <w:right w:w="15" w:type="dxa"/>
                  </w:tcMar>
                  <w:vAlign w:val="center"/>
                </w:tcPr>
                <w:p w14:paraId="7700F41A">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hint="eastAsia" w:ascii="宋体" w:hAnsi="宋体" w:eastAsia="宋体" w:cs="宋体"/>
                      <w:b w:val="0"/>
                      <w:bCs w:val="0"/>
                      <w:i w:val="0"/>
                      <w:iCs w:val="0"/>
                      <w:smallCaps w:val="0"/>
                      <w:color w:val="auto"/>
                      <w:kern w:val="0"/>
                      <w:sz w:val="21"/>
                      <w:szCs w:val="21"/>
                      <w:highlight w:val="none"/>
                      <w:lang w:eastAsia="zh-CN"/>
                    </w:rPr>
                  </w:pPr>
                  <w:r>
                    <w:rPr>
                      <w:rStyle w:val="20"/>
                      <w:rFonts w:ascii="宋体" w:hAnsi="宋体" w:cs="宋体"/>
                      <w:b w:val="0"/>
                      <w:bCs w:val="0"/>
                      <w:i w:val="0"/>
                      <w:iCs w:val="0"/>
                      <w:smallCaps w:val="0"/>
                      <w:color w:val="auto"/>
                      <w:kern w:val="0"/>
                      <w:sz w:val="21"/>
                      <w:szCs w:val="21"/>
                      <w:highlight w:val="none"/>
                    </w:rPr>
                    <w:t>电话</w:t>
                  </w:r>
                  <w:r>
                    <w:rPr>
                      <w:rStyle w:val="20"/>
                      <w:rFonts w:hint="eastAsia" w:ascii="宋体" w:hAnsi="宋体" w:cs="宋体"/>
                      <w:b w:val="0"/>
                      <w:bCs w:val="0"/>
                      <w:i w:val="0"/>
                      <w:iCs w:val="0"/>
                      <w:smallCaps w:val="0"/>
                      <w:color w:val="auto"/>
                      <w:kern w:val="0"/>
                      <w:sz w:val="21"/>
                      <w:szCs w:val="21"/>
                      <w:highlight w:val="none"/>
                      <w:lang w:eastAsia="zh-CN"/>
                    </w:rPr>
                    <w:t>：</w:t>
                  </w:r>
                </w:p>
              </w:tc>
              <w:tc>
                <w:tcPr>
                  <w:tcW w:w="2822" w:type="dxa"/>
                  <w:noWrap w:val="0"/>
                  <w:tcMar>
                    <w:top w:w="15" w:type="dxa"/>
                    <w:left w:w="15" w:type="dxa"/>
                    <w:bottom w:w="15" w:type="dxa"/>
                    <w:right w:w="15" w:type="dxa"/>
                  </w:tcMar>
                  <w:vAlign w:val="center"/>
                </w:tcPr>
                <w:p w14:paraId="6CD4BFAD">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ascii="宋体" w:hAnsi="宋体" w:cs="宋体"/>
                      <w:b w:val="0"/>
                      <w:bCs w:val="0"/>
                      <w:i w:val="0"/>
                      <w:iCs w:val="0"/>
                      <w:smallCaps w:val="0"/>
                      <w:color w:val="auto"/>
                      <w:kern w:val="0"/>
                      <w:sz w:val="21"/>
                      <w:szCs w:val="21"/>
                      <w:highlight w:val="none"/>
                    </w:rPr>
                  </w:pPr>
                  <w:r>
                    <w:rPr>
                      <w:rStyle w:val="20"/>
                      <w:rFonts w:hint="eastAsia" w:ascii="宋体" w:hAnsi="宋体" w:cs="宋体"/>
                      <w:b w:val="0"/>
                      <w:bCs w:val="0"/>
                      <w:i w:val="0"/>
                      <w:iCs w:val="0"/>
                      <w:smallCaps w:val="0"/>
                      <w:color w:val="auto"/>
                      <w:kern w:val="0"/>
                      <w:sz w:val="21"/>
                      <w:szCs w:val="21"/>
                      <w:highlight w:val="none"/>
                      <w:lang w:val="en-US" w:eastAsia="zh-CN"/>
                    </w:rPr>
                    <w:t>0417-7802641</w:t>
                  </w:r>
                </w:p>
              </w:tc>
              <w:tc>
                <w:tcPr>
                  <w:tcW w:w="1510" w:type="dxa"/>
                  <w:noWrap w:val="0"/>
                  <w:tcMar>
                    <w:top w:w="15" w:type="dxa"/>
                    <w:left w:w="15" w:type="dxa"/>
                    <w:bottom w:w="15" w:type="dxa"/>
                    <w:right w:w="15" w:type="dxa"/>
                  </w:tcMar>
                  <w:vAlign w:val="center"/>
                </w:tcPr>
                <w:p w14:paraId="12380CEC">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hint="eastAsia" w:ascii="宋体" w:hAnsi="宋体" w:eastAsia="宋体" w:cs="宋体"/>
                      <w:b w:val="0"/>
                      <w:bCs w:val="0"/>
                      <w:i w:val="0"/>
                      <w:iCs w:val="0"/>
                      <w:smallCaps w:val="0"/>
                      <w:color w:val="auto"/>
                      <w:kern w:val="0"/>
                      <w:sz w:val="21"/>
                      <w:szCs w:val="21"/>
                      <w:highlight w:val="none"/>
                      <w:lang w:eastAsia="zh-CN"/>
                    </w:rPr>
                  </w:pPr>
                  <w:r>
                    <w:rPr>
                      <w:rStyle w:val="20"/>
                      <w:rFonts w:ascii="宋体" w:hAnsi="宋体" w:cs="宋体"/>
                      <w:b w:val="0"/>
                      <w:bCs w:val="0"/>
                      <w:i w:val="0"/>
                      <w:iCs w:val="0"/>
                      <w:smallCaps w:val="0"/>
                      <w:color w:val="auto"/>
                      <w:kern w:val="0"/>
                      <w:sz w:val="21"/>
                      <w:szCs w:val="21"/>
                      <w:highlight w:val="none"/>
                    </w:rPr>
                    <w:t>电话</w:t>
                  </w:r>
                  <w:r>
                    <w:rPr>
                      <w:rStyle w:val="20"/>
                      <w:rFonts w:hint="eastAsia" w:ascii="宋体" w:hAnsi="宋体" w:cs="宋体"/>
                      <w:b w:val="0"/>
                      <w:bCs w:val="0"/>
                      <w:i w:val="0"/>
                      <w:iCs w:val="0"/>
                      <w:smallCaps w:val="0"/>
                      <w:color w:val="auto"/>
                      <w:kern w:val="0"/>
                      <w:sz w:val="21"/>
                      <w:szCs w:val="21"/>
                      <w:highlight w:val="none"/>
                      <w:lang w:eastAsia="zh-CN"/>
                    </w:rPr>
                    <w:t>：</w:t>
                  </w:r>
                </w:p>
              </w:tc>
              <w:tc>
                <w:tcPr>
                  <w:tcW w:w="3087" w:type="dxa"/>
                  <w:noWrap w:val="0"/>
                  <w:tcMar>
                    <w:top w:w="15" w:type="dxa"/>
                    <w:left w:w="15" w:type="dxa"/>
                    <w:bottom w:w="15" w:type="dxa"/>
                    <w:right w:w="15" w:type="dxa"/>
                  </w:tcMar>
                  <w:vAlign w:val="center"/>
                </w:tcPr>
                <w:p w14:paraId="246BBA6A">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ascii="宋体" w:hAnsi="宋体" w:cs="宋体"/>
                      <w:b w:val="0"/>
                      <w:bCs w:val="0"/>
                      <w:i w:val="0"/>
                      <w:iCs w:val="0"/>
                      <w:smallCaps w:val="0"/>
                      <w:color w:val="auto"/>
                      <w:kern w:val="0"/>
                      <w:sz w:val="21"/>
                      <w:szCs w:val="21"/>
                      <w:highlight w:val="none"/>
                    </w:rPr>
                  </w:pPr>
                  <w:r>
                    <w:rPr>
                      <w:rStyle w:val="20"/>
                      <w:rFonts w:ascii="宋体" w:hAnsi="宋体" w:cs="宋体"/>
                      <w:b w:val="0"/>
                      <w:bCs w:val="0"/>
                      <w:i w:val="0"/>
                      <w:iCs w:val="0"/>
                      <w:smallCaps w:val="0"/>
                      <w:color w:val="auto"/>
                      <w:kern w:val="0"/>
                      <w:sz w:val="21"/>
                      <w:szCs w:val="21"/>
                      <w:highlight w:val="none"/>
                    </w:rPr>
                    <w:t>024-25158333</w:t>
                  </w:r>
                </w:p>
              </w:tc>
            </w:tr>
            <w:tr w14:paraId="040DA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blCellSpacing w:w="15" w:type="dxa"/>
              </w:trPr>
              <w:tc>
                <w:tcPr>
                  <w:tcW w:w="1409" w:type="dxa"/>
                  <w:noWrap w:val="0"/>
                  <w:tcMar>
                    <w:top w:w="15" w:type="dxa"/>
                    <w:left w:w="15" w:type="dxa"/>
                    <w:bottom w:w="15" w:type="dxa"/>
                    <w:right w:w="15" w:type="dxa"/>
                  </w:tcMar>
                  <w:vAlign w:val="center"/>
                </w:tcPr>
                <w:p w14:paraId="50601FC9">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hint="eastAsia" w:ascii="宋体" w:hAnsi="宋体" w:eastAsia="宋体" w:cs="宋体"/>
                      <w:b w:val="0"/>
                      <w:bCs w:val="0"/>
                      <w:i w:val="0"/>
                      <w:iCs w:val="0"/>
                      <w:smallCaps w:val="0"/>
                      <w:color w:val="auto"/>
                      <w:kern w:val="0"/>
                      <w:sz w:val="21"/>
                      <w:szCs w:val="21"/>
                      <w:highlight w:val="none"/>
                      <w:lang w:eastAsia="zh-CN"/>
                    </w:rPr>
                  </w:pPr>
                  <w:r>
                    <w:rPr>
                      <w:rStyle w:val="20"/>
                      <w:rFonts w:ascii="宋体" w:hAnsi="宋体" w:cs="宋体"/>
                      <w:b w:val="0"/>
                      <w:bCs w:val="0"/>
                      <w:i w:val="0"/>
                      <w:iCs w:val="0"/>
                      <w:smallCaps w:val="0"/>
                      <w:color w:val="auto"/>
                      <w:kern w:val="0"/>
                      <w:sz w:val="21"/>
                      <w:szCs w:val="21"/>
                      <w:highlight w:val="none"/>
                    </w:rPr>
                    <w:t>传真</w:t>
                  </w:r>
                  <w:r>
                    <w:rPr>
                      <w:rStyle w:val="20"/>
                      <w:rFonts w:hint="eastAsia" w:ascii="宋体" w:hAnsi="宋体" w:cs="宋体"/>
                      <w:b w:val="0"/>
                      <w:bCs w:val="0"/>
                      <w:i w:val="0"/>
                      <w:iCs w:val="0"/>
                      <w:smallCaps w:val="0"/>
                      <w:color w:val="auto"/>
                      <w:kern w:val="0"/>
                      <w:sz w:val="21"/>
                      <w:szCs w:val="21"/>
                      <w:highlight w:val="none"/>
                      <w:lang w:eastAsia="zh-CN"/>
                    </w:rPr>
                    <w:t>：</w:t>
                  </w:r>
                </w:p>
              </w:tc>
              <w:tc>
                <w:tcPr>
                  <w:tcW w:w="2822" w:type="dxa"/>
                  <w:noWrap w:val="0"/>
                  <w:tcMar>
                    <w:top w:w="15" w:type="dxa"/>
                    <w:left w:w="15" w:type="dxa"/>
                    <w:bottom w:w="15" w:type="dxa"/>
                    <w:right w:w="15" w:type="dxa"/>
                  </w:tcMar>
                  <w:vAlign w:val="center"/>
                </w:tcPr>
                <w:p w14:paraId="00978B6C">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ascii="宋体" w:hAnsi="宋体" w:cs="宋体"/>
                      <w:b w:val="0"/>
                      <w:bCs w:val="0"/>
                      <w:i w:val="0"/>
                      <w:iCs w:val="0"/>
                      <w:smallCaps w:val="0"/>
                      <w:color w:val="auto"/>
                      <w:kern w:val="0"/>
                      <w:sz w:val="21"/>
                      <w:szCs w:val="21"/>
                      <w:highlight w:val="none"/>
                    </w:rPr>
                  </w:pPr>
                </w:p>
              </w:tc>
              <w:tc>
                <w:tcPr>
                  <w:tcW w:w="1510" w:type="dxa"/>
                  <w:noWrap w:val="0"/>
                  <w:tcMar>
                    <w:top w:w="15" w:type="dxa"/>
                    <w:left w:w="15" w:type="dxa"/>
                    <w:bottom w:w="15" w:type="dxa"/>
                    <w:right w:w="15" w:type="dxa"/>
                  </w:tcMar>
                  <w:vAlign w:val="center"/>
                </w:tcPr>
                <w:p w14:paraId="479D79BA">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hint="eastAsia" w:ascii="宋体" w:hAnsi="宋体" w:eastAsia="宋体" w:cs="宋体"/>
                      <w:b w:val="0"/>
                      <w:bCs w:val="0"/>
                      <w:i w:val="0"/>
                      <w:iCs w:val="0"/>
                      <w:smallCaps w:val="0"/>
                      <w:color w:val="auto"/>
                      <w:kern w:val="0"/>
                      <w:sz w:val="21"/>
                      <w:szCs w:val="21"/>
                      <w:highlight w:val="none"/>
                      <w:lang w:eastAsia="zh-CN"/>
                    </w:rPr>
                  </w:pPr>
                  <w:r>
                    <w:rPr>
                      <w:rStyle w:val="20"/>
                      <w:rFonts w:ascii="宋体" w:hAnsi="宋体" w:cs="宋体"/>
                      <w:b w:val="0"/>
                      <w:bCs w:val="0"/>
                      <w:i w:val="0"/>
                      <w:iCs w:val="0"/>
                      <w:smallCaps w:val="0"/>
                      <w:color w:val="auto"/>
                      <w:kern w:val="0"/>
                      <w:sz w:val="21"/>
                      <w:szCs w:val="21"/>
                      <w:highlight w:val="none"/>
                    </w:rPr>
                    <w:t>传真</w:t>
                  </w:r>
                  <w:r>
                    <w:rPr>
                      <w:rStyle w:val="20"/>
                      <w:rFonts w:hint="eastAsia" w:ascii="宋体" w:hAnsi="宋体" w:cs="宋体"/>
                      <w:b w:val="0"/>
                      <w:bCs w:val="0"/>
                      <w:i w:val="0"/>
                      <w:iCs w:val="0"/>
                      <w:smallCaps w:val="0"/>
                      <w:color w:val="auto"/>
                      <w:kern w:val="0"/>
                      <w:sz w:val="21"/>
                      <w:szCs w:val="21"/>
                      <w:highlight w:val="none"/>
                      <w:lang w:eastAsia="zh-CN"/>
                    </w:rPr>
                    <w:t>：</w:t>
                  </w:r>
                </w:p>
              </w:tc>
              <w:tc>
                <w:tcPr>
                  <w:tcW w:w="3087" w:type="dxa"/>
                  <w:noWrap w:val="0"/>
                  <w:tcMar>
                    <w:top w:w="15" w:type="dxa"/>
                    <w:left w:w="15" w:type="dxa"/>
                    <w:bottom w:w="15" w:type="dxa"/>
                    <w:right w:w="15" w:type="dxa"/>
                  </w:tcMar>
                  <w:vAlign w:val="center"/>
                </w:tcPr>
                <w:p w14:paraId="0606D0AC">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ascii="宋体" w:hAnsi="宋体" w:cs="宋体"/>
                      <w:b w:val="0"/>
                      <w:bCs w:val="0"/>
                      <w:i w:val="0"/>
                      <w:iCs w:val="0"/>
                      <w:smallCaps w:val="0"/>
                      <w:color w:val="auto"/>
                      <w:kern w:val="0"/>
                      <w:sz w:val="21"/>
                      <w:szCs w:val="21"/>
                      <w:highlight w:val="none"/>
                    </w:rPr>
                  </w:pPr>
                  <w:r>
                    <w:rPr>
                      <w:rStyle w:val="20"/>
                      <w:rFonts w:ascii="宋体" w:hAnsi="宋体" w:cs="宋体"/>
                      <w:b w:val="0"/>
                      <w:bCs w:val="0"/>
                      <w:i w:val="0"/>
                      <w:iCs w:val="0"/>
                      <w:smallCaps w:val="0"/>
                      <w:color w:val="auto"/>
                      <w:kern w:val="0"/>
                      <w:sz w:val="21"/>
                      <w:szCs w:val="21"/>
                      <w:highlight w:val="none"/>
                    </w:rPr>
                    <w:t>024-25840581</w:t>
                  </w:r>
                </w:p>
              </w:tc>
            </w:tr>
            <w:tr w14:paraId="36037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blCellSpacing w:w="15" w:type="dxa"/>
              </w:trPr>
              <w:tc>
                <w:tcPr>
                  <w:tcW w:w="1409" w:type="dxa"/>
                  <w:shd w:val="clear" w:color="auto" w:fill="auto"/>
                  <w:noWrap w:val="0"/>
                  <w:tcMar>
                    <w:top w:w="15" w:type="dxa"/>
                    <w:left w:w="15" w:type="dxa"/>
                    <w:bottom w:w="15" w:type="dxa"/>
                    <w:right w:w="15" w:type="dxa"/>
                  </w:tcMar>
                  <w:vAlign w:val="center"/>
                </w:tcPr>
                <w:p w14:paraId="4185C6AC">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val="0"/>
                      <w:i w:val="0"/>
                      <w:iCs w:val="0"/>
                      <w:smallCaps w:val="0"/>
                      <w:color w:val="auto"/>
                      <w:kern w:val="0"/>
                      <w:sz w:val="21"/>
                      <w:szCs w:val="21"/>
                      <w:highlight w:val="none"/>
                      <w:lang w:val="en-US" w:eastAsia="zh-CN" w:bidi="ar-SA"/>
                    </w:rPr>
                  </w:pPr>
                  <w:r>
                    <w:rPr>
                      <w:rStyle w:val="20"/>
                      <w:rFonts w:ascii="宋体" w:hAnsi="宋体" w:cs="宋体"/>
                      <w:b w:val="0"/>
                      <w:bCs w:val="0"/>
                      <w:i w:val="0"/>
                      <w:iCs w:val="0"/>
                      <w:smallCaps w:val="0"/>
                      <w:color w:val="auto"/>
                      <w:kern w:val="0"/>
                      <w:sz w:val="21"/>
                      <w:szCs w:val="21"/>
                      <w:highlight w:val="none"/>
                    </w:rPr>
                    <w:t>电子邮件</w:t>
                  </w:r>
                  <w:r>
                    <w:rPr>
                      <w:rStyle w:val="20"/>
                      <w:rFonts w:hint="eastAsia" w:ascii="宋体" w:hAnsi="宋体" w:cs="宋体"/>
                      <w:b w:val="0"/>
                      <w:bCs w:val="0"/>
                      <w:i w:val="0"/>
                      <w:iCs w:val="0"/>
                      <w:smallCaps w:val="0"/>
                      <w:color w:val="auto"/>
                      <w:kern w:val="0"/>
                      <w:sz w:val="21"/>
                      <w:szCs w:val="21"/>
                      <w:highlight w:val="none"/>
                      <w:lang w:eastAsia="zh-CN"/>
                    </w:rPr>
                    <w:t>：</w:t>
                  </w:r>
                </w:p>
              </w:tc>
              <w:tc>
                <w:tcPr>
                  <w:tcW w:w="2822" w:type="dxa"/>
                  <w:shd w:val="clear" w:color="auto" w:fill="auto"/>
                  <w:noWrap w:val="0"/>
                  <w:tcMar>
                    <w:top w:w="15" w:type="dxa"/>
                    <w:left w:w="15" w:type="dxa"/>
                    <w:bottom w:w="15" w:type="dxa"/>
                    <w:right w:w="15" w:type="dxa"/>
                  </w:tcMar>
                  <w:vAlign w:val="center"/>
                </w:tcPr>
                <w:p w14:paraId="4109F557">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Fonts w:hint="default" w:ascii="宋体" w:hAnsi="宋体" w:eastAsia="宋体" w:cs="宋体"/>
                      <w:b w:val="0"/>
                      <w:bCs w:val="0"/>
                      <w:i w:val="0"/>
                      <w:iCs w:val="0"/>
                      <w:smallCaps w:val="0"/>
                      <w:color w:val="auto"/>
                      <w:kern w:val="0"/>
                      <w:sz w:val="21"/>
                      <w:szCs w:val="21"/>
                      <w:highlight w:val="none"/>
                      <w:lang w:val="en-US" w:eastAsia="zh-CN" w:bidi="ar-SA"/>
                    </w:rPr>
                  </w:pPr>
                  <w:r>
                    <w:rPr>
                      <w:rStyle w:val="20"/>
                      <w:rFonts w:hint="eastAsia" w:ascii="宋体" w:hAnsi="宋体" w:cs="宋体"/>
                      <w:b w:val="0"/>
                      <w:bCs w:val="0"/>
                      <w:i w:val="0"/>
                      <w:iCs w:val="0"/>
                      <w:smallCaps w:val="0"/>
                      <w:color w:val="auto"/>
                      <w:kern w:val="0"/>
                      <w:sz w:val="21"/>
                      <w:szCs w:val="21"/>
                      <w:highlight w:val="none"/>
                      <w:lang w:val="en-US" w:eastAsia="zh-CN"/>
                    </w:rPr>
                    <w:t>liulz3218@qq.com</w:t>
                  </w:r>
                </w:p>
              </w:tc>
              <w:tc>
                <w:tcPr>
                  <w:tcW w:w="1510" w:type="dxa"/>
                  <w:shd w:val="clear" w:color="auto" w:fill="auto"/>
                  <w:noWrap w:val="0"/>
                  <w:tcMar>
                    <w:top w:w="15" w:type="dxa"/>
                    <w:left w:w="15" w:type="dxa"/>
                    <w:bottom w:w="15" w:type="dxa"/>
                    <w:right w:w="15" w:type="dxa"/>
                  </w:tcMar>
                  <w:vAlign w:val="center"/>
                </w:tcPr>
                <w:p w14:paraId="27C8B5C9">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val="0"/>
                      <w:i w:val="0"/>
                      <w:iCs w:val="0"/>
                      <w:smallCaps w:val="0"/>
                      <w:color w:val="auto"/>
                      <w:kern w:val="0"/>
                      <w:sz w:val="21"/>
                      <w:szCs w:val="21"/>
                      <w:highlight w:val="none"/>
                      <w:lang w:val="en-US" w:eastAsia="zh-CN" w:bidi="ar-SA"/>
                    </w:rPr>
                  </w:pPr>
                  <w:r>
                    <w:rPr>
                      <w:rStyle w:val="20"/>
                      <w:rFonts w:ascii="宋体" w:hAnsi="宋体" w:cs="宋体"/>
                      <w:b w:val="0"/>
                      <w:bCs w:val="0"/>
                      <w:i w:val="0"/>
                      <w:iCs w:val="0"/>
                      <w:smallCaps w:val="0"/>
                      <w:color w:val="auto"/>
                      <w:kern w:val="0"/>
                      <w:sz w:val="21"/>
                      <w:szCs w:val="21"/>
                      <w:highlight w:val="none"/>
                    </w:rPr>
                    <w:t>电子邮件</w:t>
                  </w:r>
                  <w:r>
                    <w:rPr>
                      <w:rStyle w:val="20"/>
                      <w:rFonts w:hint="eastAsia" w:ascii="宋体" w:hAnsi="宋体" w:cs="宋体"/>
                      <w:b w:val="0"/>
                      <w:bCs w:val="0"/>
                      <w:i w:val="0"/>
                      <w:iCs w:val="0"/>
                      <w:smallCaps w:val="0"/>
                      <w:color w:val="auto"/>
                      <w:kern w:val="0"/>
                      <w:sz w:val="21"/>
                      <w:szCs w:val="21"/>
                      <w:highlight w:val="none"/>
                      <w:lang w:eastAsia="zh-CN"/>
                    </w:rPr>
                    <w:t>：</w:t>
                  </w:r>
                </w:p>
              </w:tc>
              <w:tc>
                <w:tcPr>
                  <w:tcW w:w="3087" w:type="dxa"/>
                  <w:shd w:val="clear" w:color="auto" w:fill="auto"/>
                  <w:noWrap w:val="0"/>
                  <w:tcMar>
                    <w:top w:w="15" w:type="dxa"/>
                    <w:left w:w="15" w:type="dxa"/>
                    <w:bottom w:w="15" w:type="dxa"/>
                    <w:right w:w="15" w:type="dxa"/>
                  </w:tcMar>
                  <w:vAlign w:val="center"/>
                </w:tcPr>
                <w:p w14:paraId="22E97A76">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Fonts w:ascii="宋体" w:hAnsi="宋体" w:eastAsia="宋体" w:cs="宋体"/>
                      <w:b w:val="0"/>
                      <w:bCs w:val="0"/>
                      <w:i w:val="0"/>
                      <w:iCs w:val="0"/>
                      <w:smallCaps w:val="0"/>
                      <w:color w:val="auto"/>
                      <w:kern w:val="0"/>
                      <w:sz w:val="21"/>
                      <w:szCs w:val="21"/>
                      <w:highlight w:val="none"/>
                      <w:lang w:val="en-US" w:eastAsia="zh-CN" w:bidi="ar-SA"/>
                    </w:rPr>
                  </w:pPr>
                  <w:r>
                    <w:rPr>
                      <w:rStyle w:val="20"/>
                      <w:rFonts w:ascii="宋体" w:hAnsi="宋体" w:cs="宋体"/>
                      <w:b w:val="0"/>
                      <w:bCs w:val="0"/>
                      <w:i w:val="0"/>
                      <w:iCs w:val="0"/>
                      <w:smallCaps w:val="0"/>
                      <w:color w:val="auto"/>
                      <w:kern w:val="0"/>
                      <w:sz w:val="21"/>
                      <w:szCs w:val="21"/>
                      <w:highlight w:val="none"/>
                    </w:rPr>
                    <w:t>huicheng_zb@163.com</w:t>
                  </w:r>
                </w:p>
              </w:tc>
            </w:tr>
            <w:tr w14:paraId="257CD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blCellSpacing w:w="15" w:type="dxa"/>
              </w:trPr>
              <w:tc>
                <w:tcPr>
                  <w:tcW w:w="1409" w:type="dxa"/>
                  <w:noWrap w:val="0"/>
                  <w:tcMar>
                    <w:top w:w="15" w:type="dxa"/>
                    <w:left w:w="15" w:type="dxa"/>
                    <w:bottom w:w="15" w:type="dxa"/>
                    <w:right w:w="15" w:type="dxa"/>
                  </w:tcMar>
                  <w:vAlign w:val="center"/>
                </w:tcPr>
                <w:p w14:paraId="0851D976">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hint="eastAsia" w:ascii="宋体" w:hAnsi="宋体" w:eastAsia="宋体" w:cs="宋体"/>
                      <w:b w:val="0"/>
                      <w:bCs w:val="0"/>
                      <w:i w:val="0"/>
                      <w:iCs w:val="0"/>
                      <w:smallCaps w:val="0"/>
                      <w:color w:val="auto"/>
                      <w:kern w:val="0"/>
                      <w:sz w:val="21"/>
                      <w:szCs w:val="21"/>
                      <w:highlight w:val="none"/>
                      <w:lang w:eastAsia="zh-CN"/>
                    </w:rPr>
                  </w:pPr>
                  <w:r>
                    <w:rPr>
                      <w:rStyle w:val="20"/>
                      <w:rFonts w:ascii="宋体" w:hAnsi="宋体" w:cs="宋体"/>
                      <w:b w:val="0"/>
                      <w:bCs w:val="0"/>
                      <w:i w:val="0"/>
                      <w:iCs w:val="0"/>
                      <w:smallCaps w:val="0"/>
                      <w:color w:val="auto"/>
                      <w:kern w:val="0"/>
                      <w:sz w:val="21"/>
                      <w:szCs w:val="21"/>
                      <w:highlight w:val="none"/>
                    </w:rPr>
                    <w:t>异议联系人</w:t>
                  </w:r>
                  <w:r>
                    <w:rPr>
                      <w:rStyle w:val="20"/>
                      <w:rFonts w:hint="eastAsia" w:ascii="宋体" w:hAnsi="宋体" w:cs="宋体"/>
                      <w:b w:val="0"/>
                      <w:bCs w:val="0"/>
                      <w:i w:val="0"/>
                      <w:iCs w:val="0"/>
                      <w:smallCaps w:val="0"/>
                      <w:color w:val="auto"/>
                      <w:kern w:val="0"/>
                      <w:sz w:val="21"/>
                      <w:szCs w:val="21"/>
                      <w:highlight w:val="none"/>
                      <w:lang w:eastAsia="zh-CN"/>
                    </w:rPr>
                    <w:t>：</w:t>
                  </w:r>
                </w:p>
              </w:tc>
              <w:tc>
                <w:tcPr>
                  <w:tcW w:w="2822" w:type="dxa"/>
                  <w:noWrap w:val="0"/>
                  <w:tcMar>
                    <w:top w:w="15" w:type="dxa"/>
                    <w:left w:w="15" w:type="dxa"/>
                    <w:bottom w:w="15" w:type="dxa"/>
                    <w:right w:w="15" w:type="dxa"/>
                  </w:tcMar>
                  <w:vAlign w:val="center"/>
                </w:tcPr>
                <w:p w14:paraId="2128F2B9">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hint="eastAsia" w:ascii="宋体" w:hAnsi="宋体" w:eastAsia="宋体" w:cs="宋体"/>
                      <w:b w:val="0"/>
                      <w:bCs w:val="0"/>
                      <w:i w:val="0"/>
                      <w:iCs w:val="0"/>
                      <w:smallCaps w:val="0"/>
                      <w:color w:val="auto"/>
                      <w:kern w:val="0"/>
                      <w:sz w:val="21"/>
                      <w:szCs w:val="21"/>
                      <w:highlight w:val="none"/>
                      <w:lang w:eastAsia="zh-CN"/>
                    </w:rPr>
                  </w:pPr>
                  <w:r>
                    <w:rPr>
                      <w:rStyle w:val="20"/>
                      <w:rFonts w:hint="eastAsia" w:ascii="宋体" w:hAnsi="宋体" w:cs="宋体"/>
                      <w:b w:val="0"/>
                      <w:bCs w:val="0"/>
                      <w:i w:val="0"/>
                      <w:iCs w:val="0"/>
                      <w:smallCaps w:val="0"/>
                      <w:color w:val="auto"/>
                      <w:kern w:val="0"/>
                      <w:sz w:val="21"/>
                      <w:szCs w:val="21"/>
                      <w:highlight w:val="none"/>
                      <w:lang w:eastAsia="zh-CN"/>
                    </w:rPr>
                    <w:t>郑巍、张彬、董珊</w:t>
                  </w:r>
                </w:p>
              </w:tc>
              <w:tc>
                <w:tcPr>
                  <w:tcW w:w="1510" w:type="dxa"/>
                  <w:noWrap w:val="0"/>
                  <w:tcMar>
                    <w:top w:w="15" w:type="dxa"/>
                    <w:left w:w="15" w:type="dxa"/>
                    <w:bottom w:w="15" w:type="dxa"/>
                    <w:right w:w="15" w:type="dxa"/>
                  </w:tcMar>
                  <w:vAlign w:val="center"/>
                </w:tcPr>
                <w:p w14:paraId="74C6FC5A">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hint="eastAsia" w:ascii="宋体" w:hAnsi="宋体" w:eastAsia="宋体" w:cs="宋体"/>
                      <w:b w:val="0"/>
                      <w:bCs w:val="0"/>
                      <w:i w:val="0"/>
                      <w:iCs w:val="0"/>
                      <w:smallCaps w:val="0"/>
                      <w:color w:val="auto"/>
                      <w:kern w:val="0"/>
                      <w:sz w:val="21"/>
                      <w:szCs w:val="21"/>
                      <w:highlight w:val="none"/>
                      <w:lang w:eastAsia="zh-CN"/>
                    </w:rPr>
                  </w:pPr>
                  <w:r>
                    <w:rPr>
                      <w:rStyle w:val="20"/>
                      <w:rFonts w:ascii="宋体" w:hAnsi="宋体" w:cs="宋体"/>
                      <w:b w:val="0"/>
                      <w:bCs w:val="0"/>
                      <w:i w:val="0"/>
                      <w:iCs w:val="0"/>
                      <w:smallCaps w:val="0"/>
                      <w:color w:val="auto"/>
                      <w:kern w:val="0"/>
                      <w:sz w:val="21"/>
                      <w:szCs w:val="21"/>
                      <w:highlight w:val="none"/>
                    </w:rPr>
                    <w:t>异议联系人电话</w:t>
                  </w:r>
                  <w:r>
                    <w:rPr>
                      <w:rStyle w:val="20"/>
                      <w:rFonts w:hint="eastAsia" w:ascii="宋体" w:hAnsi="宋体" w:cs="宋体"/>
                      <w:b w:val="0"/>
                      <w:bCs w:val="0"/>
                      <w:i w:val="0"/>
                      <w:iCs w:val="0"/>
                      <w:smallCaps w:val="0"/>
                      <w:color w:val="auto"/>
                      <w:kern w:val="0"/>
                      <w:sz w:val="21"/>
                      <w:szCs w:val="21"/>
                      <w:highlight w:val="none"/>
                      <w:lang w:eastAsia="zh-CN"/>
                    </w:rPr>
                    <w:t>：</w:t>
                  </w:r>
                </w:p>
              </w:tc>
              <w:tc>
                <w:tcPr>
                  <w:tcW w:w="3087" w:type="dxa"/>
                  <w:noWrap w:val="0"/>
                  <w:tcMar>
                    <w:top w:w="15" w:type="dxa"/>
                    <w:left w:w="15" w:type="dxa"/>
                    <w:bottom w:w="15" w:type="dxa"/>
                    <w:right w:w="15" w:type="dxa"/>
                  </w:tcMar>
                  <w:vAlign w:val="center"/>
                </w:tcPr>
                <w:p w14:paraId="4545A527">
                  <w:pPr>
                    <w:keepNext w:val="0"/>
                    <w:keepLines w:val="0"/>
                    <w:pageBreakBefore w:val="0"/>
                    <w:widowControl/>
                    <w:shd w:val="clear"/>
                    <w:kinsoku/>
                    <w:wordWrap/>
                    <w:overflowPunct/>
                    <w:topLinePunct w:val="0"/>
                    <w:autoSpaceDE/>
                    <w:autoSpaceDN/>
                    <w:bidi w:val="0"/>
                    <w:adjustRightInd w:val="0"/>
                    <w:snapToGrid w:val="0"/>
                    <w:spacing w:line="360" w:lineRule="auto"/>
                    <w:jc w:val="left"/>
                    <w:textAlignment w:val="auto"/>
                    <w:rPr>
                      <w:rStyle w:val="20"/>
                      <w:rFonts w:ascii="宋体" w:hAnsi="宋体" w:cs="宋体"/>
                      <w:b w:val="0"/>
                      <w:bCs w:val="0"/>
                      <w:i w:val="0"/>
                      <w:iCs w:val="0"/>
                      <w:smallCaps w:val="0"/>
                      <w:color w:val="auto"/>
                      <w:kern w:val="0"/>
                      <w:sz w:val="21"/>
                      <w:szCs w:val="21"/>
                      <w:highlight w:val="none"/>
                    </w:rPr>
                  </w:pPr>
                  <w:r>
                    <w:rPr>
                      <w:rStyle w:val="20"/>
                      <w:rFonts w:ascii="宋体" w:hAnsi="宋体" w:cs="宋体"/>
                      <w:b w:val="0"/>
                      <w:bCs w:val="0"/>
                      <w:i w:val="0"/>
                      <w:iCs w:val="0"/>
                      <w:smallCaps w:val="0"/>
                      <w:color w:val="auto"/>
                      <w:kern w:val="0"/>
                      <w:sz w:val="21"/>
                      <w:szCs w:val="21"/>
                      <w:highlight w:val="none"/>
                    </w:rPr>
                    <w:t>024-25158333</w:t>
                  </w:r>
                </w:p>
              </w:tc>
            </w:tr>
          </w:tbl>
          <w:p w14:paraId="2064E353">
            <w:pPr>
              <w:keepNext w:val="0"/>
              <w:keepLines w:val="0"/>
              <w:pageBreakBefore w:val="0"/>
              <w:widowControl/>
              <w:shd w:val="clear"/>
              <w:kinsoku/>
              <w:wordWrap/>
              <w:overflowPunct/>
              <w:topLinePunct w:val="0"/>
              <w:autoSpaceDE/>
              <w:autoSpaceDN/>
              <w:bidi w:val="0"/>
              <w:adjustRightInd w:val="0"/>
              <w:snapToGrid w:val="0"/>
              <w:spacing w:line="360" w:lineRule="auto"/>
              <w:jc w:val="both"/>
              <w:textAlignment w:val="auto"/>
              <w:rPr>
                <w:rStyle w:val="20"/>
                <w:rFonts w:ascii="宋体" w:hAnsi="宋体" w:cs="宋体"/>
                <w:b w:val="0"/>
                <w:bCs w:val="0"/>
                <w:i w:val="0"/>
                <w:iCs w:val="0"/>
                <w:smallCaps w:val="0"/>
                <w:color w:val="auto"/>
                <w:kern w:val="0"/>
                <w:sz w:val="21"/>
                <w:szCs w:val="21"/>
                <w:highlight w:val="none"/>
              </w:rPr>
            </w:pPr>
          </w:p>
        </w:tc>
      </w:tr>
    </w:tbl>
    <w:p w14:paraId="7FDFD269">
      <w:pPr>
        <w:rPr>
          <w:color w:val="auto"/>
        </w:rPr>
      </w:pPr>
      <w:r>
        <w:rPr>
          <w:color w:val="auto"/>
        </w:rPr>
        <w:br w:type="page"/>
      </w:r>
    </w:p>
    <w:p w14:paraId="1DCD0DFE">
      <w:pPr>
        <w:rPr>
          <w:color w:val="auto"/>
        </w:rPr>
      </w:pPr>
    </w:p>
    <w:p w14:paraId="7A57C00C">
      <w:pPr>
        <w:rPr>
          <w:color w:val="auto"/>
        </w:rPr>
      </w:pPr>
    </w:p>
    <w:p w14:paraId="74888967">
      <w:pPr>
        <w:bidi w:val="0"/>
        <w:rPr>
          <w:color w:val="auto"/>
        </w:rPr>
      </w:pPr>
      <w:bookmarkStart w:id="5" w:name="_Toc152265814"/>
    </w:p>
    <w:p w14:paraId="53DB8C40">
      <w:pPr>
        <w:bidi w:val="0"/>
        <w:rPr>
          <w:color w:val="auto"/>
        </w:rPr>
      </w:pPr>
    </w:p>
    <w:p w14:paraId="072D0D6C">
      <w:pPr>
        <w:bidi w:val="0"/>
        <w:rPr>
          <w:color w:val="auto"/>
        </w:rPr>
      </w:pPr>
    </w:p>
    <w:p w14:paraId="344FF8F7">
      <w:pPr>
        <w:bidi w:val="0"/>
        <w:rPr>
          <w:color w:val="auto"/>
        </w:rPr>
      </w:pPr>
    </w:p>
    <w:p w14:paraId="05CE686A">
      <w:pPr>
        <w:bidi w:val="0"/>
        <w:rPr>
          <w:color w:val="auto"/>
        </w:rPr>
      </w:pPr>
    </w:p>
    <w:p w14:paraId="448AF61D">
      <w:pPr>
        <w:bidi w:val="0"/>
        <w:rPr>
          <w:color w:val="auto"/>
        </w:rPr>
      </w:pPr>
    </w:p>
    <w:p w14:paraId="0534AE0A">
      <w:pPr>
        <w:bidi w:val="0"/>
        <w:rPr>
          <w:color w:val="auto"/>
        </w:rPr>
      </w:pPr>
    </w:p>
    <w:p w14:paraId="632C2113">
      <w:pPr>
        <w:bidi w:val="0"/>
        <w:rPr>
          <w:color w:val="auto"/>
        </w:rPr>
      </w:pPr>
    </w:p>
    <w:p w14:paraId="003C07A8">
      <w:pPr>
        <w:bidi w:val="0"/>
        <w:rPr>
          <w:color w:val="auto"/>
        </w:rPr>
      </w:pPr>
    </w:p>
    <w:p w14:paraId="73A9DD38">
      <w:pPr>
        <w:bidi w:val="0"/>
        <w:rPr>
          <w:color w:val="auto"/>
        </w:rPr>
      </w:pPr>
    </w:p>
    <w:p w14:paraId="2E518EAC">
      <w:pPr>
        <w:bidi w:val="0"/>
        <w:rPr>
          <w:color w:val="auto"/>
        </w:rPr>
      </w:pPr>
    </w:p>
    <w:p w14:paraId="16897764">
      <w:pPr>
        <w:bidi w:val="0"/>
        <w:rPr>
          <w:color w:val="auto"/>
        </w:rPr>
      </w:pPr>
    </w:p>
    <w:p w14:paraId="78D01F51">
      <w:pPr>
        <w:bidi w:val="0"/>
        <w:rPr>
          <w:color w:val="auto"/>
        </w:rPr>
      </w:pPr>
    </w:p>
    <w:p w14:paraId="7CFBE762">
      <w:pPr>
        <w:bidi w:val="0"/>
        <w:rPr>
          <w:color w:val="auto"/>
        </w:rPr>
      </w:pPr>
    </w:p>
    <w:p w14:paraId="44EA7520">
      <w:pPr>
        <w:pStyle w:val="2"/>
        <w:spacing w:before="120" w:after="120" w:line="400" w:lineRule="exact"/>
        <w:jc w:val="center"/>
        <w:rPr>
          <w:rFonts w:hint="default" w:eastAsia="黑体"/>
          <w:color w:val="auto"/>
          <w:lang w:val="en-US" w:eastAsia="zh-CN"/>
        </w:rPr>
        <w:sectPr>
          <w:footerReference r:id="rId6" w:type="default"/>
          <w:pgSz w:w="11906" w:h="16838"/>
          <w:pgMar w:top="1440" w:right="1800" w:bottom="1440" w:left="1800" w:header="851" w:footer="992" w:gutter="0"/>
          <w:pgNumType w:fmt="decimal"/>
          <w:cols w:space="425" w:num="1"/>
          <w:docGrid w:type="lines" w:linePitch="312" w:charSpace="0"/>
        </w:sectPr>
      </w:pPr>
      <w:bookmarkStart w:id="6" w:name="_Toc6511"/>
      <w:r>
        <w:rPr>
          <w:rFonts w:ascii="黑体" w:hAnsi="黑体" w:eastAsia="黑体"/>
          <w:b w:val="0"/>
          <w:bCs w:val="0"/>
          <w:color w:val="auto"/>
          <w:sz w:val="32"/>
        </w:rPr>
        <w:t>第</w:t>
      </w:r>
      <w:r>
        <w:rPr>
          <w:rFonts w:hint="eastAsia" w:ascii="黑体" w:hAnsi="黑体" w:eastAsia="黑体"/>
          <w:b w:val="0"/>
          <w:bCs w:val="0"/>
          <w:color w:val="auto"/>
          <w:sz w:val="32"/>
          <w:lang w:val="en-US" w:eastAsia="zh-CN"/>
        </w:rPr>
        <w:t>二</w:t>
      </w:r>
      <w:r>
        <w:rPr>
          <w:rFonts w:ascii="黑体" w:hAnsi="黑体" w:eastAsia="黑体"/>
          <w:b w:val="0"/>
          <w:bCs w:val="0"/>
          <w:color w:val="auto"/>
          <w:sz w:val="32"/>
        </w:rPr>
        <w:t>章</w:t>
      </w:r>
      <w:r>
        <w:rPr>
          <w:rFonts w:hint="eastAsia" w:ascii="黑体" w:hAnsi="黑体" w:eastAsia="黑体"/>
          <w:b w:val="0"/>
          <w:bCs w:val="0"/>
          <w:color w:val="auto"/>
          <w:sz w:val="32"/>
          <w:lang w:val="en-US" w:eastAsia="zh-CN"/>
        </w:rPr>
        <w:t xml:space="preserve"> </w:t>
      </w:r>
      <w:r>
        <w:rPr>
          <w:rFonts w:hint="eastAsia" w:ascii="黑体" w:hAnsi="黑体" w:eastAsia="黑体"/>
          <w:b w:val="0"/>
          <w:bCs w:val="0"/>
          <w:color w:val="auto"/>
          <w:sz w:val="32"/>
        </w:rPr>
        <w:t xml:space="preserve"> </w:t>
      </w:r>
      <w:bookmarkEnd w:id="5"/>
      <w:r>
        <w:rPr>
          <w:rFonts w:hint="eastAsia" w:ascii="黑体" w:hAnsi="黑体" w:eastAsia="黑体"/>
          <w:b w:val="0"/>
          <w:bCs w:val="0"/>
          <w:color w:val="auto"/>
          <w:sz w:val="32"/>
          <w:lang w:val="en-US" w:eastAsia="zh-CN"/>
        </w:rPr>
        <w:t>投标人须知</w:t>
      </w:r>
      <w:bookmarkEnd w:id="6"/>
    </w:p>
    <w:p w14:paraId="4865988D">
      <w:pPr>
        <w:bidi w:val="0"/>
        <w:jc w:val="center"/>
        <w:rPr>
          <w:rFonts w:hint="eastAsia" w:ascii="黑体" w:hAnsi="黑体" w:eastAsia="黑体" w:cs="黑体"/>
          <w:color w:val="auto"/>
          <w:sz w:val="32"/>
          <w:szCs w:val="32"/>
          <w:highlight w:val="none"/>
        </w:rPr>
      </w:pPr>
      <w:bookmarkStart w:id="7" w:name="_Toc152264301"/>
      <w:bookmarkStart w:id="8" w:name="_Hlk144975830"/>
      <w:bookmarkStart w:id="9" w:name="_Toc165804275"/>
      <w:bookmarkStart w:id="10" w:name="_Hlk144977074"/>
      <w:r>
        <w:rPr>
          <w:rFonts w:hint="eastAsia" w:ascii="黑体" w:hAnsi="黑体" w:eastAsia="黑体" w:cs="黑体"/>
          <w:color w:val="auto"/>
          <w:sz w:val="32"/>
          <w:szCs w:val="32"/>
          <w:highlight w:val="none"/>
        </w:rPr>
        <w:t>第二章  投标人须知</w:t>
      </w:r>
      <w:bookmarkEnd w:id="7"/>
    </w:p>
    <w:p w14:paraId="14C8F27B">
      <w:pPr>
        <w:pStyle w:val="25"/>
        <w:jc w:val="center"/>
        <w:rPr>
          <w:rFonts w:hint="eastAsia"/>
          <w:color w:val="auto"/>
          <w:highlight w:val="none"/>
        </w:rPr>
      </w:pPr>
      <w:bookmarkStart w:id="11" w:name="_Toc20356"/>
      <w:bookmarkStart w:id="12" w:name="_Toc152264302"/>
      <w:r>
        <w:rPr>
          <w:rFonts w:hint="eastAsia"/>
          <w:color w:val="auto"/>
          <w:highlight w:val="none"/>
        </w:rPr>
        <w:t>投标人须知前附表</w:t>
      </w:r>
      <w:bookmarkEnd w:id="8"/>
      <w:bookmarkEnd w:id="11"/>
      <w:bookmarkEnd w:id="12"/>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
        <w:gridCol w:w="2262"/>
        <w:gridCol w:w="5295"/>
      </w:tblGrid>
      <w:tr w14:paraId="2000B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57" w:type="dxa"/>
            <w:vAlign w:val="center"/>
          </w:tcPr>
          <w:p w14:paraId="7BF98559">
            <w:pPr>
              <w:keepNext w:val="0"/>
              <w:keepLines w:val="0"/>
              <w:suppressLineNumbers w:val="0"/>
              <w:spacing w:before="0" w:beforeAutospacing="0" w:after="0" w:afterAutospacing="0" w:line="240" w:lineRule="auto"/>
              <w:ind w:left="0" w:right="0"/>
              <w:jc w:val="center"/>
              <w:rPr>
                <w:rFonts w:hint="default"/>
                <w:b/>
                <w:color w:val="auto"/>
                <w:highlight w:val="none"/>
              </w:rPr>
            </w:pPr>
            <w:r>
              <w:rPr>
                <w:rFonts w:hint="eastAsia"/>
                <w:b/>
                <w:color w:val="auto"/>
                <w:highlight w:val="none"/>
              </w:rPr>
              <w:t>条款号</w:t>
            </w:r>
          </w:p>
        </w:tc>
        <w:tc>
          <w:tcPr>
            <w:tcW w:w="2262" w:type="dxa"/>
            <w:vAlign w:val="center"/>
          </w:tcPr>
          <w:p w14:paraId="1E27D204">
            <w:pPr>
              <w:keepNext w:val="0"/>
              <w:keepLines w:val="0"/>
              <w:suppressLineNumbers w:val="0"/>
              <w:spacing w:before="0" w:beforeAutospacing="0" w:after="0" w:afterAutospacing="0" w:line="240" w:lineRule="auto"/>
              <w:ind w:left="0" w:right="0"/>
              <w:jc w:val="center"/>
              <w:rPr>
                <w:rFonts w:hint="default"/>
                <w:b/>
                <w:color w:val="auto"/>
                <w:highlight w:val="none"/>
              </w:rPr>
            </w:pPr>
            <w:r>
              <w:rPr>
                <w:rFonts w:hint="eastAsia"/>
                <w:b/>
                <w:color w:val="auto"/>
                <w:highlight w:val="none"/>
              </w:rPr>
              <w:t>条  款  名  称</w:t>
            </w:r>
          </w:p>
        </w:tc>
        <w:tc>
          <w:tcPr>
            <w:tcW w:w="5295" w:type="dxa"/>
            <w:vAlign w:val="center"/>
          </w:tcPr>
          <w:p w14:paraId="31535860">
            <w:pPr>
              <w:keepNext w:val="0"/>
              <w:keepLines w:val="0"/>
              <w:suppressLineNumbers w:val="0"/>
              <w:spacing w:before="0" w:beforeAutospacing="0" w:after="0" w:afterAutospacing="0" w:line="240" w:lineRule="auto"/>
              <w:ind w:left="0" w:right="0"/>
              <w:jc w:val="center"/>
              <w:rPr>
                <w:rFonts w:hint="default"/>
                <w:b/>
                <w:color w:val="auto"/>
                <w:highlight w:val="none"/>
              </w:rPr>
            </w:pPr>
            <w:r>
              <w:rPr>
                <w:rFonts w:hint="eastAsia"/>
                <w:b/>
                <w:color w:val="auto"/>
                <w:highlight w:val="none"/>
              </w:rPr>
              <w:t>编  列  内  容</w:t>
            </w:r>
          </w:p>
        </w:tc>
      </w:tr>
      <w:tr w14:paraId="10D8E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2" w:hRule="atLeast"/>
          <w:jc w:val="center"/>
        </w:trPr>
        <w:tc>
          <w:tcPr>
            <w:tcW w:w="857" w:type="dxa"/>
            <w:vAlign w:val="center"/>
          </w:tcPr>
          <w:p w14:paraId="3DD40C0D">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1.1.2</w:t>
            </w:r>
          </w:p>
        </w:tc>
        <w:tc>
          <w:tcPr>
            <w:tcW w:w="2262" w:type="dxa"/>
            <w:vAlign w:val="center"/>
          </w:tcPr>
          <w:p w14:paraId="47781BCA">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招标人</w:t>
            </w:r>
          </w:p>
        </w:tc>
        <w:tc>
          <w:tcPr>
            <w:tcW w:w="5295" w:type="dxa"/>
            <w:vAlign w:val="center"/>
          </w:tcPr>
          <w:p w14:paraId="5A9EEF62">
            <w:pPr>
              <w:keepNext w:val="0"/>
              <w:keepLines w:val="0"/>
              <w:suppressLineNumbers w:val="0"/>
              <w:spacing w:before="0" w:beforeAutospacing="0" w:after="0" w:afterAutospacing="0" w:line="240" w:lineRule="auto"/>
              <w:ind w:left="0" w:right="0"/>
              <w:jc w:val="left"/>
              <w:rPr>
                <w:rFonts w:hint="eastAsia"/>
                <w:color w:val="auto"/>
                <w:highlight w:val="none"/>
              </w:rPr>
            </w:pPr>
            <w:r>
              <w:rPr>
                <w:rFonts w:hint="eastAsia"/>
                <w:color w:val="auto"/>
                <w:highlight w:val="none"/>
              </w:rPr>
              <w:t>名    称：</w:t>
            </w:r>
            <w:r>
              <w:rPr>
                <w:rFonts w:hint="eastAsia"/>
                <w:color w:val="auto"/>
                <w:highlight w:val="none"/>
                <w:lang w:eastAsia="zh-CN"/>
              </w:rPr>
              <w:t>国家税务总局盖州市税务局</w:t>
            </w:r>
          </w:p>
          <w:p w14:paraId="58958F76">
            <w:pPr>
              <w:keepNext w:val="0"/>
              <w:keepLines w:val="0"/>
              <w:suppressLineNumbers w:val="0"/>
              <w:spacing w:before="0" w:beforeAutospacing="0" w:after="0" w:afterAutospacing="0" w:line="240" w:lineRule="auto"/>
              <w:ind w:left="0" w:right="0"/>
              <w:jc w:val="left"/>
              <w:rPr>
                <w:rFonts w:hint="eastAsia"/>
                <w:color w:val="auto"/>
                <w:highlight w:val="none"/>
              </w:rPr>
            </w:pPr>
            <w:r>
              <w:rPr>
                <w:rFonts w:hint="eastAsia"/>
                <w:color w:val="auto"/>
                <w:highlight w:val="none"/>
              </w:rPr>
              <w:t>地    址：</w:t>
            </w:r>
            <w:r>
              <w:rPr>
                <w:rFonts w:hint="eastAsia"/>
                <w:color w:val="auto"/>
                <w:highlight w:val="none"/>
                <w:lang w:eastAsia="zh-CN"/>
              </w:rPr>
              <w:t>辽宁省盖州市</w:t>
            </w:r>
            <w:r>
              <w:rPr>
                <w:rFonts w:hint="eastAsia"/>
                <w:color w:val="auto"/>
                <w:highlight w:val="none"/>
                <w:lang w:val="en-US" w:eastAsia="zh-CN"/>
              </w:rPr>
              <w:t>红旗</w:t>
            </w:r>
            <w:r>
              <w:rPr>
                <w:rFonts w:hint="eastAsia"/>
                <w:color w:val="auto"/>
                <w:highlight w:val="none"/>
                <w:lang w:eastAsia="zh-CN"/>
              </w:rPr>
              <w:t>大街</w:t>
            </w:r>
            <w:r>
              <w:rPr>
                <w:rFonts w:hint="eastAsia"/>
                <w:color w:val="auto"/>
                <w:highlight w:val="none"/>
                <w:lang w:val="en-US" w:eastAsia="zh-CN"/>
              </w:rPr>
              <w:t>93</w:t>
            </w:r>
            <w:r>
              <w:rPr>
                <w:rFonts w:hint="eastAsia"/>
                <w:color w:val="auto"/>
                <w:highlight w:val="none"/>
                <w:lang w:eastAsia="zh-CN"/>
              </w:rPr>
              <w:t>号</w:t>
            </w:r>
          </w:p>
          <w:p w14:paraId="06E9D48A">
            <w:pPr>
              <w:keepNext w:val="0"/>
              <w:keepLines w:val="0"/>
              <w:suppressLineNumbers w:val="0"/>
              <w:spacing w:before="0" w:beforeAutospacing="0" w:after="0" w:afterAutospacing="0" w:line="240" w:lineRule="auto"/>
              <w:ind w:left="0" w:right="0"/>
              <w:jc w:val="left"/>
              <w:rPr>
                <w:rFonts w:hint="eastAsia" w:eastAsia="宋体"/>
                <w:color w:val="auto"/>
                <w:highlight w:val="none"/>
                <w:lang w:eastAsia="zh-CN"/>
              </w:rPr>
            </w:pPr>
            <w:r>
              <w:rPr>
                <w:rFonts w:hint="eastAsia"/>
                <w:color w:val="auto"/>
                <w:highlight w:val="none"/>
              </w:rPr>
              <w:t>联 系 人：刘</w:t>
            </w:r>
            <w:r>
              <w:rPr>
                <w:rFonts w:hint="eastAsia"/>
                <w:color w:val="auto"/>
                <w:highlight w:val="none"/>
                <w:lang w:eastAsia="zh-CN"/>
              </w:rPr>
              <w:t>女士</w:t>
            </w:r>
          </w:p>
          <w:p w14:paraId="0043EAFE">
            <w:pPr>
              <w:keepNext w:val="0"/>
              <w:keepLines w:val="0"/>
              <w:suppressLineNumbers w:val="0"/>
              <w:spacing w:before="0" w:beforeAutospacing="0" w:after="0" w:afterAutospacing="0" w:line="240" w:lineRule="auto"/>
              <w:ind w:left="0" w:right="0"/>
              <w:jc w:val="left"/>
              <w:rPr>
                <w:rFonts w:hint="eastAsia"/>
                <w:color w:val="auto"/>
                <w:highlight w:val="none"/>
              </w:rPr>
            </w:pPr>
            <w:r>
              <w:rPr>
                <w:rFonts w:hint="eastAsia"/>
                <w:color w:val="auto"/>
                <w:highlight w:val="none"/>
              </w:rPr>
              <w:t>电    话：</w:t>
            </w:r>
            <w:r>
              <w:rPr>
                <w:rFonts w:hint="eastAsia"/>
                <w:color w:val="auto"/>
                <w:highlight w:val="none"/>
                <w:lang w:eastAsia="zh-CN"/>
              </w:rPr>
              <w:t>0417-7802641</w:t>
            </w:r>
          </w:p>
          <w:p w14:paraId="61A9BFBA">
            <w:pPr>
              <w:keepNext w:val="0"/>
              <w:keepLines w:val="0"/>
              <w:suppressLineNumbers w:val="0"/>
              <w:spacing w:before="0" w:beforeAutospacing="0" w:after="0" w:afterAutospacing="0" w:line="240" w:lineRule="auto"/>
              <w:ind w:left="0" w:right="0"/>
              <w:jc w:val="left"/>
              <w:rPr>
                <w:rFonts w:hint="default" w:eastAsia="宋体"/>
                <w:color w:val="auto"/>
                <w:highlight w:val="none"/>
                <w:lang w:val="en-US" w:eastAsia="zh-CN"/>
              </w:rPr>
            </w:pPr>
            <w:r>
              <w:rPr>
                <w:rFonts w:hint="eastAsia"/>
                <w:color w:val="auto"/>
                <w:highlight w:val="none"/>
              </w:rPr>
              <w:t>电子邮件：</w:t>
            </w:r>
            <w:r>
              <w:rPr>
                <w:rFonts w:hint="eastAsia"/>
                <w:color w:val="auto"/>
                <w:highlight w:val="none"/>
                <w:lang w:val="en-US" w:eastAsia="zh-CN"/>
              </w:rPr>
              <w:t>liulz3218@qq.com</w:t>
            </w:r>
          </w:p>
          <w:p w14:paraId="5E716231">
            <w:pPr>
              <w:keepNext w:val="0"/>
              <w:keepLines w:val="0"/>
              <w:suppressLineNumbers w:val="0"/>
              <w:spacing w:before="0" w:beforeAutospacing="0" w:after="0" w:afterAutospacing="0" w:line="240" w:lineRule="auto"/>
              <w:ind w:left="0" w:right="0"/>
              <w:jc w:val="left"/>
              <w:rPr>
                <w:rFonts w:hint="default"/>
                <w:color w:val="auto"/>
                <w:highlight w:val="none"/>
              </w:rPr>
            </w:pPr>
            <w:r>
              <w:rPr>
                <w:rFonts w:hint="eastAsia"/>
                <w:color w:val="auto"/>
                <w:highlight w:val="none"/>
              </w:rPr>
              <w:t>项目负责人姓名及联系方式：</w:t>
            </w:r>
          </w:p>
          <w:p w14:paraId="71D2D3A9">
            <w:pPr>
              <w:keepNext w:val="0"/>
              <w:keepLines w:val="0"/>
              <w:suppressLineNumbers w:val="0"/>
              <w:spacing w:before="0" w:beforeAutospacing="0" w:after="0" w:afterAutospacing="0" w:line="240" w:lineRule="auto"/>
              <w:ind w:left="0" w:right="0"/>
              <w:jc w:val="left"/>
              <w:rPr>
                <w:rFonts w:hint="default"/>
                <w:color w:val="auto"/>
                <w:highlight w:val="none"/>
                <w:lang w:val="en-US"/>
              </w:rPr>
            </w:pPr>
            <w:r>
              <w:rPr>
                <w:rFonts w:hint="eastAsia"/>
                <w:color w:val="auto"/>
                <w:highlight w:val="none"/>
              </w:rPr>
              <w:t>姓名：刘</w:t>
            </w:r>
            <w:r>
              <w:rPr>
                <w:rFonts w:hint="eastAsia"/>
                <w:color w:val="auto"/>
                <w:highlight w:val="none"/>
                <w:lang w:eastAsia="zh-CN"/>
              </w:rPr>
              <w:t>女士</w:t>
            </w:r>
            <w:r>
              <w:rPr>
                <w:rFonts w:hint="eastAsia"/>
                <w:color w:val="auto"/>
                <w:highlight w:val="none"/>
                <w:lang w:val="en-US" w:eastAsia="zh-CN"/>
              </w:rPr>
              <w:t xml:space="preserve">      </w:t>
            </w:r>
            <w:r>
              <w:rPr>
                <w:rFonts w:hint="eastAsia"/>
                <w:color w:val="auto"/>
                <w:highlight w:val="none"/>
              </w:rPr>
              <w:t>电话：</w:t>
            </w:r>
            <w:r>
              <w:rPr>
                <w:rFonts w:hint="eastAsia"/>
                <w:color w:val="auto"/>
                <w:highlight w:val="none"/>
                <w:lang w:eastAsia="zh-CN"/>
              </w:rPr>
              <w:t>0417-7802641</w:t>
            </w:r>
          </w:p>
        </w:tc>
      </w:tr>
      <w:tr w14:paraId="168D7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0" w:hRule="atLeast"/>
          <w:jc w:val="center"/>
        </w:trPr>
        <w:tc>
          <w:tcPr>
            <w:tcW w:w="857" w:type="dxa"/>
            <w:vAlign w:val="center"/>
          </w:tcPr>
          <w:p w14:paraId="6EAF18DB">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1.1.3</w:t>
            </w:r>
          </w:p>
        </w:tc>
        <w:tc>
          <w:tcPr>
            <w:tcW w:w="2262" w:type="dxa"/>
            <w:vAlign w:val="center"/>
          </w:tcPr>
          <w:p w14:paraId="391BB72A">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招标代理机构</w:t>
            </w:r>
          </w:p>
        </w:tc>
        <w:tc>
          <w:tcPr>
            <w:tcW w:w="5295" w:type="dxa"/>
            <w:vAlign w:val="center"/>
          </w:tcPr>
          <w:p w14:paraId="3AB3493F">
            <w:pPr>
              <w:keepNext w:val="0"/>
              <w:keepLines w:val="0"/>
              <w:suppressLineNumbers w:val="0"/>
              <w:spacing w:before="0" w:beforeAutospacing="0" w:after="0" w:afterAutospacing="0" w:line="240" w:lineRule="auto"/>
              <w:ind w:left="0" w:right="0"/>
              <w:jc w:val="left"/>
              <w:rPr>
                <w:rFonts w:hint="eastAsia"/>
                <w:color w:val="auto"/>
                <w:highlight w:val="none"/>
              </w:rPr>
            </w:pPr>
            <w:r>
              <w:rPr>
                <w:rFonts w:hint="eastAsia"/>
                <w:color w:val="auto"/>
                <w:highlight w:val="none"/>
              </w:rPr>
              <w:t>名    称：</w:t>
            </w:r>
            <w:r>
              <w:rPr>
                <w:rFonts w:hint="eastAsia"/>
                <w:color w:val="auto"/>
                <w:highlight w:val="none"/>
                <w:lang w:eastAsia="zh-CN"/>
              </w:rPr>
              <w:t>辽宁汇诚工程管理咨询有限公司</w:t>
            </w:r>
          </w:p>
          <w:p w14:paraId="3C93BE5E">
            <w:pPr>
              <w:keepNext w:val="0"/>
              <w:keepLines w:val="0"/>
              <w:suppressLineNumbers w:val="0"/>
              <w:spacing w:before="0" w:beforeAutospacing="0" w:after="0" w:afterAutospacing="0" w:line="240" w:lineRule="auto"/>
              <w:ind w:left="0" w:right="0"/>
              <w:jc w:val="left"/>
              <w:rPr>
                <w:rFonts w:hint="eastAsia"/>
                <w:color w:val="auto"/>
                <w:highlight w:val="none"/>
              </w:rPr>
            </w:pPr>
            <w:r>
              <w:rPr>
                <w:rFonts w:hint="eastAsia"/>
                <w:color w:val="auto"/>
                <w:highlight w:val="none"/>
              </w:rPr>
              <w:t>地    址：</w:t>
            </w:r>
            <w:r>
              <w:rPr>
                <w:rFonts w:hint="eastAsia"/>
                <w:color w:val="auto"/>
                <w:highlight w:val="none"/>
                <w:lang w:eastAsia="zh-CN"/>
              </w:rPr>
              <w:t>沈阳市铁西区云峰南街20-1号</w:t>
            </w:r>
          </w:p>
          <w:p w14:paraId="06495DAE">
            <w:pPr>
              <w:keepNext w:val="0"/>
              <w:keepLines w:val="0"/>
              <w:suppressLineNumbers w:val="0"/>
              <w:spacing w:before="0" w:beforeAutospacing="0" w:after="0" w:afterAutospacing="0" w:line="240" w:lineRule="auto"/>
              <w:ind w:left="0" w:right="0"/>
              <w:jc w:val="left"/>
              <w:rPr>
                <w:rFonts w:hint="eastAsia"/>
                <w:color w:val="auto"/>
                <w:highlight w:val="none"/>
              </w:rPr>
            </w:pPr>
            <w:r>
              <w:rPr>
                <w:rFonts w:hint="eastAsia"/>
                <w:color w:val="auto"/>
                <w:highlight w:val="none"/>
              </w:rPr>
              <w:t>联 系 人：</w:t>
            </w:r>
            <w:r>
              <w:rPr>
                <w:rFonts w:hint="eastAsia"/>
                <w:color w:val="auto"/>
                <w:highlight w:val="none"/>
                <w:lang w:eastAsia="zh-CN"/>
              </w:rPr>
              <w:t>郑巍、张彬、董珊</w:t>
            </w:r>
          </w:p>
          <w:p w14:paraId="3A959883">
            <w:pPr>
              <w:keepNext w:val="0"/>
              <w:keepLines w:val="0"/>
              <w:suppressLineNumbers w:val="0"/>
              <w:spacing w:before="0" w:beforeAutospacing="0" w:after="0" w:afterAutospacing="0" w:line="240" w:lineRule="auto"/>
              <w:ind w:left="0" w:right="0"/>
              <w:jc w:val="left"/>
              <w:rPr>
                <w:rFonts w:hint="eastAsia"/>
                <w:color w:val="auto"/>
                <w:highlight w:val="none"/>
              </w:rPr>
            </w:pPr>
            <w:r>
              <w:rPr>
                <w:rFonts w:hint="eastAsia"/>
                <w:color w:val="auto"/>
                <w:highlight w:val="none"/>
              </w:rPr>
              <w:t>电    话：</w:t>
            </w:r>
            <w:r>
              <w:rPr>
                <w:rFonts w:hint="eastAsia"/>
                <w:color w:val="auto"/>
                <w:highlight w:val="none"/>
                <w:lang w:eastAsia="zh-CN"/>
              </w:rPr>
              <w:t>024-25158333</w:t>
            </w:r>
          </w:p>
          <w:p w14:paraId="6D918483">
            <w:pPr>
              <w:keepNext w:val="0"/>
              <w:keepLines w:val="0"/>
              <w:suppressLineNumbers w:val="0"/>
              <w:spacing w:before="0" w:beforeAutospacing="0" w:after="0" w:afterAutospacing="0" w:line="240" w:lineRule="auto"/>
              <w:ind w:left="0" w:right="0"/>
              <w:jc w:val="left"/>
              <w:rPr>
                <w:rFonts w:hint="eastAsia"/>
                <w:color w:val="auto"/>
                <w:highlight w:val="none"/>
              </w:rPr>
            </w:pPr>
            <w:r>
              <w:rPr>
                <w:rFonts w:hint="eastAsia"/>
                <w:color w:val="auto"/>
                <w:highlight w:val="none"/>
              </w:rPr>
              <w:t>电子邮件：</w:t>
            </w:r>
            <w:r>
              <w:rPr>
                <w:rFonts w:hint="eastAsia"/>
                <w:color w:val="auto"/>
                <w:highlight w:val="none"/>
                <w:lang w:eastAsia="zh-CN"/>
              </w:rPr>
              <w:t>huicheng_zb@163.com</w:t>
            </w:r>
          </w:p>
          <w:p w14:paraId="2C70E771">
            <w:pPr>
              <w:keepNext w:val="0"/>
              <w:keepLines w:val="0"/>
              <w:suppressLineNumbers w:val="0"/>
              <w:spacing w:before="0" w:beforeAutospacing="0" w:after="0" w:afterAutospacing="0" w:line="240" w:lineRule="auto"/>
              <w:ind w:left="0" w:right="0"/>
              <w:jc w:val="left"/>
              <w:rPr>
                <w:rFonts w:hint="default"/>
                <w:b/>
                <w:bCs/>
                <w:color w:val="auto"/>
                <w:highlight w:val="none"/>
              </w:rPr>
            </w:pPr>
            <w:r>
              <w:rPr>
                <w:rFonts w:hint="eastAsia"/>
                <w:color w:val="auto"/>
                <w:highlight w:val="none"/>
              </w:rPr>
              <w:t>项目负责人姓名及联系方式：</w:t>
            </w:r>
          </w:p>
          <w:p w14:paraId="42B0EA88">
            <w:pPr>
              <w:keepNext w:val="0"/>
              <w:keepLines w:val="0"/>
              <w:suppressLineNumbers w:val="0"/>
              <w:spacing w:before="0" w:beforeAutospacing="0" w:after="0" w:afterAutospacing="0" w:line="240" w:lineRule="auto"/>
              <w:ind w:left="0" w:right="0"/>
              <w:jc w:val="left"/>
              <w:rPr>
                <w:rFonts w:hint="default"/>
                <w:color w:val="auto"/>
                <w:highlight w:val="none"/>
              </w:rPr>
            </w:pPr>
            <w:r>
              <w:rPr>
                <w:rFonts w:hint="eastAsia"/>
                <w:color w:val="auto"/>
                <w:highlight w:val="none"/>
              </w:rPr>
              <w:t>姓名：</w:t>
            </w:r>
            <w:r>
              <w:rPr>
                <w:rFonts w:hint="eastAsia"/>
                <w:color w:val="auto"/>
                <w:highlight w:val="none"/>
                <w:lang w:eastAsia="zh-CN"/>
              </w:rPr>
              <w:t>郑巍、张彬、董珊</w:t>
            </w:r>
            <w:r>
              <w:rPr>
                <w:rFonts w:hint="eastAsia"/>
                <w:color w:val="auto"/>
                <w:highlight w:val="none"/>
              </w:rPr>
              <w:t xml:space="preserve">      电话：024-25158333</w:t>
            </w:r>
          </w:p>
        </w:tc>
      </w:tr>
      <w:tr w14:paraId="60DAA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59D6D7FF">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1.1.4</w:t>
            </w:r>
          </w:p>
        </w:tc>
        <w:tc>
          <w:tcPr>
            <w:tcW w:w="2262" w:type="dxa"/>
            <w:vAlign w:val="center"/>
          </w:tcPr>
          <w:p w14:paraId="7F635F6C">
            <w:pPr>
              <w:keepNext w:val="0"/>
              <w:keepLines w:val="0"/>
              <w:suppressLineNumbers w:val="0"/>
              <w:spacing w:before="0" w:beforeAutospacing="0" w:after="0" w:afterAutospacing="0" w:line="240" w:lineRule="auto"/>
              <w:ind w:left="0" w:right="0"/>
              <w:jc w:val="center"/>
              <w:rPr>
                <w:rFonts w:hint="default"/>
                <w:color w:val="auto"/>
                <w:highlight w:val="none"/>
              </w:rPr>
            </w:pPr>
            <w:bookmarkStart w:id="13" w:name="_Hlk154489467"/>
            <w:r>
              <w:rPr>
                <w:rFonts w:hint="eastAsia" w:ascii="宋体" w:hAnsi="宋体"/>
                <w:color w:val="auto"/>
                <w:szCs w:val="21"/>
                <w:highlight w:val="none"/>
              </w:rPr>
              <w:t>标段</w:t>
            </w:r>
            <w:bookmarkEnd w:id="13"/>
            <w:r>
              <w:rPr>
                <w:rFonts w:hint="eastAsia"/>
                <w:color w:val="auto"/>
                <w:highlight w:val="none"/>
              </w:rPr>
              <w:t>项目名称</w:t>
            </w:r>
          </w:p>
        </w:tc>
        <w:tc>
          <w:tcPr>
            <w:tcW w:w="5295" w:type="dxa"/>
            <w:vAlign w:val="center"/>
          </w:tcPr>
          <w:p w14:paraId="47225D91">
            <w:pPr>
              <w:keepNext w:val="0"/>
              <w:keepLines w:val="0"/>
              <w:suppressLineNumbers w:val="0"/>
              <w:spacing w:before="0" w:beforeAutospacing="0" w:after="0" w:afterAutospacing="0" w:line="240" w:lineRule="auto"/>
              <w:ind w:left="0" w:right="0"/>
              <w:jc w:val="left"/>
              <w:rPr>
                <w:rFonts w:hint="eastAsia"/>
                <w:color w:val="auto"/>
                <w:highlight w:val="none"/>
              </w:rPr>
            </w:pPr>
            <w:r>
              <w:rPr>
                <w:rFonts w:hint="eastAsia"/>
                <w:color w:val="auto"/>
                <w:highlight w:val="none"/>
                <w:lang w:eastAsia="zh-CN"/>
              </w:rPr>
              <w:t>国家税务总局盖州市税务局综合业务办公用房维修改造项目</w:t>
            </w:r>
          </w:p>
        </w:tc>
      </w:tr>
      <w:tr w14:paraId="7187B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7FC6276B">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1.1.5</w:t>
            </w:r>
          </w:p>
        </w:tc>
        <w:tc>
          <w:tcPr>
            <w:tcW w:w="2262" w:type="dxa"/>
            <w:vAlign w:val="center"/>
          </w:tcPr>
          <w:p w14:paraId="464D3507">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建设地点</w:t>
            </w:r>
          </w:p>
        </w:tc>
        <w:tc>
          <w:tcPr>
            <w:tcW w:w="5295" w:type="dxa"/>
            <w:vAlign w:val="center"/>
          </w:tcPr>
          <w:p w14:paraId="6BB52100">
            <w:pPr>
              <w:keepNext w:val="0"/>
              <w:keepLines w:val="0"/>
              <w:suppressLineNumbers w:val="0"/>
              <w:spacing w:before="0" w:beforeAutospacing="0" w:after="0" w:afterAutospacing="0" w:line="240" w:lineRule="auto"/>
              <w:ind w:left="0" w:right="0"/>
              <w:jc w:val="left"/>
              <w:rPr>
                <w:rFonts w:hint="eastAsia"/>
                <w:color w:val="auto"/>
                <w:highlight w:val="none"/>
              </w:rPr>
            </w:pPr>
            <w:r>
              <w:rPr>
                <w:rFonts w:hint="eastAsia"/>
                <w:color w:val="auto"/>
                <w:highlight w:val="none"/>
                <w:lang w:eastAsia="zh-CN"/>
              </w:rPr>
              <w:t>辽宁省盖州市市府大街6号</w:t>
            </w:r>
          </w:p>
        </w:tc>
      </w:tr>
      <w:tr w14:paraId="62385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2EE783E4">
            <w:pPr>
              <w:keepNext w:val="0"/>
              <w:keepLines w:val="0"/>
              <w:suppressLineNumbers w:val="0"/>
              <w:spacing w:before="0" w:beforeAutospacing="0" w:after="0" w:afterAutospacing="0" w:line="240" w:lineRule="auto"/>
              <w:ind w:left="0" w:right="0"/>
              <w:jc w:val="center"/>
              <w:rPr>
                <w:rFonts w:hint="eastAsia"/>
                <w:color w:val="auto"/>
                <w:highlight w:val="none"/>
              </w:rPr>
            </w:pPr>
            <w:r>
              <w:rPr>
                <w:rFonts w:hint="eastAsia"/>
                <w:color w:val="auto"/>
                <w:highlight w:val="none"/>
              </w:rPr>
              <w:t>1</w:t>
            </w:r>
            <w:r>
              <w:rPr>
                <w:rFonts w:hint="default"/>
                <w:color w:val="auto"/>
                <w:highlight w:val="none"/>
              </w:rPr>
              <w:t>.1.6</w:t>
            </w:r>
          </w:p>
        </w:tc>
        <w:tc>
          <w:tcPr>
            <w:tcW w:w="2262" w:type="dxa"/>
            <w:vAlign w:val="center"/>
          </w:tcPr>
          <w:p w14:paraId="6877284C">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lang w:val="en-US" w:eastAsia="zh-CN"/>
              </w:rPr>
              <w:t>项目投资估算</w:t>
            </w:r>
          </w:p>
        </w:tc>
        <w:tc>
          <w:tcPr>
            <w:tcW w:w="5295" w:type="dxa"/>
            <w:vAlign w:val="center"/>
          </w:tcPr>
          <w:p w14:paraId="1749AF3F">
            <w:pPr>
              <w:keepNext w:val="0"/>
              <w:keepLines w:val="0"/>
              <w:suppressLineNumbers w:val="0"/>
              <w:spacing w:before="0" w:beforeAutospacing="0" w:after="0" w:afterAutospacing="0" w:line="240" w:lineRule="auto"/>
              <w:ind w:left="0" w:right="0"/>
              <w:jc w:val="left"/>
              <w:rPr>
                <w:rFonts w:hint="default"/>
                <w:color w:val="auto"/>
                <w:highlight w:val="none"/>
              </w:rPr>
            </w:pPr>
            <w:r>
              <w:rPr>
                <w:rFonts w:hint="eastAsia"/>
                <w:color w:val="auto"/>
                <w:highlight w:val="none"/>
                <w:u w:val="single"/>
                <w:lang w:val="en-US" w:eastAsia="zh-CN"/>
              </w:rPr>
              <w:t>1077.67</w:t>
            </w:r>
            <w:r>
              <w:rPr>
                <w:rFonts w:hint="eastAsia"/>
                <w:color w:val="auto"/>
                <w:highlight w:val="none"/>
                <w:lang w:val="en-US" w:eastAsia="zh-CN"/>
              </w:rPr>
              <w:t>万元</w:t>
            </w:r>
          </w:p>
        </w:tc>
      </w:tr>
      <w:tr w14:paraId="00105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0F1ECCEA">
            <w:pPr>
              <w:keepNext w:val="0"/>
              <w:keepLines w:val="0"/>
              <w:suppressLineNumbers w:val="0"/>
              <w:spacing w:before="0" w:beforeAutospacing="0" w:after="0" w:afterAutospacing="0" w:line="240" w:lineRule="auto"/>
              <w:ind w:left="0" w:right="0"/>
              <w:jc w:val="center"/>
              <w:rPr>
                <w:rFonts w:hint="eastAsia"/>
                <w:color w:val="auto"/>
                <w:highlight w:val="none"/>
              </w:rPr>
            </w:pPr>
            <w:r>
              <w:rPr>
                <w:rFonts w:hint="eastAsia"/>
                <w:color w:val="auto"/>
                <w:highlight w:val="none"/>
              </w:rPr>
              <w:t>1</w:t>
            </w:r>
            <w:r>
              <w:rPr>
                <w:rFonts w:hint="default"/>
                <w:color w:val="auto"/>
                <w:highlight w:val="none"/>
              </w:rPr>
              <w:t>.1.</w:t>
            </w:r>
            <w:r>
              <w:rPr>
                <w:rFonts w:hint="eastAsia"/>
                <w:color w:val="auto"/>
                <w:highlight w:val="none"/>
                <w:lang w:val="en-US" w:eastAsia="zh-CN"/>
              </w:rPr>
              <w:t>7</w:t>
            </w:r>
          </w:p>
        </w:tc>
        <w:tc>
          <w:tcPr>
            <w:tcW w:w="2262" w:type="dxa"/>
            <w:vAlign w:val="center"/>
          </w:tcPr>
          <w:p w14:paraId="4DAC891A">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电子交易系统</w:t>
            </w:r>
          </w:p>
        </w:tc>
        <w:tc>
          <w:tcPr>
            <w:tcW w:w="5295" w:type="dxa"/>
            <w:vAlign w:val="center"/>
          </w:tcPr>
          <w:p w14:paraId="51BA0E7F">
            <w:pPr>
              <w:keepNext w:val="0"/>
              <w:keepLines w:val="0"/>
              <w:suppressLineNumbers w:val="0"/>
              <w:spacing w:before="0" w:beforeAutospacing="0" w:after="0" w:afterAutospacing="0" w:line="240" w:lineRule="auto"/>
              <w:ind w:left="0" w:right="0"/>
              <w:jc w:val="left"/>
              <w:rPr>
                <w:rFonts w:hint="eastAsia"/>
                <w:color w:val="auto"/>
                <w:highlight w:val="none"/>
              </w:rPr>
            </w:pPr>
            <w:r>
              <w:rPr>
                <w:rFonts w:hint="eastAsia"/>
                <w:color w:val="auto"/>
                <w:highlight w:val="none"/>
                <w:lang w:eastAsia="zh-CN"/>
              </w:rPr>
              <w:t>辽宁省房屋建筑和市政工程电子交易系统</w:t>
            </w:r>
            <w:r>
              <w:rPr>
                <w:rFonts w:hint="eastAsia"/>
                <w:color w:val="auto"/>
                <w:highlight w:val="none"/>
                <w:lang w:eastAsia="zh-CN"/>
              </w:rPr>
              <w:br w:type="textWrapping"/>
            </w:r>
            <w:r>
              <w:rPr>
                <w:rFonts w:hint="eastAsia"/>
                <w:color w:val="auto"/>
                <w:highlight w:val="none"/>
                <w:lang w:eastAsia="zh-CN"/>
              </w:rPr>
              <w:t>（</w:t>
            </w:r>
            <w:r>
              <w:rPr>
                <w:rFonts w:hint="eastAsia"/>
                <w:color w:val="auto"/>
                <w:highlight w:val="none"/>
                <w:lang w:val="en-US" w:eastAsia="zh-CN"/>
              </w:rPr>
              <w:t>易采叁通</w:t>
            </w:r>
            <w:r>
              <w:rPr>
                <w:rFonts w:hint="eastAsia"/>
                <w:color w:val="auto"/>
                <w:highlight w:val="none"/>
                <w:lang w:eastAsia="zh-CN"/>
              </w:rPr>
              <w:t>）</w:t>
            </w:r>
          </w:p>
        </w:tc>
      </w:tr>
      <w:tr w14:paraId="259C8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5C4EF5E2">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1.2.1</w:t>
            </w:r>
          </w:p>
        </w:tc>
        <w:tc>
          <w:tcPr>
            <w:tcW w:w="2262" w:type="dxa"/>
            <w:vAlign w:val="center"/>
          </w:tcPr>
          <w:p w14:paraId="5DD25931">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资金来源</w:t>
            </w:r>
          </w:p>
        </w:tc>
        <w:tc>
          <w:tcPr>
            <w:tcW w:w="5295" w:type="dxa"/>
            <w:vAlign w:val="center"/>
          </w:tcPr>
          <w:p w14:paraId="0996996E">
            <w:pPr>
              <w:keepNext w:val="0"/>
              <w:keepLines w:val="0"/>
              <w:suppressLineNumbers w:val="0"/>
              <w:spacing w:before="0" w:beforeAutospacing="0" w:after="0" w:afterAutospacing="0" w:line="240" w:lineRule="auto"/>
              <w:ind w:left="0" w:right="0"/>
              <w:jc w:val="left"/>
              <w:rPr>
                <w:rFonts w:hint="eastAsia"/>
                <w:color w:val="auto"/>
                <w:highlight w:val="none"/>
              </w:rPr>
            </w:pPr>
            <w:r>
              <w:rPr>
                <w:rFonts w:hint="eastAsia"/>
                <w:color w:val="auto"/>
                <w:highlight w:val="none"/>
                <w:lang w:eastAsia="zh-CN"/>
              </w:rPr>
              <w:t>中央</w:t>
            </w:r>
            <w:r>
              <w:rPr>
                <w:rFonts w:hint="eastAsia"/>
                <w:color w:val="auto"/>
                <w:highlight w:val="none"/>
                <w:lang w:val="en-US" w:eastAsia="zh-CN"/>
              </w:rPr>
              <w:t>预算内</w:t>
            </w:r>
            <w:r>
              <w:rPr>
                <w:rFonts w:hint="eastAsia"/>
                <w:color w:val="auto"/>
                <w:highlight w:val="none"/>
                <w:lang w:eastAsia="zh-CN"/>
              </w:rPr>
              <w:t>资金</w:t>
            </w:r>
          </w:p>
        </w:tc>
      </w:tr>
      <w:tr w14:paraId="589FA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6401A794">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1</w:t>
            </w:r>
            <w:r>
              <w:rPr>
                <w:rFonts w:hint="default"/>
                <w:color w:val="auto"/>
                <w:highlight w:val="none"/>
              </w:rPr>
              <w:t>.2.2</w:t>
            </w:r>
          </w:p>
        </w:tc>
        <w:tc>
          <w:tcPr>
            <w:tcW w:w="2262" w:type="dxa"/>
            <w:vAlign w:val="center"/>
          </w:tcPr>
          <w:p w14:paraId="2A2FB20C">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出资比例</w:t>
            </w:r>
          </w:p>
        </w:tc>
        <w:tc>
          <w:tcPr>
            <w:tcW w:w="5295" w:type="dxa"/>
            <w:vAlign w:val="center"/>
          </w:tcPr>
          <w:p w14:paraId="6ACD39FF">
            <w:pPr>
              <w:keepNext w:val="0"/>
              <w:keepLines w:val="0"/>
              <w:suppressLineNumbers w:val="0"/>
              <w:spacing w:before="0" w:beforeAutospacing="0" w:after="0" w:afterAutospacing="0" w:line="240" w:lineRule="auto"/>
              <w:ind w:left="0" w:right="0"/>
              <w:jc w:val="left"/>
              <w:rPr>
                <w:rFonts w:hint="eastAsia"/>
                <w:color w:val="auto"/>
                <w:highlight w:val="none"/>
              </w:rPr>
            </w:pPr>
            <w:r>
              <w:rPr>
                <w:rFonts w:hint="eastAsia"/>
                <w:color w:val="auto"/>
                <w:highlight w:val="none"/>
                <w:lang w:eastAsia="zh-CN"/>
              </w:rPr>
              <w:t>100%</w:t>
            </w:r>
          </w:p>
        </w:tc>
      </w:tr>
      <w:tr w14:paraId="0AB44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53DB9C55">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1</w:t>
            </w:r>
            <w:r>
              <w:rPr>
                <w:rFonts w:hint="default"/>
                <w:color w:val="auto"/>
                <w:highlight w:val="none"/>
              </w:rPr>
              <w:t>.2.3</w:t>
            </w:r>
          </w:p>
        </w:tc>
        <w:tc>
          <w:tcPr>
            <w:tcW w:w="2262" w:type="dxa"/>
            <w:vAlign w:val="center"/>
          </w:tcPr>
          <w:p w14:paraId="1F39C3B7">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标段合同估算价</w:t>
            </w:r>
          </w:p>
        </w:tc>
        <w:tc>
          <w:tcPr>
            <w:tcW w:w="5295" w:type="dxa"/>
            <w:vAlign w:val="center"/>
          </w:tcPr>
          <w:p w14:paraId="43E9C107">
            <w:pPr>
              <w:keepNext w:val="0"/>
              <w:keepLines w:val="0"/>
              <w:suppressLineNumbers w:val="0"/>
              <w:spacing w:before="0" w:beforeAutospacing="0" w:after="0" w:afterAutospacing="0" w:line="240" w:lineRule="auto"/>
              <w:ind w:left="0" w:right="0"/>
              <w:jc w:val="left"/>
              <w:rPr>
                <w:rFonts w:hint="default"/>
                <w:color w:val="auto"/>
                <w:highlight w:val="none"/>
              </w:rPr>
            </w:pPr>
            <w:r>
              <w:rPr>
                <w:rFonts w:hint="eastAsia"/>
                <w:color w:val="auto"/>
                <w:highlight w:val="none"/>
                <w:u w:val="single"/>
                <w:lang w:val="en-US" w:eastAsia="zh-CN"/>
              </w:rPr>
              <w:t>990.01</w:t>
            </w:r>
            <w:r>
              <w:rPr>
                <w:rFonts w:hint="eastAsia"/>
                <w:color w:val="auto"/>
                <w:highlight w:val="none"/>
                <w:u w:val="none"/>
                <w:lang w:val="en-US" w:eastAsia="zh-CN"/>
              </w:rPr>
              <w:t>万</w:t>
            </w:r>
            <w:r>
              <w:rPr>
                <w:rFonts w:hint="eastAsia"/>
                <w:color w:val="auto"/>
                <w:highlight w:val="none"/>
              </w:rPr>
              <w:t>元</w:t>
            </w:r>
          </w:p>
        </w:tc>
      </w:tr>
      <w:tr w14:paraId="58577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3C2951DE">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1.2.</w:t>
            </w:r>
            <w:r>
              <w:rPr>
                <w:rFonts w:hint="default"/>
                <w:color w:val="auto"/>
                <w:highlight w:val="none"/>
              </w:rPr>
              <w:t>4</w:t>
            </w:r>
          </w:p>
        </w:tc>
        <w:tc>
          <w:tcPr>
            <w:tcW w:w="2262" w:type="dxa"/>
            <w:vAlign w:val="center"/>
          </w:tcPr>
          <w:p w14:paraId="496FA633">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资金落实情况</w:t>
            </w:r>
          </w:p>
        </w:tc>
        <w:tc>
          <w:tcPr>
            <w:tcW w:w="5295" w:type="dxa"/>
            <w:vAlign w:val="center"/>
          </w:tcPr>
          <w:p w14:paraId="30731A3D">
            <w:pPr>
              <w:keepNext w:val="0"/>
              <w:keepLines w:val="0"/>
              <w:suppressLineNumbers w:val="0"/>
              <w:spacing w:before="0" w:beforeAutospacing="0" w:after="0" w:afterAutospacing="0" w:line="240" w:lineRule="auto"/>
              <w:ind w:left="0" w:right="0"/>
              <w:jc w:val="left"/>
              <w:rPr>
                <w:rFonts w:hint="eastAsia"/>
                <w:color w:val="auto"/>
                <w:highlight w:val="none"/>
              </w:rPr>
            </w:pPr>
            <w:r>
              <w:rPr>
                <w:rFonts w:hint="eastAsia"/>
                <w:color w:val="auto"/>
                <w:highlight w:val="none"/>
                <w:lang w:eastAsia="zh-CN"/>
              </w:rPr>
              <w:t>已落实</w:t>
            </w:r>
          </w:p>
        </w:tc>
      </w:tr>
      <w:tr w14:paraId="7C265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857" w:type="dxa"/>
            <w:vAlign w:val="center"/>
          </w:tcPr>
          <w:p w14:paraId="199DFA73">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1.3.1</w:t>
            </w:r>
          </w:p>
        </w:tc>
        <w:tc>
          <w:tcPr>
            <w:tcW w:w="2262" w:type="dxa"/>
            <w:vAlign w:val="center"/>
          </w:tcPr>
          <w:p w14:paraId="563B1303">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招标范围</w:t>
            </w:r>
          </w:p>
        </w:tc>
        <w:tc>
          <w:tcPr>
            <w:tcW w:w="5295" w:type="dxa"/>
            <w:vAlign w:val="center"/>
          </w:tcPr>
          <w:p w14:paraId="535D8276">
            <w:pPr>
              <w:keepNext w:val="0"/>
              <w:keepLines w:val="0"/>
              <w:suppressLineNumbers w:val="0"/>
              <w:spacing w:before="0" w:beforeAutospacing="0" w:after="0" w:afterAutospacing="0" w:line="240" w:lineRule="auto"/>
              <w:ind w:left="0" w:right="0"/>
              <w:jc w:val="left"/>
              <w:rPr>
                <w:rStyle w:val="20"/>
                <w:rFonts w:hint="eastAsia" w:ascii="宋体" w:hAnsi="宋体" w:cs="宋体"/>
                <w:b w:val="0"/>
                <w:bCs w:val="0"/>
                <w:i w:val="0"/>
                <w:iCs w:val="0"/>
                <w:smallCaps w:val="0"/>
                <w:color w:val="auto"/>
                <w:kern w:val="0"/>
                <w:sz w:val="21"/>
                <w:szCs w:val="21"/>
                <w:highlight w:val="none"/>
                <w:lang w:eastAsia="zh-CN"/>
              </w:rPr>
            </w:pPr>
            <w:r>
              <w:rPr>
                <w:rStyle w:val="20"/>
                <w:rFonts w:hint="eastAsia" w:ascii="宋体" w:hAnsi="宋体" w:cs="宋体"/>
                <w:b w:val="0"/>
                <w:bCs w:val="0"/>
                <w:i w:val="0"/>
                <w:iCs w:val="0"/>
                <w:smallCaps w:val="0"/>
                <w:color w:val="auto"/>
                <w:kern w:val="0"/>
                <w:sz w:val="21"/>
                <w:szCs w:val="21"/>
                <w:highlight w:val="none"/>
                <w:lang w:eastAsia="zh-CN"/>
              </w:rPr>
              <w:t>承重系统、围护系统、建筑装修系统、给排水系统、采暖系统、通风与空调系统、电气系统、建筑消防系统、建筑智能化系统，具体工作内容详见</w:t>
            </w:r>
            <w:r>
              <w:rPr>
                <w:rStyle w:val="20"/>
                <w:rFonts w:hint="eastAsia" w:ascii="宋体" w:hAnsi="宋体" w:cs="宋体"/>
                <w:b w:val="0"/>
                <w:bCs w:val="0"/>
                <w:i w:val="0"/>
                <w:iCs w:val="0"/>
                <w:smallCaps w:val="0"/>
                <w:color w:val="auto"/>
                <w:kern w:val="0"/>
                <w:sz w:val="21"/>
                <w:szCs w:val="21"/>
                <w:highlight w:val="none"/>
                <w:lang w:val="en-US" w:eastAsia="zh-CN"/>
              </w:rPr>
              <w:t>图纸及</w:t>
            </w:r>
            <w:r>
              <w:rPr>
                <w:rStyle w:val="20"/>
                <w:rFonts w:hint="eastAsia" w:ascii="宋体" w:hAnsi="宋体" w:cs="宋体"/>
                <w:b w:val="0"/>
                <w:bCs w:val="0"/>
                <w:i w:val="0"/>
                <w:iCs w:val="0"/>
                <w:smallCaps w:val="0"/>
                <w:color w:val="auto"/>
                <w:kern w:val="0"/>
                <w:sz w:val="21"/>
                <w:szCs w:val="21"/>
                <w:highlight w:val="none"/>
                <w:lang w:eastAsia="zh-CN"/>
              </w:rPr>
              <w:t>工程量清单。</w:t>
            </w:r>
          </w:p>
          <w:p w14:paraId="004262AE">
            <w:pPr>
              <w:keepNext w:val="0"/>
              <w:keepLines w:val="0"/>
              <w:suppressLineNumbers w:val="0"/>
              <w:spacing w:before="0" w:beforeAutospacing="0" w:after="0" w:afterAutospacing="0" w:line="240" w:lineRule="auto"/>
              <w:ind w:left="0" w:right="0"/>
              <w:jc w:val="left"/>
              <w:rPr>
                <w:rStyle w:val="20"/>
                <w:rFonts w:hint="default" w:ascii="宋体" w:hAnsi="宋体" w:cs="宋体"/>
                <w:b w:val="0"/>
                <w:bCs w:val="0"/>
                <w:i w:val="0"/>
                <w:iCs w:val="0"/>
                <w:smallCaps w:val="0"/>
                <w:color w:val="auto"/>
                <w:kern w:val="0"/>
                <w:sz w:val="21"/>
                <w:szCs w:val="21"/>
                <w:highlight w:val="none"/>
                <w:lang w:eastAsia="zh-CN"/>
              </w:rPr>
            </w:pPr>
            <w:r>
              <w:rPr>
                <w:rFonts w:hint="eastAsia"/>
                <w:color w:val="auto"/>
                <w:highlight w:val="none"/>
                <w:lang w:val="en-US" w:eastAsia="zh-CN"/>
              </w:rPr>
              <w:t>其中，强制节能产品应当满足招标文件“第七章 技术标准和要求”中的对应要求，并在投标文件中提供对应的证明材料。</w:t>
            </w:r>
          </w:p>
          <w:p w14:paraId="61BB8D9B">
            <w:pPr>
              <w:keepNext w:val="0"/>
              <w:keepLines w:val="0"/>
              <w:suppressLineNumbers w:val="0"/>
              <w:spacing w:before="0" w:beforeAutospacing="0" w:after="0" w:afterAutospacing="0" w:line="240" w:lineRule="auto"/>
              <w:ind w:left="0" w:right="0"/>
              <w:jc w:val="left"/>
              <w:rPr>
                <w:rFonts w:hint="default"/>
                <w:color w:val="auto"/>
                <w:highlight w:val="none"/>
                <w:u w:val="single"/>
              </w:rPr>
            </w:pPr>
            <w:r>
              <w:rPr>
                <w:rFonts w:hint="eastAsia"/>
                <w:color w:val="auto"/>
                <w:highlight w:val="none"/>
              </w:rPr>
              <w:t>详见</w:t>
            </w:r>
            <w:r>
              <w:rPr>
                <w:rFonts w:hint="eastAsia"/>
                <w:color w:val="auto"/>
                <w:highlight w:val="none"/>
                <w:lang w:eastAsia="zh-CN"/>
              </w:rPr>
              <w:t>第七章</w:t>
            </w:r>
            <w:r>
              <w:rPr>
                <w:rFonts w:hint="eastAsia"/>
                <w:color w:val="auto"/>
                <w:highlight w:val="none"/>
              </w:rPr>
              <w:t>“技术标准和要求”</w:t>
            </w:r>
          </w:p>
        </w:tc>
      </w:tr>
      <w:tr w14:paraId="66689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57" w:type="dxa"/>
            <w:vAlign w:val="center"/>
          </w:tcPr>
          <w:p w14:paraId="055475FD">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1.3.2</w:t>
            </w:r>
          </w:p>
        </w:tc>
        <w:tc>
          <w:tcPr>
            <w:tcW w:w="2262" w:type="dxa"/>
            <w:vAlign w:val="center"/>
          </w:tcPr>
          <w:p w14:paraId="45EE980A">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计划工期</w:t>
            </w:r>
          </w:p>
        </w:tc>
        <w:tc>
          <w:tcPr>
            <w:tcW w:w="5295" w:type="dxa"/>
            <w:vAlign w:val="center"/>
          </w:tcPr>
          <w:p w14:paraId="33DCA209">
            <w:pPr>
              <w:keepNext w:val="0"/>
              <w:keepLines w:val="0"/>
              <w:suppressLineNumbers w:val="0"/>
              <w:spacing w:before="0" w:beforeAutospacing="0" w:after="0" w:afterAutospacing="0" w:line="240" w:lineRule="auto"/>
              <w:ind w:left="0" w:right="0"/>
              <w:jc w:val="left"/>
              <w:rPr>
                <w:rFonts w:hint="default"/>
                <w:color w:val="auto"/>
                <w:highlight w:val="none"/>
              </w:rPr>
            </w:pPr>
            <w:r>
              <w:rPr>
                <w:rFonts w:hint="eastAsia"/>
                <w:color w:val="auto"/>
                <w:highlight w:val="none"/>
              </w:rPr>
              <w:t>计划工期：</w:t>
            </w:r>
            <w:r>
              <w:rPr>
                <w:rFonts w:hint="eastAsia"/>
                <w:color w:val="auto"/>
                <w:highlight w:val="none"/>
                <w:u w:val="single"/>
                <w:lang w:val="en-US" w:eastAsia="zh-CN"/>
              </w:rPr>
              <w:t>304</w:t>
            </w:r>
            <w:r>
              <w:rPr>
                <w:rFonts w:hint="eastAsia"/>
                <w:color w:val="auto"/>
                <w:highlight w:val="none"/>
              </w:rPr>
              <w:t>日历天</w:t>
            </w:r>
          </w:p>
          <w:p w14:paraId="2760A01D">
            <w:pPr>
              <w:keepNext w:val="0"/>
              <w:keepLines w:val="0"/>
              <w:suppressLineNumbers w:val="0"/>
              <w:spacing w:before="0" w:beforeAutospacing="0" w:after="0" w:afterAutospacing="0" w:line="240" w:lineRule="auto"/>
              <w:ind w:left="0" w:right="0"/>
              <w:jc w:val="left"/>
              <w:rPr>
                <w:rFonts w:hint="eastAsia"/>
                <w:color w:val="auto"/>
                <w:highlight w:val="none"/>
              </w:rPr>
            </w:pPr>
            <w:r>
              <w:rPr>
                <w:rFonts w:hint="eastAsia"/>
                <w:color w:val="auto"/>
                <w:highlight w:val="none"/>
              </w:rPr>
              <w:t>计划开工日期：</w:t>
            </w:r>
            <w:r>
              <w:rPr>
                <w:rFonts w:hint="eastAsia"/>
                <w:color w:val="auto"/>
                <w:highlight w:val="none"/>
                <w:u w:val="single"/>
                <w:lang w:eastAsia="zh-CN"/>
              </w:rPr>
              <w:t>2026年</w:t>
            </w:r>
            <w:r>
              <w:rPr>
                <w:rFonts w:hint="eastAsia"/>
                <w:color w:val="auto"/>
                <w:highlight w:val="none"/>
                <w:u w:val="single"/>
                <w:lang w:val="en-US" w:eastAsia="zh-CN"/>
              </w:rPr>
              <w:t>10</w:t>
            </w:r>
            <w:r>
              <w:rPr>
                <w:rFonts w:hint="eastAsia"/>
                <w:color w:val="auto"/>
                <w:highlight w:val="none"/>
                <w:u w:val="single"/>
                <w:lang w:eastAsia="zh-CN"/>
              </w:rPr>
              <w:t>月</w:t>
            </w:r>
            <w:r>
              <w:rPr>
                <w:rFonts w:hint="eastAsia"/>
                <w:color w:val="auto"/>
                <w:highlight w:val="none"/>
                <w:u w:val="single"/>
                <w:lang w:val="en-US" w:eastAsia="zh-CN"/>
              </w:rPr>
              <w:t>20</w:t>
            </w:r>
            <w:r>
              <w:rPr>
                <w:rFonts w:hint="eastAsia"/>
                <w:color w:val="auto"/>
                <w:highlight w:val="none"/>
                <w:u w:val="single"/>
                <w:lang w:eastAsia="zh-CN"/>
              </w:rPr>
              <w:t>日</w:t>
            </w:r>
          </w:p>
          <w:p w14:paraId="33C64821">
            <w:pPr>
              <w:keepNext w:val="0"/>
              <w:keepLines w:val="0"/>
              <w:suppressLineNumbers w:val="0"/>
              <w:spacing w:before="0" w:beforeAutospacing="0" w:after="0" w:afterAutospacing="0" w:line="240" w:lineRule="auto"/>
              <w:ind w:left="0" w:right="0"/>
              <w:jc w:val="left"/>
              <w:rPr>
                <w:rFonts w:hint="default"/>
                <w:color w:val="auto"/>
                <w:highlight w:val="none"/>
                <w:u w:val="single"/>
              </w:rPr>
            </w:pPr>
            <w:r>
              <w:rPr>
                <w:rFonts w:hint="eastAsia"/>
                <w:color w:val="auto"/>
                <w:highlight w:val="none"/>
              </w:rPr>
              <w:t>计划竣工日期：</w:t>
            </w:r>
            <w:r>
              <w:rPr>
                <w:rFonts w:hint="eastAsia"/>
                <w:color w:val="auto"/>
                <w:highlight w:val="none"/>
                <w:u w:val="single"/>
                <w:lang w:eastAsia="zh-CN"/>
              </w:rPr>
              <w:t>2027年</w:t>
            </w:r>
            <w:r>
              <w:rPr>
                <w:rFonts w:hint="eastAsia"/>
                <w:color w:val="auto"/>
                <w:highlight w:val="none"/>
                <w:u w:val="single"/>
                <w:lang w:val="en-US" w:eastAsia="zh-CN"/>
              </w:rPr>
              <w:t>8</w:t>
            </w:r>
            <w:r>
              <w:rPr>
                <w:rFonts w:hint="eastAsia"/>
                <w:color w:val="auto"/>
                <w:highlight w:val="none"/>
                <w:u w:val="single"/>
                <w:lang w:eastAsia="zh-CN"/>
              </w:rPr>
              <w:t>月</w:t>
            </w:r>
            <w:r>
              <w:rPr>
                <w:rFonts w:hint="eastAsia"/>
                <w:color w:val="auto"/>
                <w:highlight w:val="none"/>
                <w:u w:val="single"/>
                <w:lang w:val="en-US" w:eastAsia="zh-CN"/>
              </w:rPr>
              <w:t>20</w:t>
            </w:r>
            <w:r>
              <w:rPr>
                <w:rFonts w:hint="eastAsia"/>
                <w:color w:val="auto"/>
                <w:highlight w:val="none"/>
                <w:u w:val="single"/>
                <w:lang w:eastAsia="zh-CN"/>
              </w:rPr>
              <w:t>日</w:t>
            </w:r>
          </w:p>
          <w:p w14:paraId="1F2ABA41">
            <w:pPr>
              <w:keepNext w:val="0"/>
              <w:keepLines w:val="0"/>
              <w:suppressLineNumbers w:val="0"/>
              <w:spacing w:before="0" w:beforeAutospacing="0" w:after="0" w:afterAutospacing="0" w:line="240" w:lineRule="auto"/>
              <w:ind w:left="0" w:right="0"/>
              <w:jc w:val="left"/>
              <w:rPr>
                <w:rFonts w:hint="eastAsia"/>
                <w:color w:val="auto"/>
                <w:highlight w:val="none"/>
                <w:u w:val="single"/>
              </w:rPr>
            </w:pPr>
            <w:r>
              <w:rPr>
                <w:rFonts w:hint="eastAsia"/>
                <w:color w:val="auto"/>
                <w:highlight w:val="none"/>
              </w:rPr>
              <w:t>除上述总工期外，发包人还要求以下</w:t>
            </w:r>
            <w:r>
              <w:rPr>
                <w:rFonts w:hint="eastAsia"/>
                <w:color w:val="auto"/>
                <w:highlight w:val="none"/>
                <w:lang w:val="en-US" w:eastAsia="zh-CN"/>
              </w:rPr>
              <w:t>区段工期</w:t>
            </w:r>
            <w:r>
              <w:rPr>
                <w:rFonts w:hint="eastAsia"/>
                <w:color w:val="auto"/>
                <w:highlight w:val="none"/>
              </w:rPr>
              <w:t>：</w:t>
            </w:r>
            <w:r>
              <w:rPr>
                <w:rFonts w:hint="eastAsia"/>
                <w:color w:val="auto"/>
                <w:highlight w:val="none"/>
                <w:u w:val="single"/>
                <w:lang w:eastAsia="zh-CN"/>
              </w:rPr>
              <w:t>/</w:t>
            </w:r>
          </w:p>
          <w:p w14:paraId="30F85D3A">
            <w:pPr>
              <w:keepNext w:val="0"/>
              <w:keepLines w:val="0"/>
              <w:suppressLineNumbers w:val="0"/>
              <w:spacing w:before="0" w:beforeAutospacing="0" w:after="0" w:afterAutospacing="0" w:line="240" w:lineRule="auto"/>
              <w:ind w:left="0" w:right="0"/>
              <w:jc w:val="left"/>
              <w:rPr>
                <w:rFonts w:hint="default"/>
                <w:color w:val="auto"/>
                <w:highlight w:val="none"/>
                <w:u w:val="single"/>
              </w:rPr>
            </w:pPr>
            <w:r>
              <w:rPr>
                <w:rFonts w:hint="eastAsia"/>
                <w:color w:val="auto"/>
                <w:highlight w:val="none"/>
              </w:rPr>
              <w:t>有关工期的详细要求见</w:t>
            </w:r>
            <w:r>
              <w:rPr>
                <w:rFonts w:hint="eastAsia"/>
                <w:color w:val="auto"/>
                <w:highlight w:val="none"/>
                <w:lang w:eastAsia="zh-CN"/>
              </w:rPr>
              <w:t>第七章</w:t>
            </w:r>
            <w:r>
              <w:rPr>
                <w:rFonts w:hint="eastAsia"/>
                <w:color w:val="auto"/>
                <w:highlight w:val="none"/>
              </w:rPr>
              <w:t>“技术标准和要求”</w:t>
            </w:r>
          </w:p>
        </w:tc>
      </w:tr>
      <w:tr w14:paraId="1DA53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857" w:type="dxa"/>
            <w:vAlign w:val="center"/>
          </w:tcPr>
          <w:p w14:paraId="10085380">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1.3.3</w:t>
            </w:r>
          </w:p>
        </w:tc>
        <w:tc>
          <w:tcPr>
            <w:tcW w:w="2262" w:type="dxa"/>
            <w:vAlign w:val="center"/>
          </w:tcPr>
          <w:p w14:paraId="4B59B5D4">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质量要求</w:t>
            </w:r>
          </w:p>
        </w:tc>
        <w:tc>
          <w:tcPr>
            <w:tcW w:w="5295" w:type="dxa"/>
            <w:vAlign w:val="center"/>
          </w:tcPr>
          <w:p w14:paraId="65BF75F4">
            <w:pPr>
              <w:keepNext w:val="0"/>
              <w:keepLines w:val="0"/>
              <w:suppressLineNumbers w:val="0"/>
              <w:spacing w:before="0" w:beforeAutospacing="0" w:after="0" w:afterAutospacing="0" w:line="240" w:lineRule="auto"/>
              <w:ind w:left="0" w:right="0"/>
              <w:jc w:val="left"/>
              <w:rPr>
                <w:rFonts w:hint="default"/>
                <w:color w:val="auto"/>
                <w:highlight w:val="none"/>
                <w:u w:val="single"/>
              </w:rPr>
            </w:pPr>
            <w:r>
              <w:rPr>
                <w:rFonts w:hint="eastAsia"/>
                <w:color w:val="auto"/>
                <w:highlight w:val="none"/>
              </w:rPr>
              <w:t>质量</w:t>
            </w:r>
            <w:r>
              <w:rPr>
                <w:rFonts w:hint="eastAsia"/>
                <w:color w:val="auto"/>
                <w:highlight w:val="none"/>
                <w:lang w:val="en-US" w:eastAsia="zh-CN"/>
              </w:rPr>
              <w:t>要求</w:t>
            </w:r>
            <w:r>
              <w:rPr>
                <w:rFonts w:hint="eastAsia"/>
                <w:color w:val="auto"/>
                <w:highlight w:val="none"/>
              </w:rPr>
              <w:t>：</w:t>
            </w:r>
            <w:r>
              <w:rPr>
                <w:rFonts w:hint="eastAsia"/>
                <w:color w:val="auto"/>
                <w:highlight w:val="none"/>
                <w:u w:val="single"/>
                <w:lang w:eastAsia="zh-CN"/>
              </w:rPr>
              <w:t>合格</w:t>
            </w:r>
          </w:p>
          <w:p w14:paraId="06A7627F">
            <w:pPr>
              <w:keepNext w:val="0"/>
              <w:keepLines w:val="0"/>
              <w:suppressLineNumbers w:val="0"/>
              <w:spacing w:before="0" w:beforeAutospacing="0" w:after="0" w:afterAutospacing="0" w:line="240" w:lineRule="auto"/>
              <w:ind w:left="0" w:right="0"/>
              <w:jc w:val="left"/>
              <w:rPr>
                <w:rFonts w:hint="default"/>
                <w:color w:val="auto"/>
                <w:highlight w:val="none"/>
              </w:rPr>
            </w:pPr>
            <w:r>
              <w:rPr>
                <w:rFonts w:hint="eastAsia"/>
                <w:color w:val="auto"/>
                <w:highlight w:val="none"/>
              </w:rPr>
              <w:t>其他要求</w:t>
            </w:r>
            <w:r>
              <w:rPr>
                <w:rFonts w:hint="eastAsia"/>
                <w:color w:val="auto"/>
                <w:highlight w:val="none"/>
                <w:lang w:eastAsia="zh-CN"/>
              </w:rPr>
              <w:t>：</w:t>
            </w:r>
            <w:r>
              <w:rPr>
                <w:rFonts w:hint="eastAsia"/>
                <w:color w:val="auto"/>
                <w:highlight w:val="none"/>
                <w:u w:val="single"/>
                <w:lang w:eastAsia="zh-CN"/>
              </w:rPr>
              <w:t>/</w:t>
            </w:r>
          </w:p>
          <w:p w14:paraId="19B408D2">
            <w:pPr>
              <w:keepNext w:val="0"/>
              <w:keepLines w:val="0"/>
              <w:suppressLineNumbers w:val="0"/>
              <w:spacing w:before="0" w:beforeAutospacing="0" w:after="0" w:afterAutospacing="0" w:line="240" w:lineRule="auto"/>
              <w:ind w:left="0" w:right="0"/>
              <w:jc w:val="left"/>
              <w:rPr>
                <w:rFonts w:hint="default"/>
                <w:color w:val="auto"/>
                <w:highlight w:val="none"/>
              </w:rPr>
            </w:pPr>
            <w:r>
              <w:rPr>
                <w:rFonts w:hint="eastAsia"/>
                <w:color w:val="auto"/>
                <w:highlight w:val="none"/>
              </w:rPr>
              <w:t>关于质量要求的详细说明见</w:t>
            </w:r>
            <w:r>
              <w:rPr>
                <w:rFonts w:hint="eastAsia"/>
                <w:color w:val="auto"/>
                <w:highlight w:val="none"/>
                <w:lang w:eastAsia="zh-CN"/>
              </w:rPr>
              <w:t>第七章</w:t>
            </w:r>
            <w:r>
              <w:rPr>
                <w:rFonts w:hint="eastAsia"/>
                <w:color w:val="auto"/>
                <w:highlight w:val="none"/>
              </w:rPr>
              <w:t>“技术标准和要求”</w:t>
            </w:r>
          </w:p>
        </w:tc>
      </w:tr>
      <w:tr w14:paraId="1894D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0" w:hRule="atLeast"/>
          <w:jc w:val="center"/>
        </w:trPr>
        <w:tc>
          <w:tcPr>
            <w:tcW w:w="857" w:type="dxa"/>
            <w:vAlign w:val="center"/>
          </w:tcPr>
          <w:p w14:paraId="5A03088C">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1.4.1</w:t>
            </w:r>
          </w:p>
        </w:tc>
        <w:tc>
          <w:tcPr>
            <w:tcW w:w="2262" w:type="dxa"/>
            <w:vAlign w:val="center"/>
          </w:tcPr>
          <w:p w14:paraId="5FE64876">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投标人资质条件、</w:t>
            </w:r>
          </w:p>
          <w:p w14:paraId="17543075">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能力和信誉</w:t>
            </w:r>
          </w:p>
        </w:tc>
        <w:tc>
          <w:tcPr>
            <w:tcW w:w="5295" w:type="dxa"/>
            <w:vAlign w:val="center"/>
          </w:tcPr>
          <w:p w14:paraId="18CDDF7F">
            <w:pPr>
              <w:keepNext w:val="0"/>
              <w:keepLines w:val="0"/>
              <w:suppressLineNumbers w:val="0"/>
              <w:spacing w:before="0" w:beforeAutospacing="0" w:after="0" w:afterAutospacing="0" w:line="240" w:lineRule="auto"/>
              <w:ind w:left="0" w:right="0"/>
              <w:jc w:val="both"/>
              <w:rPr>
                <w:rFonts w:hint="default"/>
                <w:color w:val="auto"/>
                <w:highlight w:val="none"/>
              </w:rPr>
            </w:pPr>
            <w:r>
              <w:rPr>
                <w:rFonts w:hint="eastAsia"/>
                <w:b/>
                <w:color w:val="auto"/>
                <w:highlight w:val="none"/>
              </w:rPr>
              <w:t>资质</w:t>
            </w:r>
            <w:r>
              <w:rPr>
                <w:rFonts w:hint="eastAsia"/>
                <w:b/>
                <w:color w:val="auto"/>
                <w:highlight w:val="none"/>
                <w:lang w:val="en-US" w:eastAsia="zh-CN"/>
              </w:rPr>
              <w:t>要求</w:t>
            </w:r>
            <w:r>
              <w:rPr>
                <w:rFonts w:hint="eastAsia"/>
                <w:b/>
                <w:color w:val="auto"/>
                <w:highlight w:val="none"/>
              </w:rPr>
              <w:t>：</w:t>
            </w:r>
            <w:r>
              <w:rPr>
                <w:rFonts w:hint="eastAsia"/>
                <w:b w:val="0"/>
                <w:bCs/>
                <w:color w:val="auto"/>
                <w:highlight w:val="none"/>
              </w:rPr>
              <w:t>具备</w:t>
            </w:r>
            <w:r>
              <w:rPr>
                <w:rFonts w:hint="eastAsia"/>
                <w:b w:val="0"/>
                <w:bCs/>
                <w:color w:val="auto"/>
                <w:highlight w:val="none"/>
                <w:lang w:val="en-US" w:eastAsia="zh-CN"/>
              </w:rPr>
              <w:t>[施工总承包·建筑工程·建筑工程三级</w:t>
            </w:r>
            <w:r>
              <w:rPr>
                <w:rStyle w:val="20"/>
                <w:rFonts w:hint="eastAsia" w:ascii="宋体" w:hAnsi="宋体" w:cs="宋体"/>
                <w:b w:val="0"/>
                <w:bCs w:val="0"/>
                <w:i w:val="0"/>
                <w:iCs w:val="0"/>
                <w:smallCaps w:val="0"/>
                <w:color w:val="auto"/>
                <w:kern w:val="0"/>
                <w:sz w:val="27"/>
                <w:szCs w:val="27"/>
                <w:highlight w:val="none"/>
                <w:lang w:val="en-US" w:eastAsia="zh-CN"/>
              </w:rPr>
              <w:t>]</w:t>
            </w:r>
            <w:r>
              <w:rPr>
                <w:rFonts w:hint="eastAsia"/>
                <w:color w:val="auto"/>
                <w:highlight w:val="none"/>
                <w:u w:val="none"/>
                <w:lang w:val="en-US" w:eastAsia="zh-CN"/>
              </w:rPr>
              <w:t>（含）以上资质</w:t>
            </w:r>
            <w:r>
              <w:rPr>
                <w:rFonts w:hint="eastAsia"/>
                <w:color w:val="auto"/>
                <w:highlight w:val="none"/>
              </w:rPr>
              <w:t>，且</w:t>
            </w:r>
            <w:r>
              <w:rPr>
                <w:rFonts w:hint="eastAsia"/>
                <w:color w:val="auto"/>
                <w:szCs w:val="21"/>
                <w:highlight w:val="none"/>
              </w:rPr>
              <w:t>具备有效的安全生产许可证，具备市场监督管理部门</w:t>
            </w:r>
            <w:r>
              <w:rPr>
                <w:rFonts w:hint="default"/>
                <w:color w:val="auto"/>
                <w:szCs w:val="21"/>
                <w:highlight w:val="none"/>
              </w:rPr>
              <w:t>核发的有效营业执照。</w:t>
            </w:r>
          </w:p>
          <w:p w14:paraId="2C96204E">
            <w:pPr>
              <w:keepNext w:val="0"/>
              <w:keepLines w:val="0"/>
              <w:suppressLineNumbers w:val="0"/>
              <w:spacing w:before="0" w:beforeAutospacing="0" w:after="0" w:afterAutospacing="0" w:line="240" w:lineRule="auto"/>
              <w:ind w:left="0" w:right="0"/>
              <w:jc w:val="both"/>
              <w:rPr>
                <w:rFonts w:hint="default"/>
                <w:color w:val="auto"/>
                <w:highlight w:val="none"/>
              </w:rPr>
            </w:pPr>
            <w:r>
              <w:rPr>
                <w:rFonts w:hint="eastAsia"/>
                <w:b/>
                <w:color w:val="auto"/>
                <w:highlight w:val="none"/>
              </w:rPr>
              <w:t>信誉要求：</w:t>
            </w:r>
            <w:r>
              <w:rPr>
                <w:rFonts w:hint="eastAsia"/>
                <w:color w:val="auto"/>
                <w:highlight w:val="none"/>
              </w:rPr>
              <w:t>不得具有投标人须知第1.4.3（1</w:t>
            </w:r>
            <w:r>
              <w:rPr>
                <w:rFonts w:hint="eastAsia"/>
                <w:color w:val="auto"/>
                <w:highlight w:val="none"/>
                <w:lang w:val="en-US" w:eastAsia="zh-CN"/>
              </w:rPr>
              <w:t>0</w:t>
            </w:r>
            <w:r>
              <w:rPr>
                <w:rFonts w:hint="eastAsia"/>
                <w:color w:val="auto"/>
                <w:highlight w:val="none"/>
              </w:rPr>
              <w:t>）至（1</w:t>
            </w:r>
            <w:r>
              <w:rPr>
                <w:rFonts w:hint="eastAsia"/>
                <w:color w:val="auto"/>
                <w:highlight w:val="none"/>
                <w:lang w:val="en-US" w:eastAsia="zh-CN"/>
              </w:rPr>
              <w:t>7</w:t>
            </w:r>
            <w:r>
              <w:rPr>
                <w:rFonts w:hint="eastAsia"/>
                <w:color w:val="auto"/>
                <w:highlight w:val="none"/>
              </w:rPr>
              <w:t>）条目规定的情形。</w:t>
            </w:r>
          </w:p>
          <w:p w14:paraId="0A76E31F">
            <w:pPr>
              <w:keepNext w:val="0"/>
              <w:keepLines w:val="0"/>
              <w:suppressLineNumbers w:val="0"/>
              <w:spacing w:before="0" w:beforeAutospacing="0" w:after="0" w:afterAutospacing="0" w:line="240" w:lineRule="auto"/>
              <w:ind w:left="0" w:right="0"/>
              <w:jc w:val="both"/>
              <w:rPr>
                <w:rFonts w:hint="default"/>
                <w:color w:val="auto"/>
                <w:highlight w:val="none"/>
              </w:rPr>
            </w:pPr>
            <w:r>
              <w:rPr>
                <w:rFonts w:hint="eastAsia"/>
                <w:b/>
                <w:color w:val="auto"/>
                <w:highlight w:val="none"/>
              </w:rPr>
              <w:t>项目经理资格：</w:t>
            </w:r>
            <w:r>
              <w:rPr>
                <w:rFonts w:hint="eastAsia"/>
                <w:color w:val="auto"/>
                <w:highlight w:val="none"/>
              </w:rPr>
              <w:t>具备</w:t>
            </w:r>
            <w:r>
              <w:rPr>
                <w:rFonts w:hint="eastAsia"/>
                <w:color w:val="auto"/>
                <w:highlight w:val="none"/>
                <w:u w:val="single"/>
                <w:lang w:eastAsia="zh-CN"/>
              </w:rPr>
              <w:t>[注册</w:t>
            </w:r>
            <w:r>
              <w:rPr>
                <w:rFonts w:hint="eastAsia"/>
                <w:color w:val="auto"/>
                <w:highlight w:val="none"/>
                <w:u w:val="single"/>
                <w:lang w:val="en-US" w:eastAsia="zh-CN"/>
              </w:rPr>
              <w:t>二</w:t>
            </w:r>
            <w:r>
              <w:rPr>
                <w:rFonts w:hint="eastAsia"/>
                <w:color w:val="auto"/>
                <w:highlight w:val="none"/>
                <w:u w:val="single"/>
                <w:lang w:eastAsia="zh-CN"/>
              </w:rPr>
              <w:t>级建造师·建筑工程]（含）以上</w:t>
            </w:r>
            <w:r>
              <w:rPr>
                <w:rFonts w:hint="eastAsia"/>
                <w:color w:val="auto"/>
                <w:highlight w:val="none"/>
              </w:rPr>
              <w:t>执业资格和有效的安全生产考核合格证书（B证），且未担任其他在建工程项目的项目经理，二次刷卡认证通过；《注册建造师执业管理办法（试行）》第九条规定的情形除外。</w:t>
            </w:r>
          </w:p>
          <w:p w14:paraId="23E7EA8A">
            <w:pPr>
              <w:keepNext w:val="0"/>
              <w:keepLines w:val="0"/>
              <w:suppressLineNumbers w:val="0"/>
              <w:spacing w:before="0" w:beforeAutospacing="0" w:after="0" w:afterAutospacing="0" w:line="240" w:lineRule="auto"/>
              <w:ind w:left="0" w:right="0"/>
              <w:jc w:val="both"/>
              <w:rPr>
                <w:rFonts w:hint="default"/>
                <w:b/>
                <w:bCs/>
                <w:color w:val="auto"/>
                <w:highlight w:val="none"/>
              </w:rPr>
            </w:pPr>
            <w:r>
              <w:rPr>
                <w:rFonts w:hint="eastAsia"/>
                <w:b/>
                <w:bCs/>
                <w:color w:val="auto"/>
                <w:highlight w:val="none"/>
              </w:rPr>
              <w:t>注：项目经理不得同时在两个或者两个以上工程项目担任项目经理。</w:t>
            </w:r>
          </w:p>
          <w:p w14:paraId="02C46F53">
            <w:pPr>
              <w:keepNext w:val="0"/>
              <w:keepLines w:val="0"/>
              <w:suppressLineNumbers w:val="0"/>
              <w:spacing w:before="0" w:beforeAutospacing="0" w:after="0" w:afterAutospacing="0" w:line="240" w:lineRule="auto"/>
              <w:ind w:left="0" w:right="0"/>
              <w:jc w:val="both"/>
              <w:rPr>
                <w:rFonts w:hint="default"/>
                <w:color w:val="auto"/>
                <w:highlight w:val="none"/>
              </w:rPr>
            </w:pPr>
            <w:r>
              <w:rPr>
                <w:rFonts w:hint="eastAsia"/>
                <w:b/>
                <w:color w:val="auto"/>
                <w:highlight w:val="none"/>
              </w:rPr>
              <w:t>业绩要求：</w:t>
            </w:r>
            <w:r>
              <w:rPr>
                <w:rFonts w:hint="eastAsia"/>
                <w:color w:val="auto"/>
                <w:highlight w:val="none"/>
                <w:u w:val="single"/>
                <w:lang w:eastAsia="zh-CN"/>
              </w:rPr>
              <w:t>/</w:t>
            </w:r>
          </w:p>
          <w:p w14:paraId="6D69A09D">
            <w:pPr>
              <w:keepNext w:val="0"/>
              <w:keepLines w:val="0"/>
              <w:suppressLineNumbers w:val="0"/>
              <w:spacing w:before="0" w:beforeAutospacing="0" w:after="0" w:afterAutospacing="0" w:line="240" w:lineRule="auto"/>
              <w:ind w:left="0" w:right="0"/>
              <w:jc w:val="both"/>
              <w:rPr>
                <w:rFonts w:hint="default"/>
                <w:b/>
                <w:color w:val="auto"/>
                <w:highlight w:val="none"/>
              </w:rPr>
            </w:pPr>
            <w:r>
              <w:rPr>
                <w:rFonts w:hint="eastAsia"/>
                <w:b/>
                <w:color w:val="auto"/>
                <w:highlight w:val="none"/>
              </w:rPr>
              <w:t>项目管理机构主要人员要求：</w:t>
            </w:r>
            <w:r>
              <w:rPr>
                <w:rFonts w:hint="eastAsia"/>
                <w:color w:val="auto"/>
                <w:highlight w:val="none"/>
                <w:u w:val="single"/>
                <w:lang w:eastAsia="zh-CN"/>
              </w:rPr>
              <w:t>/</w:t>
            </w:r>
          </w:p>
          <w:p w14:paraId="7BD40371">
            <w:pPr>
              <w:keepNext w:val="0"/>
              <w:keepLines w:val="0"/>
              <w:suppressLineNumbers w:val="0"/>
              <w:spacing w:before="0" w:beforeAutospacing="0" w:after="0" w:afterAutospacing="0" w:line="240" w:lineRule="auto"/>
              <w:ind w:left="0" w:right="0"/>
              <w:jc w:val="both"/>
              <w:rPr>
                <w:rFonts w:hint="default" w:eastAsia="宋体"/>
                <w:color w:val="auto"/>
                <w:highlight w:val="none"/>
                <w:lang w:val="en-US" w:eastAsia="zh-CN"/>
              </w:rPr>
            </w:pPr>
            <w:r>
              <w:rPr>
                <w:rFonts w:hint="eastAsia"/>
                <w:b/>
                <w:color w:val="auto"/>
                <w:highlight w:val="none"/>
              </w:rPr>
              <w:t>其他要求</w:t>
            </w:r>
            <w:r>
              <w:rPr>
                <w:rFonts w:hint="eastAsia"/>
                <w:b/>
                <w:color w:val="auto"/>
                <w:highlight w:val="none"/>
                <w:lang w:eastAsia="zh-CN"/>
              </w:rPr>
              <w:t>：</w:t>
            </w:r>
            <w:r>
              <w:rPr>
                <w:rFonts w:hint="eastAsia"/>
                <w:color w:val="auto"/>
                <w:highlight w:val="none"/>
              </w:rPr>
              <w:t>具有有效的企业在辽基本信息登记单（外省企业）。</w:t>
            </w:r>
          </w:p>
        </w:tc>
      </w:tr>
      <w:tr w14:paraId="7B5BF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857" w:type="dxa"/>
            <w:vAlign w:val="center"/>
          </w:tcPr>
          <w:p w14:paraId="58A11C97">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1.4.2</w:t>
            </w:r>
          </w:p>
        </w:tc>
        <w:tc>
          <w:tcPr>
            <w:tcW w:w="2262" w:type="dxa"/>
            <w:vAlign w:val="center"/>
          </w:tcPr>
          <w:p w14:paraId="006EEF78">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是否接受联合体投标</w:t>
            </w:r>
          </w:p>
        </w:tc>
        <w:tc>
          <w:tcPr>
            <w:tcW w:w="5295" w:type="dxa"/>
            <w:vAlign w:val="center"/>
          </w:tcPr>
          <w:p w14:paraId="6F52CEE2">
            <w:pPr>
              <w:keepNext w:val="0"/>
              <w:keepLines w:val="0"/>
              <w:suppressLineNumbers w:val="0"/>
              <w:spacing w:before="0" w:beforeAutospacing="0" w:after="0" w:afterAutospacing="0" w:line="240" w:lineRule="auto"/>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不接受</w:t>
            </w:r>
          </w:p>
          <w:p w14:paraId="5D7252CD">
            <w:pPr>
              <w:keepNext w:val="0"/>
              <w:keepLines w:val="0"/>
              <w:suppressLineNumbers w:val="0"/>
              <w:spacing w:before="0" w:beforeAutospacing="0" w:after="0" w:afterAutospacing="0" w:line="240" w:lineRule="auto"/>
              <w:ind w:left="0" w:right="0"/>
              <w:jc w:val="left"/>
              <w:rPr>
                <w:rFonts w:hint="default"/>
                <w:color w:val="auto"/>
                <w:highlight w:val="none"/>
                <w:u w:val="single"/>
              </w:rPr>
            </w:pPr>
            <w:r>
              <w:rPr>
                <w:rFonts w:hint="eastAsia"/>
                <w:color w:val="auto"/>
                <w:highlight w:val="none"/>
              </w:rPr>
              <w:t>□接受，应满足下列要求：</w:t>
            </w:r>
            <w:r>
              <w:rPr>
                <w:rFonts w:hint="eastAsia"/>
                <w:color w:val="auto"/>
                <w:highlight w:val="none"/>
                <w:u w:val="single"/>
                <w:lang w:eastAsia="zh-CN"/>
              </w:rPr>
              <w:t>/</w:t>
            </w:r>
          </w:p>
          <w:p w14:paraId="0353CC10">
            <w:pPr>
              <w:keepNext w:val="0"/>
              <w:keepLines w:val="0"/>
              <w:suppressLineNumbers w:val="0"/>
              <w:spacing w:before="0" w:beforeAutospacing="0" w:after="0" w:afterAutospacing="0" w:line="240" w:lineRule="auto"/>
              <w:ind w:left="0" w:right="0"/>
              <w:jc w:val="left"/>
              <w:rPr>
                <w:rFonts w:hint="default"/>
                <w:color w:val="auto"/>
                <w:highlight w:val="none"/>
              </w:rPr>
            </w:pPr>
            <w:r>
              <w:rPr>
                <w:rFonts w:hint="eastAsia"/>
                <w:color w:val="auto"/>
                <w:szCs w:val="21"/>
                <w:highlight w:val="none"/>
              </w:rPr>
              <w:t>其中：</w:t>
            </w:r>
          </w:p>
        </w:tc>
      </w:tr>
      <w:tr w14:paraId="5CB14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57" w:type="dxa"/>
            <w:vAlign w:val="center"/>
          </w:tcPr>
          <w:p w14:paraId="06717B3F">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1.4.3</w:t>
            </w:r>
            <w:r>
              <w:rPr>
                <w:rFonts w:hint="eastAsia"/>
                <w:color w:val="auto"/>
                <w:highlight w:val="none"/>
                <w:lang w:eastAsia="zh-CN"/>
              </w:rPr>
              <w:t>(</w:t>
            </w:r>
            <w:r>
              <w:rPr>
                <w:rFonts w:hint="eastAsia"/>
                <w:color w:val="auto"/>
                <w:highlight w:val="none"/>
              </w:rPr>
              <w:t>1</w:t>
            </w:r>
            <w:r>
              <w:rPr>
                <w:rFonts w:hint="eastAsia"/>
                <w:color w:val="auto"/>
                <w:highlight w:val="none"/>
                <w:lang w:val="en-US" w:eastAsia="zh-CN"/>
              </w:rPr>
              <w:t>7)</w:t>
            </w:r>
          </w:p>
        </w:tc>
        <w:tc>
          <w:tcPr>
            <w:tcW w:w="2262" w:type="dxa"/>
            <w:vAlign w:val="center"/>
          </w:tcPr>
          <w:p w14:paraId="204AD432">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ascii="宋体" w:hAnsi="宋体"/>
                <w:color w:val="auto"/>
                <w:szCs w:val="21"/>
                <w:highlight w:val="none"/>
              </w:rPr>
              <w:t>投标人</w:t>
            </w:r>
            <w:r>
              <w:rPr>
                <w:rFonts w:hint="eastAsia"/>
                <w:color w:val="auto"/>
                <w:szCs w:val="21"/>
                <w:highlight w:val="none"/>
              </w:rPr>
              <w:t>不得存在</w:t>
            </w:r>
            <w:r>
              <w:rPr>
                <w:rFonts w:hint="default"/>
                <w:color w:val="auto"/>
                <w:szCs w:val="21"/>
                <w:highlight w:val="none"/>
              </w:rPr>
              <w:t>的其他</w:t>
            </w:r>
            <w:r>
              <w:rPr>
                <w:rFonts w:hint="eastAsia"/>
                <w:color w:val="auto"/>
                <w:szCs w:val="21"/>
                <w:highlight w:val="none"/>
              </w:rPr>
              <w:t>情形</w:t>
            </w:r>
          </w:p>
        </w:tc>
        <w:tc>
          <w:tcPr>
            <w:tcW w:w="5295" w:type="dxa"/>
            <w:vAlign w:val="center"/>
          </w:tcPr>
          <w:p w14:paraId="1F5EFCED">
            <w:pPr>
              <w:keepNext w:val="0"/>
              <w:keepLines w:val="0"/>
              <w:suppressLineNumbers w:val="0"/>
              <w:spacing w:before="0" w:beforeAutospacing="0" w:after="0" w:afterAutospacing="0" w:line="240" w:lineRule="auto"/>
              <w:ind w:left="0" w:right="0"/>
              <w:jc w:val="left"/>
              <w:rPr>
                <w:rFonts w:hint="eastAsia"/>
                <w:color w:val="auto"/>
                <w:highlight w:val="none"/>
              </w:rPr>
            </w:pPr>
            <w:r>
              <w:rPr>
                <w:rFonts w:hint="eastAsia"/>
                <w:color w:val="auto"/>
                <w:highlight w:val="none"/>
                <w:lang w:eastAsia="zh-CN"/>
              </w:rPr>
              <w:t>/</w:t>
            </w:r>
          </w:p>
        </w:tc>
      </w:tr>
      <w:tr w14:paraId="540DC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857" w:type="dxa"/>
            <w:vAlign w:val="center"/>
          </w:tcPr>
          <w:p w14:paraId="259A0A6E">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1.9.1</w:t>
            </w:r>
          </w:p>
        </w:tc>
        <w:tc>
          <w:tcPr>
            <w:tcW w:w="2262" w:type="dxa"/>
            <w:vAlign w:val="center"/>
          </w:tcPr>
          <w:p w14:paraId="0190512E">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踏勘现场</w:t>
            </w:r>
          </w:p>
        </w:tc>
        <w:tc>
          <w:tcPr>
            <w:tcW w:w="5295" w:type="dxa"/>
            <w:vAlign w:val="center"/>
          </w:tcPr>
          <w:p w14:paraId="7FB4F5C8">
            <w:pPr>
              <w:keepNext w:val="0"/>
              <w:keepLines w:val="0"/>
              <w:suppressLineNumbers w:val="0"/>
              <w:spacing w:before="0" w:beforeAutospacing="0" w:after="0" w:afterAutospacing="0" w:line="240" w:lineRule="auto"/>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不统一组织</w:t>
            </w:r>
          </w:p>
          <w:p w14:paraId="7E04313E">
            <w:pPr>
              <w:keepNext w:val="0"/>
              <w:keepLines w:val="0"/>
              <w:suppressLineNumbers w:val="0"/>
              <w:spacing w:before="0" w:beforeAutospacing="0" w:after="0" w:afterAutospacing="0" w:line="240" w:lineRule="auto"/>
              <w:ind w:left="0" w:right="0"/>
              <w:jc w:val="left"/>
              <w:rPr>
                <w:rFonts w:hint="eastAsia"/>
                <w:color w:val="auto"/>
                <w:highlight w:val="none"/>
              </w:rPr>
            </w:pPr>
            <w:r>
              <w:rPr>
                <w:rFonts w:hint="eastAsia"/>
                <w:color w:val="auto"/>
                <w:highlight w:val="none"/>
              </w:rPr>
              <w:t>□统一组织，踏勘时间：</w:t>
            </w:r>
            <w:r>
              <w:rPr>
                <w:rFonts w:hint="eastAsia"/>
                <w:color w:val="auto"/>
                <w:highlight w:val="none"/>
                <w:u w:val="single"/>
                <w:lang w:eastAsia="zh-CN"/>
              </w:rPr>
              <w:t>/</w:t>
            </w:r>
          </w:p>
          <w:p w14:paraId="248BBC2B">
            <w:pPr>
              <w:keepNext w:val="0"/>
              <w:keepLines w:val="0"/>
              <w:suppressLineNumbers w:val="0"/>
              <w:spacing w:before="0" w:beforeAutospacing="0" w:after="0" w:afterAutospacing="0" w:line="240" w:lineRule="auto"/>
              <w:ind w:left="0" w:right="0" w:firstLine="1260" w:firstLineChars="600"/>
              <w:jc w:val="left"/>
              <w:rPr>
                <w:rFonts w:hint="eastAsia"/>
                <w:color w:val="auto"/>
                <w:highlight w:val="none"/>
              </w:rPr>
            </w:pPr>
            <w:r>
              <w:rPr>
                <w:rFonts w:hint="eastAsia"/>
                <w:color w:val="auto"/>
                <w:highlight w:val="none"/>
              </w:rPr>
              <w:t>踏勘地点：</w:t>
            </w:r>
            <w:r>
              <w:rPr>
                <w:rFonts w:hint="eastAsia"/>
                <w:color w:val="auto"/>
                <w:highlight w:val="none"/>
                <w:u w:val="single"/>
                <w:lang w:eastAsia="zh-CN"/>
              </w:rPr>
              <w:t>/</w:t>
            </w:r>
          </w:p>
        </w:tc>
      </w:tr>
      <w:tr w14:paraId="1C5D7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857" w:type="dxa"/>
            <w:vAlign w:val="center"/>
          </w:tcPr>
          <w:p w14:paraId="5B483BBA">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1.10.1</w:t>
            </w:r>
          </w:p>
        </w:tc>
        <w:tc>
          <w:tcPr>
            <w:tcW w:w="2262" w:type="dxa"/>
            <w:vAlign w:val="center"/>
          </w:tcPr>
          <w:p w14:paraId="1D6279BA">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投标预备会</w:t>
            </w:r>
          </w:p>
        </w:tc>
        <w:tc>
          <w:tcPr>
            <w:tcW w:w="5295" w:type="dxa"/>
            <w:vAlign w:val="center"/>
          </w:tcPr>
          <w:p w14:paraId="23D4D225">
            <w:pPr>
              <w:keepNext w:val="0"/>
              <w:keepLines w:val="0"/>
              <w:suppressLineNumbers w:val="0"/>
              <w:spacing w:before="0" w:beforeAutospacing="0" w:after="0" w:afterAutospacing="0" w:line="240" w:lineRule="auto"/>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不召开</w:t>
            </w:r>
          </w:p>
          <w:p w14:paraId="044B27A5">
            <w:pPr>
              <w:keepNext w:val="0"/>
              <w:keepLines w:val="0"/>
              <w:suppressLineNumbers w:val="0"/>
              <w:spacing w:before="0" w:beforeAutospacing="0" w:after="0" w:afterAutospacing="0" w:line="240" w:lineRule="auto"/>
              <w:ind w:left="0" w:right="0"/>
              <w:jc w:val="left"/>
              <w:rPr>
                <w:rFonts w:hint="eastAsia"/>
                <w:color w:val="auto"/>
                <w:highlight w:val="none"/>
              </w:rPr>
            </w:pPr>
            <w:r>
              <w:rPr>
                <w:rFonts w:hint="eastAsia"/>
                <w:color w:val="auto"/>
                <w:highlight w:val="none"/>
              </w:rPr>
              <w:t>□召开，召开时间：</w:t>
            </w:r>
            <w:r>
              <w:rPr>
                <w:rFonts w:hint="eastAsia"/>
                <w:color w:val="auto"/>
                <w:highlight w:val="none"/>
                <w:u w:val="single"/>
                <w:lang w:eastAsia="zh-CN"/>
              </w:rPr>
              <w:t>/</w:t>
            </w:r>
          </w:p>
          <w:p w14:paraId="1F03204A">
            <w:pPr>
              <w:keepNext w:val="0"/>
              <w:keepLines w:val="0"/>
              <w:suppressLineNumbers w:val="0"/>
              <w:spacing w:before="0" w:beforeAutospacing="0" w:after="0" w:afterAutospacing="0" w:line="240" w:lineRule="auto"/>
              <w:ind w:left="0" w:right="0" w:firstLine="840" w:firstLineChars="400"/>
              <w:jc w:val="left"/>
              <w:rPr>
                <w:rFonts w:hint="eastAsia"/>
                <w:color w:val="auto"/>
                <w:highlight w:val="none"/>
              </w:rPr>
            </w:pPr>
            <w:r>
              <w:rPr>
                <w:rFonts w:hint="eastAsia"/>
                <w:color w:val="auto"/>
                <w:highlight w:val="none"/>
              </w:rPr>
              <w:t>召开地点：</w:t>
            </w:r>
            <w:r>
              <w:rPr>
                <w:rFonts w:hint="eastAsia"/>
                <w:color w:val="auto"/>
                <w:highlight w:val="none"/>
                <w:u w:val="single"/>
                <w:lang w:eastAsia="zh-CN"/>
              </w:rPr>
              <w:t>/</w:t>
            </w:r>
          </w:p>
        </w:tc>
      </w:tr>
      <w:tr w14:paraId="2A453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57" w:type="dxa"/>
            <w:vAlign w:val="center"/>
          </w:tcPr>
          <w:p w14:paraId="006300B7">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1.10.2</w:t>
            </w:r>
          </w:p>
        </w:tc>
        <w:tc>
          <w:tcPr>
            <w:tcW w:w="2262" w:type="dxa"/>
            <w:vAlign w:val="center"/>
          </w:tcPr>
          <w:p w14:paraId="7DFA1E03">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投标人提出问题的</w:t>
            </w:r>
          </w:p>
          <w:p w14:paraId="679A57A6">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截止时间</w:t>
            </w:r>
          </w:p>
        </w:tc>
        <w:tc>
          <w:tcPr>
            <w:tcW w:w="5295" w:type="dxa"/>
            <w:vAlign w:val="center"/>
          </w:tcPr>
          <w:p w14:paraId="6CBB457F">
            <w:pPr>
              <w:keepNext w:val="0"/>
              <w:keepLines w:val="0"/>
              <w:suppressLineNumbers w:val="0"/>
              <w:spacing w:before="0" w:beforeAutospacing="0" w:after="0" w:afterAutospacing="0" w:line="240" w:lineRule="auto"/>
              <w:ind w:left="0" w:right="0"/>
              <w:jc w:val="left"/>
              <w:rPr>
                <w:rFonts w:hint="eastAsia"/>
                <w:color w:val="auto"/>
                <w:highlight w:val="none"/>
              </w:rPr>
            </w:pPr>
            <w:r>
              <w:rPr>
                <w:rFonts w:hint="eastAsia"/>
                <w:color w:val="auto"/>
                <w:highlight w:val="none"/>
                <w:lang w:eastAsia="zh-CN"/>
              </w:rPr>
              <w:t>2026年9月</w:t>
            </w:r>
            <w:r>
              <w:rPr>
                <w:rFonts w:hint="eastAsia"/>
                <w:color w:val="auto"/>
                <w:highlight w:val="none"/>
                <w:lang w:val="en-US" w:eastAsia="zh-CN"/>
              </w:rPr>
              <w:t xml:space="preserve">  </w:t>
            </w:r>
            <w:r>
              <w:rPr>
                <w:rFonts w:hint="eastAsia"/>
                <w:color w:val="auto"/>
                <w:highlight w:val="none"/>
                <w:lang w:eastAsia="zh-CN"/>
              </w:rPr>
              <w:t>日</w:t>
            </w:r>
            <w:r>
              <w:rPr>
                <w:rFonts w:hint="eastAsia" w:eastAsia="宋体"/>
                <w:color w:val="auto"/>
                <w:highlight w:val="none"/>
                <w:lang w:eastAsia="zh-CN"/>
              </w:rPr>
              <w:t>17时00分</w:t>
            </w:r>
          </w:p>
        </w:tc>
      </w:tr>
      <w:tr w14:paraId="2E203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jc w:val="center"/>
        </w:trPr>
        <w:tc>
          <w:tcPr>
            <w:tcW w:w="857" w:type="dxa"/>
            <w:vAlign w:val="center"/>
          </w:tcPr>
          <w:p w14:paraId="77F629F9">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1.11</w:t>
            </w:r>
          </w:p>
        </w:tc>
        <w:tc>
          <w:tcPr>
            <w:tcW w:w="2262" w:type="dxa"/>
            <w:vAlign w:val="center"/>
          </w:tcPr>
          <w:p w14:paraId="55B81080">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分  包</w:t>
            </w:r>
          </w:p>
        </w:tc>
        <w:tc>
          <w:tcPr>
            <w:tcW w:w="5295" w:type="dxa"/>
            <w:vAlign w:val="center"/>
          </w:tcPr>
          <w:p w14:paraId="7BF1B054">
            <w:pPr>
              <w:keepNext w:val="0"/>
              <w:keepLines w:val="0"/>
              <w:widowControl/>
              <w:suppressLineNumbers w:val="0"/>
              <w:spacing w:before="0" w:beforeAutospacing="0" w:after="0" w:afterAutospacing="0" w:line="240" w:lineRule="auto"/>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不允许</w:t>
            </w:r>
          </w:p>
          <w:p w14:paraId="6729C7C2">
            <w:pPr>
              <w:keepNext w:val="0"/>
              <w:keepLines w:val="0"/>
              <w:suppressLineNumbers w:val="0"/>
              <w:spacing w:before="0" w:beforeAutospacing="0" w:after="0" w:afterAutospacing="0" w:line="240" w:lineRule="auto"/>
              <w:ind w:left="0" w:right="0"/>
              <w:jc w:val="left"/>
              <w:rPr>
                <w:rFonts w:hint="eastAsia"/>
                <w:color w:val="auto"/>
                <w:highlight w:val="none"/>
              </w:rPr>
            </w:pPr>
            <w:r>
              <w:rPr>
                <w:rFonts w:hint="eastAsia"/>
                <w:color w:val="auto"/>
                <w:highlight w:val="none"/>
              </w:rPr>
              <w:t>☑允许</w:t>
            </w:r>
          </w:p>
          <w:p w14:paraId="62F1FA27">
            <w:pPr>
              <w:keepNext w:val="0"/>
              <w:keepLines w:val="0"/>
              <w:suppressLineNumbers w:val="0"/>
              <w:spacing w:before="0" w:beforeAutospacing="0" w:after="0" w:afterAutospacing="0" w:line="240" w:lineRule="auto"/>
              <w:ind w:right="0" w:firstLine="422" w:firstLineChars="200"/>
              <w:jc w:val="left"/>
              <w:rPr>
                <w:rFonts w:hint="default"/>
                <w:color w:val="auto"/>
                <w:highlight w:val="none"/>
              </w:rPr>
            </w:pPr>
            <w:r>
              <w:rPr>
                <w:rFonts w:hint="default"/>
                <w:b/>
                <w:bCs/>
                <w:color w:val="auto"/>
                <w:highlight w:val="none"/>
              </w:rPr>
              <w:t>分包内容要求：</w:t>
            </w:r>
            <w:r>
              <w:rPr>
                <w:rFonts w:hint="default"/>
                <w:color w:val="auto"/>
                <w:highlight w:val="none"/>
              </w:rPr>
              <w:t>本项目所属行业为建筑业，投标人为大型企业的，须按照以下要求进行分包给中小企业：</w:t>
            </w:r>
          </w:p>
          <w:p w14:paraId="476EB02E">
            <w:pPr>
              <w:keepNext w:val="0"/>
              <w:keepLines w:val="0"/>
              <w:suppressLineNumbers w:val="0"/>
              <w:spacing w:before="0" w:beforeAutospacing="0" w:after="0" w:afterAutospacing="0" w:line="240" w:lineRule="auto"/>
              <w:ind w:right="0" w:firstLine="420" w:firstLineChars="200"/>
              <w:jc w:val="left"/>
              <w:rPr>
                <w:rFonts w:hint="default"/>
                <w:color w:val="auto"/>
                <w:highlight w:val="none"/>
              </w:rPr>
            </w:pPr>
            <w:r>
              <w:rPr>
                <w:rFonts w:hint="default"/>
                <w:color w:val="auto"/>
                <w:highlight w:val="none"/>
              </w:rPr>
              <w:t>主体工程及关键性工作为本项目核心施工内容，必须由中标人自行完成施工，严禁以任何形式分包、转包。具体约定如下：</w:t>
            </w:r>
          </w:p>
          <w:p w14:paraId="7D0AB849">
            <w:pPr>
              <w:keepNext w:val="0"/>
              <w:keepLines w:val="0"/>
              <w:suppressLineNumbers w:val="0"/>
              <w:spacing w:before="0" w:beforeAutospacing="0" w:after="0" w:afterAutospacing="0" w:line="240" w:lineRule="auto"/>
              <w:ind w:right="0" w:firstLine="420" w:firstLineChars="200"/>
              <w:jc w:val="left"/>
              <w:rPr>
                <w:rFonts w:hint="default"/>
                <w:color w:val="auto"/>
                <w:highlight w:val="none"/>
              </w:rPr>
            </w:pPr>
            <w:r>
              <w:rPr>
                <w:rFonts w:hint="default"/>
                <w:color w:val="auto"/>
                <w:highlight w:val="none"/>
              </w:rPr>
              <w:t>1. 主体工程与关键性工作界定：本项目主体工程及所有关键性工作，必须由中标人自行组织完成，不得转包或违法分包，不得将单位工程肢解后分别发包给不同单位。</w:t>
            </w:r>
          </w:p>
          <w:p w14:paraId="7FFC46E0">
            <w:pPr>
              <w:keepNext w:val="0"/>
              <w:keepLines w:val="0"/>
              <w:suppressLineNumbers w:val="0"/>
              <w:spacing w:before="0" w:beforeAutospacing="0" w:after="0" w:afterAutospacing="0" w:line="240" w:lineRule="auto"/>
              <w:ind w:right="0" w:firstLine="420" w:firstLineChars="200"/>
              <w:jc w:val="left"/>
              <w:rPr>
                <w:rFonts w:hint="default"/>
                <w:color w:val="auto"/>
                <w:highlight w:val="none"/>
              </w:rPr>
            </w:pPr>
            <w:r>
              <w:rPr>
                <w:rFonts w:hint="default"/>
                <w:color w:val="auto"/>
                <w:highlight w:val="none"/>
              </w:rPr>
              <w:t>（注：关键性工作指影响工程整体质量、安全性能、使用功能、系统运行的核心工序与核心系统工程）</w:t>
            </w:r>
          </w:p>
          <w:p w14:paraId="051B34C4">
            <w:pPr>
              <w:keepNext w:val="0"/>
              <w:keepLines w:val="0"/>
              <w:suppressLineNumbers w:val="0"/>
              <w:spacing w:before="0" w:beforeAutospacing="0" w:after="0" w:afterAutospacing="0" w:line="240" w:lineRule="auto"/>
              <w:ind w:right="0" w:firstLine="420" w:firstLineChars="200"/>
              <w:jc w:val="left"/>
              <w:rPr>
                <w:rFonts w:hint="default"/>
                <w:color w:val="auto"/>
                <w:highlight w:val="none"/>
              </w:rPr>
            </w:pPr>
            <w:r>
              <w:rPr>
                <w:rFonts w:hint="default"/>
                <w:color w:val="auto"/>
                <w:highlight w:val="none"/>
              </w:rPr>
              <w:t>2. 允许分包原则：非主体、非关键性的专业工程，中标人可在符合相关法律法规及本招标文件要求的前提下进行专业分包。</w:t>
            </w:r>
          </w:p>
          <w:p w14:paraId="5219E4E1">
            <w:pPr>
              <w:keepNext w:val="0"/>
              <w:keepLines w:val="0"/>
              <w:suppressLineNumbers w:val="0"/>
              <w:spacing w:before="0" w:beforeAutospacing="0" w:after="0" w:afterAutospacing="0" w:line="240" w:lineRule="auto"/>
              <w:ind w:right="0" w:firstLine="420" w:firstLineChars="200"/>
              <w:jc w:val="left"/>
              <w:rPr>
                <w:rFonts w:hint="default"/>
                <w:color w:val="auto"/>
                <w:highlight w:val="none"/>
              </w:rPr>
            </w:pPr>
            <w:r>
              <w:rPr>
                <w:rFonts w:hint="default"/>
                <w:color w:val="auto"/>
                <w:highlight w:val="none"/>
              </w:rPr>
              <w:t>3. 分包单位资质要求：</w:t>
            </w:r>
          </w:p>
          <w:p w14:paraId="21D08DA9">
            <w:pPr>
              <w:keepNext w:val="0"/>
              <w:keepLines w:val="0"/>
              <w:suppressLineNumbers w:val="0"/>
              <w:spacing w:before="0" w:beforeAutospacing="0" w:after="0" w:afterAutospacing="0" w:line="240" w:lineRule="auto"/>
              <w:ind w:right="0" w:firstLine="420" w:firstLineChars="200"/>
              <w:jc w:val="left"/>
              <w:rPr>
                <w:rFonts w:hint="default"/>
                <w:color w:val="auto"/>
                <w:highlight w:val="none"/>
              </w:rPr>
            </w:pPr>
            <w:r>
              <w:rPr>
                <w:rFonts w:hint="default"/>
                <w:color w:val="auto"/>
                <w:highlight w:val="none"/>
              </w:rPr>
              <w:t>所有专业工程分包单位均须具备对应工程类别相应等级的专业承包资质、有效的安全生产许可证及市场监督管理部门核发的有效营业执照；</w:t>
            </w:r>
          </w:p>
          <w:p w14:paraId="09E4D74A">
            <w:pPr>
              <w:keepNext w:val="0"/>
              <w:keepLines w:val="0"/>
              <w:suppressLineNumbers w:val="0"/>
              <w:spacing w:before="0" w:beforeAutospacing="0" w:after="0" w:afterAutospacing="0" w:line="240" w:lineRule="auto"/>
              <w:ind w:right="0" w:firstLine="420" w:firstLineChars="200"/>
              <w:jc w:val="left"/>
              <w:rPr>
                <w:rFonts w:hint="default"/>
                <w:color w:val="auto"/>
                <w:highlight w:val="none"/>
              </w:rPr>
            </w:pPr>
            <w:r>
              <w:rPr>
                <w:rFonts w:hint="default"/>
                <w:color w:val="auto"/>
                <w:highlight w:val="none"/>
              </w:rPr>
              <w:t>涉及消防设施工程的分包单位：须具备消防设施工程专业承包二级及以上资质，具备有效的安全生产许可证；</w:t>
            </w:r>
          </w:p>
          <w:p w14:paraId="4298D65F">
            <w:pPr>
              <w:keepNext w:val="0"/>
              <w:keepLines w:val="0"/>
              <w:suppressLineNumbers w:val="0"/>
              <w:spacing w:before="0" w:beforeAutospacing="0" w:after="0" w:afterAutospacing="0" w:line="240" w:lineRule="auto"/>
              <w:ind w:right="0" w:firstLine="420" w:firstLineChars="200"/>
              <w:jc w:val="left"/>
              <w:rPr>
                <w:rFonts w:hint="default"/>
                <w:color w:val="auto"/>
                <w:highlight w:val="none"/>
              </w:rPr>
            </w:pPr>
            <w:r>
              <w:rPr>
                <w:rFonts w:hint="default"/>
                <w:color w:val="auto"/>
                <w:highlight w:val="none"/>
              </w:rPr>
              <w:t>涉及电梯安装改造的分包单位：须具备《中华人民共和国特种设备生产许可证》（许可项目包含电梯安装），许可证的产品范围包含曳引驱动乘客电梯（含消防员电梯），并覆盖本项目电梯参数，作业人员须持相应特种设备作业资格证书上岗；</w:t>
            </w:r>
          </w:p>
          <w:p w14:paraId="71DE1141">
            <w:pPr>
              <w:keepNext w:val="0"/>
              <w:keepLines w:val="0"/>
              <w:suppressLineNumbers w:val="0"/>
              <w:spacing w:before="0" w:beforeAutospacing="0" w:after="0" w:afterAutospacing="0" w:line="240" w:lineRule="auto"/>
              <w:ind w:right="0" w:firstLine="420" w:firstLineChars="200"/>
              <w:jc w:val="left"/>
              <w:rPr>
                <w:rFonts w:hint="default"/>
                <w:color w:val="auto"/>
                <w:highlight w:val="none"/>
              </w:rPr>
            </w:pPr>
            <w:r>
              <w:rPr>
                <w:rFonts w:hint="default"/>
                <w:color w:val="auto"/>
                <w:highlight w:val="none"/>
              </w:rPr>
              <w:t>涉及建筑智能化工程的分包单位：须具备电子与智能化工程专业承包二级及以上资质，具备有效的安全生产许可证；</w:t>
            </w:r>
          </w:p>
          <w:p w14:paraId="4E933369">
            <w:pPr>
              <w:keepNext w:val="0"/>
              <w:keepLines w:val="0"/>
              <w:suppressLineNumbers w:val="0"/>
              <w:spacing w:before="0" w:beforeAutospacing="0" w:after="0" w:afterAutospacing="0" w:line="240" w:lineRule="auto"/>
              <w:ind w:right="0" w:firstLine="420" w:firstLineChars="200"/>
              <w:jc w:val="left"/>
              <w:rPr>
                <w:rFonts w:hint="default"/>
                <w:color w:val="auto"/>
                <w:highlight w:val="none"/>
              </w:rPr>
            </w:pPr>
            <w:r>
              <w:rPr>
                <w:rFonts w:hint="default"/>
                <w:color w:val="auto"/>
                <w:highlight w:val="none"/>
              </w:rPr>
              <w:t>外省分包单位须完成辽宁省建筑市场监管平台信息登记。</w:t>
            </w:r>
          </w:p>
          <w:p w14:paraId="78656AE0">
            <w:pPr>
              <w:keepNext w:val="0"/>
              <w:keepLines w:val="0"/>
              <w:suppressLineNumbers w:val="0"/>
              <w:spacing w:before="0" w:beforeAutospacing="0" w:after="0" w:afterAutospacing="0" w:line="240" w:lineRule="auto"/>
              <w:ind w:right="0" w:firstLine="420" w:firstLineChars="200"/>
              <w:jc w:val="left"/>
              <w:rPr>
                <w:rFonts w:hint="default"/>
                <w:color w:val="auto"/>
                <w:highlight w:val="none"/>
              </w:rPr>
            </w:pPr>
            <w:r>
              <w:rPr>
                <w:rFonts w:hint="default"/>
                <w:color w:val="auto"/>
                <w:highlight w:val="none"/>
              </w:rPr>
              <w:t>4. 分包审批管理：所有拟分包的工程内容，中标人须在投标文件中详细列明分包范围、分包单位名称、资质等级及相关证明材料，并在签订合同前报发包人审核同意；未经发包人书面批准，不得擅自将任何工程内容分包给其他单位，且严禁分包单位将其承包的工程再次分包。</w:t>
            </w:r>
          </w:p>
          <w:p w14:paraId="393B968B">
            <w:pPr>
              <w:keepNext w:val="0"/>
              <w:keepLines w:val="0"/>
              <w:suppressLineNumbers w:val="0"/>
              <w:spacing w:before="0" w:beforeAutospacing="0" w:after="0" w:afterAutospacing="0" w:line="240" w:lineRule="auto"/>
              <w:ind w:right="0" w:firstLine="420" w:firstLineChars="200"/>
              <w:jc w:val="left"/>
              <w:rPr>
                <w:rFonts w:hint="default"/>
                <w:color w:val="auto"/>
                <w:highlight w:val="none"/>
              </w:rPr>
            </w:pPr>
            <w:r>
              <w:rPr>
                <w:rFonts w:hint="default"/>
                <w:color w:val="auto"/>
                <w:highlight w:val="none"/>
              </w:rPr>
              <w:t>5. 连带责任：中标人对所有分包工程的质量、安全、工期及履约承担全部连带责任，分包单位的任何违约行为均视为中标人的违约，由中标人承担相应责任。</w:t>
            </w:r>
          </w:p>
          <w:p w14:paraId="1575A818">
            <w:pPr>
              <w:keepNext w:val="0"/>
              <w:keepLines w:val="0"/>
              <w:suppressLineNumbers w:val="0"/>
              <w:spacing w:before="0" w:beforeAutospacing="0" w:after="0" w:afterAutospacing="0" w:line="240" w:lineRule="auto"/>
              <w:ind w:right="0" w:firstLine="422" w:firstLineChars="200"/>
              <w:jc w:val="both"/>
              <w:rPr>
                <w:rFonts w:hint="default"/>
                <w:color w:val="auto"/>
                <w:highlight w:val="none"/>
              </w:rPr>
            </w:pPr>
            <w:r>
              <w:rPr>
                <w:rFonts w:hint="default"/>
                <w:b/>
                <w:bCs/>
                <w:color w:val="auto"/>
                <w:highlight w:val="none"/>
              </w:rPr>
              <w:t>分包金额要求：</w:t>
            </w:r>
            <w:r>
              <w:rPr>
                <w:rFonts w:hint="default"/>
                <w:color w:val="auto"/>
                <w:highlight w:val="none"/>
              </w:rPr>
              <w:t>预留给中小微企业的份额不得低于投标总额的40%，其中预留给小微企业的比例不低于60%。</w:t>
            </w:r>
          </w:p>
          <w:p w14:paraId="7C4E5981">
            <w:pPr>
              <w:keepNext w:val="0"/>
              <w:keepLines w:val="0"/>
              <w:suppressLineNumbers w:val="0"/>
              <w:spacing w:before="0" w:beforeAutospacing="0" w:after="0" w:afterAutospacing="0" w:line="240" w:lineRule="auto"/>
              <w:ind w:right="0" w:firstLine="422" w:firstLineChars="200"/>
              <w:jc w:val="left"/>
              <w:rPr>
                <w:rFonts w:hint="default"/>
                <w:color w:val="auto"/>
                <w:highlight w:val="none"/>
              </w:rPr>
            </w:pPr>
            <w:r>
              <w:rPr>
                <w:rFonts w:hint="default"/>
                <w:b/>
                <w:bCs/>
                <w:color w:val="auto"/>
                <w:highlight w:val="none"/>
              </w:rPr>
              <w:t>其他要求：</w:t>
            </w:r>
            <w:r>
              <w:rPr>
                <w:rFonts w:hint="default"/>
                <w:color w:val="auto"/>
                <w:highlight w:val="none"/>
              </w:rPr>
              <w:t>投标人须提供《拟分包计划表》，并附拟分包单位营业执照、资质证书、安全生产许可证（涉及特种设备的须提供特种设备作业相关资质证书）等相关证明材料。</w:t>
            </w:r>
          </w:p>
        </w:tc>
      </w:tr>
      <w:tr w14:paraId="6EF9A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jc w:val="center"/>
        </w:trPr>
        <w:tc>
          <w:tcPr>
            <w:tcW w:w="857" w:type="dxa"/>
            <w:vAlign w:val="center"/>
          </w:tcPr>
          <w:p w14:paraId="29990BCF">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1.12</w:t>
            </w:r>
          </w:p>
        </w:tc>
        <w:tc>
          <w:tcPr>
            <w:tcW w:w="2262" w:type="dxa"/>
            <w:vAlign w:val="center"/>
          </w:tcPr>
          <w:p w14:paraId="174DC0D8">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偏  离</w:t>
            </w:r>
          </w:p>
        </w:tc>
        <w:tc>
          <w:tcPr>
            <w:tcW w:w="5295" w:type="dxa"/>
            <w:vAlign w:val="center"/>
          </w:tcPr>
          <w:p w14:paraId="22CA6116">
            <w:pPr>
              <w:keepNext w:val="0"/>
              <w:keepLines w:val="0"/>
              <w:suppressLineNumbers w:val="0"/>
              <w:spacing w:before="0" w:beforeAutospacing="0" w:after="0" w:afterAutospacing="0" w:line="240" w:lineRule="auto"/>
              <w:ind w:left="0" w:right="0"/>
              <w:jc w:val="left"/>
              <w:rPr>
                <w:rFonts w:hint="default"/>
                <w:color w:val="auto"/>
                <w:highlight w:val="none"/>
                <w:u w:val="single"/>
              </w:rPr>
            </w:pPr>
            <w:r>
              <w:rPr>
                <w:rFonts w:hint="eastAsia"/>
                <w:color w:val="auto"/>
                <w:highlight w:val="none"/>
                <w:lang w:eastAsia="zh-CN"/>
              </w:rPr>
              <w:t>☑</w:t>
            </w:r>
            <w:r>
              <w:rPr>
                <w:rFonts w:hint="eastAsia"/>
                <w:color w:val="auto"/>
                <w:highlight w:val="none"/>
              </w:rPr>
              <w:t>不允许</w:t>
            </w:r>
          </w:p>
          <w:p w14:paraId="70AE8B8F">
            <w:pPr>
              <w:keepNext w:val="0"/>
              <w:keepLines w:val="0"/>
              <w:suppressLineNumbers w:val="0"/>
              <w:spacing w:before="0" w:beforeAutospacing="0" w:after="0" w:afterAutospacing="0" w:line="240" w:lineRule="auto"/>
              <w:ind w:left="0" w:right="0"/>
              <w:jc w:val="left"/>
              <w:rPr>
                <w:rFonts w:hint="default"/>
                <w:color w:val="auto"/>
                <w:highlight w:val="none"/>
              </w:rPr>
            </w:pPr>
            <w:r>
              <w:rPr>
                <w:rFonts w:hint="eastAsia"/>
                <w:color w:val="auto"/>
                <w:highlight w:val="none"/>
              </w:rPr>
              <w:t>□允许，可偏离的项目和范围见</w:t>
            </w:r>
            <w:r>
              <w:rPr>
                <w:rFonts w:hint="eastAsia"/>
                <w:color w:val="auto"/>
                <w:highlight w:val="none"/>
                <w:lang w:eastAsia="zh-CN"/>
              </w:rPr>
              <w:t>第七章</w:t>
            </w:r>
            <w:r>
              <w:rPr>
                <w:rFonts w:hint="eastAsia"/>
                <w:color w:val="auto"/>
                <w:highlight w:val="none"/>
              </w:rPr>
              <w:t>“技术标准和要求”：</w:t>
            </w:r>
          </w:p>
          <w:p w14:paraId="3DF460CB">
            <w:pPr>
              <w:keepNext w:val="0"/>
              <w:keepLines w:val="0"/>
              <w:suppressLineNumbers w:val="0"/>
              <w:spacing w:before="0" w:beforeAutospacing="0" w:after="0" w:afterAutospacing="0" w:line="240" w:lineRule="auto"/>
              <w:ind w:left="0" w:right="0"/>
              <w:jc w:val="left"/>
              <w:rPr>
                <w:rFonts w:hint="eastAsia"/>
                <w:color w:val="auto"/>
                <w:highlight w:val="none"/>
              </w:rPr>
            </w:pPr>
            <w:r>
              <w:rPr>
                <w:rFonts w:hint="eastAsia"/>
                <w:color w:val="auto"/>
                <w:highlight w:val="none"/>
              </w:rPr>
              <w:t>允许偏离最高项数：</w:t>
            </w:r>
            <w:r>
              <w:rPr>
                <w:rFonts w:hint="eastAsia"/>
                <w:color w:val="auto"/>
                <w:highlight w:val="none"/>
                <w:u w:val="single"/>
                <w:lang w:eastAsia="zh-CN"/>
              </w:rPr>
              <w:t>/</w:t>
            </w:r>
          </w:p>
          <w:p w14:paraId="616FD3F0">
            <w:pPr>
              <w:keepNext w:val="0"/>
              <w:keepLines w:val="0"/>
              <w:suppressLineNumbers w:val="0"/>
              <w:spacing w:before="0" w:beforeAutospacing="0" w:after="0" w:afterAutospacing="0" w:line="240" w:lineRule="auto"/>
              <w:ind w:left="0" w:right="0"/>
              <w:jc w:val="left"/>
              <w:rPr>
                <w:rFonts w:hint="eastAsia"/>
                <w:color w:val="auto"/>
                <w:highlight w:val="none"/>
              </w:rPr>
            </w:pPr>
            <w:r>
              <w:rPr>
                <w:rFonts w:hint="eastAsia"/>
                <w:color w:val="auto"/>
                <w:highlight w:val="none"/>
              </w:rPr>
              <w:t>偏差调整方法：</w:t>
            </w:r>
            <w:r>
              <w:rPr>
                <w:rFonts w:hint="eastAsia"/>
                <w:color w:val="auto"/>
                <w:highlight w:val="none"/>
                <w:u w:val="single"/>
                <w:lang w:eastAsia="zh-CN"/>
              </w:rPr>
              <w:t>/</w:t>
            </w:r>
          </w:p>
        </w:tc>
      </w:tr>
      <w:tr w14:paraId="20A83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38A7AD45">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2.1.1</w:t>
            </w:r>
          </w:p>
          <w:p w14:paraId="21282748">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lang w:eastAsia="zh-CN"/>
              </w:rPr>
              <w:t>(</w:t>
            </w:r>
            <w:r>
              <w:rPr>
                <w:rFonts w:hint="eastAsia"/>
                <w:color w:val="auto"/>
                <w:highlight w:val="none"/>
                <w:lang w:val="en-US" w:eastAsia="zh-CN"/>
              </w:rPr>
              <w:t>9)</w:t>
            </w:r>
          </w:p>
        </w:tc>
        <w:tc>
          <w:tcPr>
            <w:tcW w:w="2262" w:type="dxa"/>
            <w:vAlign w:val="center"/>
          </w:tcPr>
          <w:p w14:paraId="50D192E4">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构成招标文件的其他材料</w:t>
            </w:r>
          </w:p>
        </w:tc>
        <w:tc>
          <w:tcPr>
            <w:tcW w:w="5295" w:type="dxa"/>
            <w:vAlign w:val="center"/>
          </w:tcPr>
          <w:p w14:paraId="546C1C07">
            <w:pPr>
              <w:keepNext w:val="0"/>
              <w:keepLines w:val="0"/>
              <w:suppressLineNumbers w:val="0"/>
              <w:spacing w:before="0" w:beforeAutospacing="0" w:after="0" w:afterAutospacing="0" w:line="240" w:lineRule="auto"/>
              <w:ind w:left="0" w:right="0"/>
              <w:jc w:val="left"/>
              <w:rPr>
                <w:rFonts w:hint="eastAsia"/>
                <w:color w:val="auto"/>
                <w:highlight w:val="none"/>
              </w:rPr>
            </w:pPr>
            <w:r>
              <w:rPr>
                <w:rFonts w:hint="eastAsia"/>
                <w:color w:val="auto"/>
                <w:highlight w:val="none"/>
                <w:lang w:eastAsia="zh-CN"/>
              </w:rPr>
              <w:t>/</w:t>
            </w:r>
          </w:p>
        </w:tc>
      </w:tr>
      <w:tr w14:paraId="61759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857" w:type="dxa"/>
            <w:vAlign w:val="center"/>
          </w:tcPr>
          <w:p w14:paraId="1C863222">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2.2.1</w:t>
            </w:r>
          </w:p>
        </w:tc>
        <w:tc>
          <w:tcPr>
            <w:tcW w:w="2262" w:type="dxa"/>
            <w:vAlign w:val="center"/>
          </w:tcPr>
          <w:p w14:paraId="218BE1F8">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投标人要求澄清招标文件的截止时间</w:t>
            </w:r>
          </w:p>
        </w:tc>
        <w:tc>
          <w:tcPr>
            <w:tcW w:w="5295" w:type="dxa"/>
            <w:vAlign w:val="center"/>
          </w:tcPr>
          <w:p w14:paraId="5A3D8ECA">
            <w:pPr>
              <w:keepNext w:val="0"/>
              <w:keepLines w:val="0"/>
              <w:suppressLineNumbers w:val="0"/>
              <w:spacing w:before="0" w:beforeAutospacing="0" w:after="0" w:afterAutospacing="0" w:line="240" w:lineRule="auto"/>
              <w:ind w:left="0" w:right="0"/>
              <w:jc w:val="left"/>
              <w:rPr>
                <w:rFonts w:hint="default"/>
                <w:color w:val="auto"/>
                <w:highlight w:val="none"/>
              </w:rPr>
            </w:pPr>
            <w:r>
              <w:rPr>
                <w:rFonts w:hint="eastAsia"/>
                <w:color w:val="auto"/>
                <w:szCs w:val="21"/>
                <w:highlight w:val="none"/>
              </w:rPr>
              <w:t>递交投标文件截止之日</w:t>
            </w:r>
            <w:r>
              <w:rPr>
                <w:rFonts w:hint="eastAsia"/>
                <w:color w:val="auto"/>
                <w:szCs w:val="21"/>
                <w:highlight w:val="none"/>
                <w:u w:val="single"/>
                <w:lang w:eastAsia="zh-CN"/>
              </w:rPr>
              <w:t>10</w:t>
            </w:r>
            <w:r>
              <w:rPr>
                <w:rFonts w:hint="eastAsia"/>
                <w:color w:val="auto"/>
                <w:szCs w:val="21"/>
                <w:highlight w:val="none"/>
              </w:rPr>
              <w:t>日前</w:t>
            </w:r>
          </w:p>
        </w:tc>
      </w:tr>
      <w:tr w14:paraId="5A63A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857" w:type="dxa"/>
            <w:vAlign w:val="center"/>
          </w:tcPr>
          <w:p w14:paraId="55954FCB">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2</w:t>
            </w:r>
            <w:r>
              <w:rPr>
                <w:rFonts w:hint="default"/>
                <w:color w:val="auto"/>
                <w:highlight w:val="none"/>
              </w:rPr>
              <w:t>.4.1</w:t>
            </w:r>
          </w:p>
        </w:tc>
        <w:tc>
          <w:tcPr>
            <w:tcW w:w="2262" w:type="dxa"/>
            <w:vAlign w:val="center"/>
          </w:tcPr>
          <w:p w14:paraId="19AF4AF8">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default"/>
                <w:color w:val="auto"/>
                <w:highlight w:val="none"/>
              </w:rPr>
              <w:t>异议受理部门</w:t>
            </w:r>
            <w:r>
              <w:rPr>
                <w:rFonts w:hint="eastAsia"/>
                <w:color w:val="auto"/>
                <w:highlight w:val="none"/>
              </w:rPr>
              <w:t>及</w:t>
            </w:r>
          </w:p>
          <w:p w14:paraId="21DBBAD1">
            <w:pPr>
              <w:keepNext w:val="0"/>
              <w:keepLines w:val="0"/>
              <w:suppressLineNumbers w:val="0"/>
              <w:spacing w:before="0" w:beforeAutospacing="0" w:after="0" w:afterAutospacing="0" w:line="240" w:lineRule="auto"/>
              <w:ind w:left="0" w:right="0"/>
              <w:jc w:val="center"/>
              <w:rPr>
                <w:rFonts w:hint="default"/>
                <w:color w:val="auto"/>
                <w:szCs w:val="21"/>
                <w:highlight w:val="none"/>
              </w:rPr>
            </w:pPr>
            <w:r>
              <w:rPr>
                <w:rFonts w:hint="eastAsia"/>
                <w:color w:val="auto"/>
                <w:highlight w:val="none"/>
              </w:rPr>
              <w:t>联系方式</w:t>
            </w:r>
          </w:p>
        </w:tc>
        <w:tc>
          <w:tcPr>
            <w:tcW w:w="5295" w:type="dxa"/>
            <w:vAlign w:val="center"/>
          </w:tcPr>
          <w:p w14:paraId="252F3F27">
            <w:pPr>
              <w:keepNext w:val="0"/>
              <w:keepLines w:val="0"/>
              <w:suppressLineNumbers w:val="0"/>
              <w:spacing w:before="0" w:beforeAutospacing="0" w:after="0" w:afterAutospacing="0" w:line="240" w:lineRule="auto"/>
              <w:ind w:left="0" w:right="0"/>
              <w:jc w:val="left"/>
              <w:rPr>
                <w:rFonts w:hint="default"/>
                <w:color w:val="auto"/>
                <w:szCs w:val="21"/>
                <w:highlight w:val="none"/>
              </w:rPr>
            </w:pPr>
            <w:r>
              <w:rPr>
                <w:rFonts w:hint="eastAsia"/>
                <w:color w:val="auto"/>
                <w:szCs w:val="21"/>
                <w:highlight w:val="none"/>
              </w:rPr>
              <w:t>招</w:t>
            </w:r>
            <w:r>
              <w:rPr>
                <w:rFonts w:hint="eastAsia"/>
                <w:color w:val="auto"/>
                <w:szCs w:val="21"/>
                <w:highlight w:val="none"/>
                <w:lang w:val="en-US" w:eastAsia="zh-CN"/>
              </w:rPr>
              <w:t xml:space="preserve"> </w:t>
            </w:r>
            <w:r>
              <w:rPr>
                <w:rFonts w:hint="eastAsia"/>
                <w:color w:val="auto"/>
                <w:szCs w:val="21"/>
                <w:highlight w:val="none"/>
              </w:rPr>
              <w:t>标</w:t>
            </w:r>
            <w:r>
              <w:rPr>
                <w:rFonts w:hint="eastAsia"/>
                <w:color w:val="auto"/>
                <w:szCs w:val="21"/>
                <w:highlight w:val="none"/>
                <w:lang w:val="en-US" w:eastAsia="zh-CN"/>
              </w:rPr>
              <w:t xml:space="preserve"> </w:t>
            </w:r>
            <w:r>
              <w:rPr>
                <w:rFonts w:hint="eastAsia"/>
                <w:color w:val="auto"/>
                <w:szCs w:val="21"/>
                <w:highlight w:val="none"/>
              </w:rPr>
              <w:t>人：</w:t>
            </w:r>
          </w:p>
          <w:p w14:paraId="69A3784E">
            <w:pPr>
              <w:keepNext w:val="0"/>
              <w:keepLines w:val="0"/>
              <w:suppressLineNumbers w:val="0"/>
              <w:spacing w:before="0" w:beforeAutospacing="0" w:after="0" w:afterAutospacing="0" w:line="240" w:lineRule="auto"/>
              <w:ind w:left="0" w:right="0"/>
              <w:jc w:val="left"/>
              <w:rPr>
                <w:rFonts w:hint="default"/>
                <w:color w:val="auto"/>
                <w:szCs w:val="21"/>
                <w:highlight w:val="none"/>
                <w:u w:val="single"/>
              </w:rPr>
            </w:pPr>
            <w:r>
              <w:rPr>
                <w:rFonts w:hint="eastAsia"/>
                <w:color w:val="auto"/>
                <w:szCs w:val="21"/>
                <w:highlight w:val="none"/>
              </w:rPr>
              <w:t>名</w:t>
            </w:r>
            <w:r>
              <w:rPr>
                <w:rFonts w:hint="eastAsia"/>
                <w:color w:val="auto"/>
                <w:szCs w:val="21"/>
                <w:highlight w:val="none"/>
                <w:lang w:val="en-US" w:eastAsia="zh-CN"/>
              </w:rPr>
              <w:t xml:space="preserve">    </w:t>
            </w:r>
            <w:r>
              <w:rPr>
                <w:rFonts w:hint="eastAsia"/>
                <w:color w:val="auto"/>
                <w:szCs w:val="21"/>
                <w:highlight w:val="none"/>
              </w:rPr>
              <w:t>称：</w:t>
            </w:r>
            <w:r>
              <w:rPr>
                <w:rFonts w:hint="eastAsia"/>
                <w:color w:val="auto"/>
                <w:szCs w:val="21"/>
                <w:highlight w:val="none"/>
                <w:u w:val="single"/>
                <w:lang w:eastAsia="zh-CN"/>
              </w:rPr>
              <w:t>国家税务总局盖州市税务局</w:t>
            </w:r>
          </w:p>
          <w:p w14:paraId="4C4C7D96">
            <w:pPr>
              <w:keepNext w:val="0"/>
              <w:keepLines w:val="0"/>
              <w:suppressLineNumbers w:val="0"/>
              <w:spacing w:before="0" w:beforeAutospacing="0" w:after="0" w:afterAutospacing="0" w:line="240" w:lineRule="auto"/>
              <w:ind w:left="0" w:right="0"/>
              <w:jc w:val="left"/>
              <w:rPr>
                <w:rFonts w:hint="default"/>
                <w:color w:val="auto"/>
                <w:szCs w:val="21"/>
                <w:highlight w:val="none"/>
              </w:rPr>
            </w:pPr>
            <w:r>
              <w:rPr>
                <w:rFonts w:hint="eastAsia"/>
                <w:color w:val="auto"/>
                <w:szCs w:val="21"/>
                <w:highlight w:val="none"/>
              </w:rPr>
              <w:t>地</w:t>
            </w:r>
            <w:r>
              <w:rPr>
                <w:rFonts w:hint="eastAsia"/>
                <w:color w:val="auto"/>
                <w:szCs w:val="21"/>
                <w:highlight w:val="none"/>
                <w:lang w:val="en-US" w:eastAsia="zh-CN"/>
              </w:rPr>
              <w:t xml:space="preserve">    </w:t>
            </w:r>
            <w:r>
              <w:rPr>
                <w:rFonts w:hint="eastAsia"/>
                <w:color w:val="auto"/>
                <w:szCs w:val="21"/>
                <w:highlight w:val="none"/>
              </w:rPr>
              <w:t>址：</w:t>
            </w:r>
            <w:r>
              <w:rPr>
                <w:rFonts w:hint="eastAsia"/>
                <w:color w:val="auto"/>
                <w:szCs w:val="21"/>
                <w:highlight w:val="none"/>
                <w:u w:val="single"/>
                <w:lang w:eastAsia="zh-CN"/>
              </w:rPr>
              <w:t>辽宁省盖州市</w:t>
            </w:r>
            <w:r>
              <w:rPr>
                <w:rFonts w:hint="eastAsia"/>
                <w:color w:val="auto"/>
                <w:szCs w:val="21"/>
                <w:highlight w:val="none"/>
                <w:u w:val="single"/>
                <w:lang w:val="en-US" w:eastAsia="zh-CN"/>
              </w:rPr>
              <w:t>红旗</w:t>
            </w:r>
            <w:r>
              <w:rPr>
                <w:rFonts w:hint="eastAsia"/>
                <w:color w:val="auto"/>
                <w:szCs w:val="21"/>
                <w:highlight w:val="none"/>
                <w:u w:val="single"/>
                <w:lang w:eastAsia="zh-CN"/>
              </w:rPr>
              <w:t>大街</w:t>
            </w:r>
            <w:r>
              <w:rPr>
                <w:rFonts w:hint="eastAsia"/>
                <w:color w:val="auto"/>
                <w:szCs w:val="21"/>
                <w:highlight w:val="none"/>
                <w:u w:val="single"/>
                <w:lang w:val="en-US" w:eastAsia="zh-CN"/>
              </w:rPr>
              <w:t>93</w:t>
            </w:r>
            <w:r>
              <w:rPr>
                <w:rFonts w:hint="eastAsia"/>
                <w:color w:val="auto"/>
                <w:szCs w:val="21"/>
                <w:highlight w:val="none"/>
                <w:u w:val="single"/>
                <w:lang w:eastAsia="zh-CN"/>
              </w:rPr>
              <w:t>号</w:t>
            </w:r>
          </w:p>
          <w:p w14:paraId="22C123A9">
            <w:pPr>
              <w:keepNext w:val="0"/>
              <w:keepLines w:val="0"/>
              <w:suppressLineNumbers w:val="0"/>
              <w:spacing w:before="0" w:beforeAutospacing="0" w:after="0" w:afterAutospacing="0" w:line="240" w:lineRule="auto"/>
              <w:ind w:left="0" w:right="0"/>
              <w:jc w:val="left"/>
              <w:rPr>
                <w:rFonts w:hint="default"/>
                <w:color w:val="auto"/>
                <w:szCs w:val="21"/>
                <w:highlight w:val="none"/>
              </w:rPr>
            </w:pPr>
            <w:r>
              <w:rPr>
                <w:rFonts w:hint="eastAsia"/>
                <w:color w:val="auto"/>
                <w:szCs w:val="21"/>
                <w:highlight w:val="none"/>
                <w:lang w:val="en-US" w:eastAsia="zh-CN"/>
              </w:rPr>
              <w:t>联 系 人：</w:t>
            </w:r>
            <w:r>
              <w:rPr>
                <w:rFonts w:hint="eastAsia"/>
                <w:color w:val="auto"/>
                <w:szCs w:val="21"/>
                <w:highlight w:val="none"/>
                <w:u w:val="single"/>
                <w:lang w:val="en-US" w:eastAsia="zh-CN"/>
              </w:rPr>
              <w:t>刘女士</w:t>
            </w:r>
          </w:p>
          <w:p w14:paraId="647A27EF">
            <w:pPr>
              <w:keepNext w:val="0"/>
              <w:keepLines w:val="0"/>
              <w:suppressLineNumbers w:val="0"/>
              <w:spacing w:before="0" w:beforeAutospacing="0" w:after="0" w:afterAutospacing="0" w:line="240" w:lineRule="auto"/>
              <w:ind w:left="0" w:right="0"/>
              <w:jc w:val="left"/>
              <w:rPr>
                <w:rFonts w:hint="default"/>
                <w:color w:val="auto"/>
                <w:szCs w:val="21"/>
                <w:highlight w:val="none"/>
              </w:rPr>
            </w:pPr>
            <w:r>
              <w:rPr>
                <w:rFonts w:hint="eastAsia"/>
                <w:color w:val="auto"/>
                <w:szCs w:val="21"/>
                <w:highlight w:val="none"/>
              </w:rPr>
              <w:t>电</w:t>
            </w:r>
            <w:r>
              <w:rPr>
                <w:rFonts w:hint="eastAsia"/>
                <w:color w:val="auto"/>
                <w:szCs w:val="21"/>
                <w:highlight w:val="none"/>
                <w:lang w:val="en-US" w:eastAsia="zh-CN"/>
              </w:rPr>
              <w:t xml:space="preserve">    </w:t>
            </w:r>
            <w:r>
              <w:rPr>
                <w:rFonts w:hint="eastAsia"/>
                <w:color w:val="auto"/>
                <w:szCs w:val="21"/>
                <w:highlight w:val="none"/>
              </w:rPr>
              <w:t>话：</w:t>
            </w:r>
            <w:r>
              <w:rPr>
                <w:rFonts w:hint="eastAsia"/>
                <w:color w:val="auto"/>
                <w:szCs w:val="21"/>
                <w:highlight w:val="none"/>
                <w:u w:val="single"/>
                <w:lang w:eastAsia="zh-CN"/>
              </w:rPr>
              <w:t>0417-7802641</w:t>
            </w:r>
          </w:p>
          <w:p w14:paraId="1702FEF7">
            <w:pPr>
              <w:keepNext w:val="0"/>
              <w:keepLines w:val="0"/>
              <w:suppressLineNumbers w:val="0"/>
              <w:spacing w:before="0" w:beforeAutospacing="0" w:after="0" w:afterAutospacing="0" w:line="240" w:lineRule="auto"/>
              <w:ind w:left="0" w:right="0"/>
              <w:jc w:val="left"/>
              <w:rPr>
                <w:rFonts w:hint="eastAsia"/>
                <w:color w:val="auto"/>
                <w:szCs w:val="21"/>
                <w:highlight w:val="none"/>
                <w:u w:val="single"/>
              </w:rPr>
            </w:pPr>
            <w:r>
              <w:rPr>
                <w:rFonts w:hint="eastAsia"/>
                <w:color w:val="auto"/>
                <w:szCs w:val="21"/>
                <w:highlight w:val="none"/>
              </w:rPr>
              <w:t>邮政编码：</w:t>
            </w:r>
            <w:r>
              <w:rPr>
                <w:rFonts w:hint="eastAsia"/>
                <w:color w:val="auto"/>
                <w:szCs w:val="21"/>
                <w:highlight w:val="none"/>
                <w:u w:val="single"/>
                <w:lang w:eastAsia="zh-CN"/>
              </w:rPr>
              <w:t>/</w:t>
            </w:r>
          </w:p>
          <w:p w14:paraId="2E66CE97">
            <w:pPr>
              <w:keepNext w:val="0"/>
              <w:keepLines w:val="0"/>
              <w:suppressLineNumbers w:val="0"/>
              <w:spacing w:before="0" w:beforeAutospacing="0" w:after="0" w:afterAutospacing="0" w:line="240" w:lineRule="auto"/>
              <w:ind w:left="0" w:right="0"/>
              <w:jc w:val="left"/>
              <w:rPr>
                <w:rFonts w:hint="default"/>
                <w:color w:val="auto"/>
                <w:szCs w:val="21"/>
                <w:highlight w:val="none"/>
              </w:rPr>
            </w:pPr>
            <w:r>
              <w:rPr>
                <w:rFonts w:hint="eastAsia"/>
                <w:color w:val="auto"/>
                <w:szCs w:val="21"/>
                <w:highlight w:val="none"/>
              </w:rPr>
              <w:t>招标代理机构：</w:t>
            </w:r>
          </w:p>
          <w:p w14:paraId="500A3FE5">
            <w:pPr>
              <w:keepNext w:val="0"/>
              <w:keepLines w:val="0"/>
              <w:suppressLineNumbers w:val="0"/>
              <w:spacing w:before="0" w:beforeAutospacing="0" w:after="0" w:afterAutospacing="0" w:line="240" w:lineRule="auto"/>
              <w:ind w:left="0" w:right="0"/>
              <w:jc w:val="left"/>
              <w:rPr>
                <w:rFonts w:hint="eastAsia"/>
                <w:color w:val="auto"/>
                <w:szCs w:val="21"/>
                <w:highlight w:val="none"/>
                <w:u w:val="single"/>
              </w:rPr>
            </w:pPr>
            <w:r>
              <w:rPr>
                <w:rFonts w:hint="eastAsia"/>
                <w:color w:val="auto"/>
                <w:szCs w:val="21"/>
                <w:highlight w:val="none"/>
              </w:rPr>
              <w:t>名</w:t>
            </w:r>
            <w:r>
              <w:rPr>
                <w:rFonts w:hint="eastAsia"/>
                <w:color w:val="auto"/>
                <w:szCs w:val="21"/>
                <w:highlight w:val="none"/>
                <w:lang w:val="en-US" w:eastAsia="zh-CN"/>
              </w:rPr>
              <w:t xml:space="preserve">    </w:t>
            </w:r>
            <w:r>
              <w:rPr>
                <w:rFonts w:hint="eastAsia"/>
                <w:color w:val="auto"/>
                <w:szCs w:val="21"/>
                <w:highlight w:val="none"/>
              </w:rPr>
              <w:t>称：辽宁汇诚工程管理咨询有限公司</w:t>
            </w:r>
          </w:p>
          <w:p w14:paraId="072604C7">
            <w:pPr>
              <w:keepNext w:val="0"/>
              <w:keepLines w:val="0"/>
              <w:suppressLineNumbers w:val="0"/>
              <w:spacing w:before="0" w:beforeAutospacing="0" w:after="0" w:afterAutospacing="0" w:line="240" w:lineRule="auto"/>
              <w:ind w:left="0" w:right="0"/>
              <w:jc w:val="left"/>
              <w:rPr>
                <w:rFonts w:hint="eastAsia"/>
                <w:color w:val="auto"/>
                <w:szCs w:val="21"/>
                <w:highlight w:val="none"/>
              </w:rPr>
            </w:pPr>
            <w:r>
              <w:rPr>
                <w:rFonts w:hint="eastAsia"/>
                <w:color w:val="auto"/>
                <w:szCs w:val="21"/>
                <w:highlight w:val="none"/>
              </w:rPr>
              <w:t>地</w:t>
            </w:r>
            <w:r>
              <w:rPr>
                <w:rFonts w:hint="eastAsia"/>
                <w:color w:val="auto"/>
                <w:szCs w:val="21"/>
                <w:highlight w:val="none"/>
                <w:lang w:val="en-US" w:eastAsia="zh-CN"/>
              </w:rPr>
              <w:t xml:space="preserve">    </w:t>
            </w:r>
            <w:r>
              <w:rPr>
                <w:rFonts w:hint="eastAsia"/>
                <w:color w:val="auto"/>
                <w:szCs w:val="21"/>
                <w:highlight w:val="none"/>
              </w:rPr>
              <w:t>址：</w:t>
            </w:r>
            <w:r>
              <w:rPr>
                <w:rFonts w:hint="eastAsia"/>
                <w:color w:val="auto"/>
                <w:szCs w:val="21"/>
                <w:highlight w:val="none"/>
                <w:u w:val="single"/>
                <w:lang w:eastAsia="zh-CN"/>
              </w:rPr>
              <w:t>沈阳市铁西区云峰南街20-1号</w:t>
            </w:r>
          </w:p>
          <w:p w14:paraId="68351B1E">
            <w:pPr>
              <w:keepNext w:val="0"/>
              <w:keepLines w:val="0"/>
              <w:suppressLineNumbers w:val="0"/>
              <w:spacing w:before="0" w:beforeAutospacing="0" w:after="0" w:afterAutospacing="0" w:line="240" w:lineRule="auto"/>
              <w:ind w:left="0" w:right="0"/>
              <w:jc w:val="left"/>
              <w:rPr>
                <w:rFonts w:hint="default"/>
                <w:color w:val="auto"/>
                <w:szCs w:val="21"/>
                <w:highlight w:val="none"/>
              </w:rPr>
            </w:pPr>
            <w:r>
              <w:rPr>
                <w:rFonts w:hint="eastAsia"/>
                <w:color w:val="auto"/>
                <w:szCs w:val="21"/>
                <w:highlight w:val="none"/>
                <w:lang w:val="en-US" w:eastAsia="zh-CN"/>
              </w:rPr>
              <w:t>联 系 人：</w:t>
            </w:r>
            <w:r>
              <w:rPr>
                <w:rFonts w:hint="eastAsia"/>
                <w:color w:val="auto"/>
                <w:szCs w:val="21"/>
                <w:highlight w:val="none"/>
                <w:u w:val="single"/>
                <w:lang w:val="en-US" w:eastAsia="zh-CN"/>
              </w:rPr>
              <w:t>郑巍、张彬、董珊</w:t>
            </w:r>
          </w:p>
          <w:p w14:paraId="7F0CF6D4">
            <w:pPr>
              <w:keepNext w:val="0"/>
              <w:keepLines w:val="0"/>
              <w:suppressLineNumbers w:val="0"/>
              <w:spacing w:before="0" w:beforeAutospacing="0" w:after="0" w:afterAutospacing="0" w:line="240" w:lineRule="auto"/>
              <w:ind w:left="0" w:right="0"/>
              <w:jc w:val="left"/>
              <w:rPr>
                <w:rFonts w:hint="eastAsia"/>
                <w:color w:val="auto"/>
                <w:szCs w:val="21"/>
                <w:highlight w:val="none"/>
              </w:rPr>
            </w:pPr>
            <w:r>
              <w:rPr>
                <w:rFonts w:hint="eastAsia"/>
                <w:color w:val="auto"/>
                <w:szCs w:val="21"/>
                <w:highlight w:val="none"/>
              </w:rPr>
              <w:t>电</w:t>
            </w:r>
            <w:r>
              <w:rPr>
                <w:rFonts w:hint="eastAsia"/>
                <w:color w:val="auto"/>
                <w:szCs w:val="21"/>
                <w:highlight w:val="none"/>
                <w:lang w:val="en-US" w:eastAsia="zh-CN"/>
              </w:rPr>
              <w:t xml:space="preserve">    </w:t>
            </w:r>
            <w:r>
              <w:rPr>
                <w:rFonts w:hint="eastAsia"/>
                <w:color w:val="auto"/>
                <w:szCs w:val="21"/>
                <w:highlight w:val="none"/>
              </w:rPr>
              <w:t>话：</w:t>
            </w:r>
            <w:r>
              <w:rPr>
                <w:rFonts w:hint="eastAsia"/>
                <w:color w:val="auto"/>
                <w:szCs w:val="21"/>
                <w:highlight w:val="none"/>
                <w:u w:val="single"/>
                <w:lang w:eastAsia="zh-CN"/>
              </w:rPr>
              <w:t>024-25158333</w:t>
            </w:r>
          </w:p>
          <w:p w14:paraId="38C09F43">
            <w:pPr>
              <w:keepNext w:val="0"/>
              <w:keepLines w:val="0"/>
              <w:suppressLineNumbers w:val="0"/>
              <w:spacing w:before="0" w:beforeAutospacing="0" w:after="0" w:afterAutospacing="0" w:line="240" w:lineRule="auto"/>
              <w:ind w:left="0" w:right="0"/>
              <w:jc w:val="left"/>
              <w:rPr>
                <w:rFonts w:hint="eastAsia"/>
                <w:color w:val="auto"/>
                <w:szCs w:val="21"/>
                <w:highlight w:val="none"/>
                <w:u w:val="single"/>
              </w:rPr>
            </w:pPr>
            <w:r>
              <w:rPr>
                <w:rFonts w:hint="eastAsia"/>
                <w:color w:val="auto"/>
                <w:szCs w:val="21"/>
                <w:highlight w:val="none"/>
              </w:rPr>
              <w:t>邮政编码：</w:t>
            </w:r>
            <w:r>
              <w:rPr>
                <w:rFonts w:hint="eastAsia"/>
                <w:color w:val="auto"/>
                <w:szCs w:val="21"/>
                <w:highlight w:val="none"/>
                <w:u w:val="single"/>
                <w:lang w:eastAsia="zh-CN"/>
              </w:rPr>
              <w:t>/</w:t>
            </w:r>
          </w:p>
          <w:p w14:paraId="60C4C958">
            <w:pPr>
              <w:keepNext w:val="0"/>
              <w:keepLines w:val="0"/>
              <w:suppressLineNumbers w:val="0"/>
              <w:spacing w:before="0" w:beforeAutospacing="0" w:after="0" w:afterAutospacing="0" w:line="240" w:lineRule="auto"/>
              <w:ind w:left="0" w:right="0"/>
              <w:jc w:val="left"/>
              <w:rPr>
                <w:rFonts w:hint="default"/>
                <w:color w:val="auto"/>
                <w:szCs w:val="21"/>
                <w:highlight w:val="none"/>
                <w:u w:val="single"/>
              </w:rPr>
            </w:pPr>
            <w:r>
              <w:rPr>
                <w:rFonts w:hint="eastAsia"/>
                <w:color w:val="auto"/>
                <w:szCs w:val="21"/>
                <w:highlight w:val="none"/>
              </w:rPr>
              <w:t>异议投诉渠道：辽宁省工程建设项目招标投标异议投诉处理系统</w:t>
            </w:r>
          </w:p>
        </w:tc>
      </w:tr>
      <w:tr w14:paraId="72D71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2FCA09F5">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3.1.1</w:t>
            </w:r>
          </w:p>
          <w:p w14:paraId="4443B99F">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lang w:eastAsia="zh-CN"/>
              </w:rPr>
              <w:t>(</w:t>
            </w:r>
            <w:r>
              <w:rPr>
                <w:rFonts w:hint="eastAsia"/>
                <w:color w:val="auto"/>
                <w:highlight w:val="none"/>
              </w:rPr>
              <w:t>1</w:t>
            </w:r>
            <w:r>
              <w:rPr>
                <w:rFonts w:hint="eastAsia"/>
                <w:color w:val="auto"/>
                <w:highlight w:val="none"/>
                <w:lang w:val="en-US" w:eastAsia="zh-CN"/>
              </w:rPr>
              <w:t>0)</w:t>
            </w:r>
          </w:p>
        </w:tc>
        <w:tc>
          <w:tcPr>
            <w:tcW w:w="2262" w:type="dxa"/>
            <w:vAlign w:val="center"/>
          </w:tcPr>
          <w:p w14:paraId="15002BF5">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构成投标文件的其他材料</w:t>
            </w:r>
          </w:p>
        </w:tc>
        <w:tc>
          <w:tcPr>
            <w:tcW w:w="5295" w:type="dxa"/>
            <w:vAlign w:val="center"/>
          </w:tcPr>
          <w:p w14:paraId="3A45BB1A">
            <w:pPr>
              <w:keepNext w:val="0"/>
              <w:keepLines w:val="0"/>
              <w:suppressLineNumbers w:val="0"/>
              <w:spacing w:before="0" w:beforeAutospacing="0" w:after="0" w:afterAutospacing="0" w:line="240" w:lineRule="auto"/>
              <w:ind w:left="0" w:right="0"/>
              <w:jc w:val="left"/>
              <w:rPr>
                <w:rFonts w:hint="eastAsia"/>
                <w:color w:val="auto"/>
                <w:highlight w:val="none"/>
              </w:rPr>
            </w:pPr>
            <w:r>
              <w:rPr>
                <w:rFonts w:hint="eastAsia"/>
                <w:color w:val="auto"/>
                <w:highlight w:val="none"/>
                <w:lang w:eastAsia="zh-CN"/>
              </w:rPr>
              <w:t>/</w:t>
            </w:r>
          </w:p>
        </w:tc>
      </w:tr>
      <w:tr w14:paraId="2E482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47550BE9">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3</w:t>
            </w:r>
            <w:r>
              <w:rPr>
                <w:rFonts w:hint="default"/>
                <w:color w:val="auto"/>
                <w:highlight w:val="none"/>
              </w:rPr>
              <w:t>.2.4</w:t>
            </w:r>
          </w:p>
        </w:tc>
        <w:tc>
          <w:tcPr>
            <w:tcW w:w="2262" w:type="dxa"/>
            <w:vAlign w:val="center"/>
          </w:tcPr>
          <w:p w14:paraId="02FFA88E">
            <w:pPr>
              <w:keepNext w:val="0"/>
              <w:keepLines w:val="0"/>
              <w:suppressLineNumbers w:val="0"/>
              <w:spacing w:before="0" w:beforeAutospacing="0" w:after="0" w:afterAutospacing="0" w:line="240" w:lineRule="auto"/>
              <w:ind w:left="0" w:right="0"/>
              <w:jc w:val="center"/>
              <w:rPr>
                <w:rFonts w:hint="eastAsia"/>
                <w:color w:val="auto"/>
                <w:highlight w:val="none"/>
              </w:rPr>
            </w:pPr>
            <w:r>
              <w:rPr>
                <w:rFonts w:hint="eastAsia"/>
                <w:color w:val="auto"/>
                <w:highlight w:val="none"/>
              </w:rPr>
              <w:t>最高投标限价</w:t>
            </w:r>
          </w:p>
          <w:p w14:paraId="1EB2F637">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lang w:val="en-US" w:eastAsia="zh-CN"/>
              </w:rPr>
              <w:t>或其计算方法</w:t>
            </w:r>
          </w:p>
        </w:tc>
        <w:tc>
          <w:tcPr>
            <w:tcW w:w="5295" w:type="dxa"/>
            <w:vAlign w:val="center"/>
          </w:tcPr>
          <w:p w14:paraId="470A17E5">
            <w:pPr>
              <w:keepNext w:val="0"/>
              <w:keepLines w:val="0"/>
              <w:suppressLineNumbers w:val="0"/>
              <w:spacing w:before="0" w:beforeAutospacing="0" w:after="0" w:afterAutospacing="0" w:line="240" w:lineRule="auto"/>
              <w:ind w:left="0" w:right="0"/>
              <w:jc w:val="left"/>
              <w:rPr>
                <w:rFonts w:hint="eastAsia"/>
                <w:color w:val="auto"/>
                <w:highlight w:val="none"/>
              </w:rPr>
            </w:pPr>
            <w:r>
              <w:rPr>
                <w:rFonts w:hint="eastAsia"/>
                <w:color w:val="auto"/>
                <w:highlight w:val="none"/>
                <w:lang w:eastAsia="zh-CN"/>
              </w:rPr>
              <w:t>□</w:t>
            </w:r>
            <w:r>
              <w:rPr>
                <w:rFonts w:hint="eastAsia"/>
                <w:color w:val="auto"/>
                <w:highlight w:val="none"/>
              </w:rPr>
              <w:t>不</w:t>
            </w:r>
            <w:r>
              <w:rPr>
                <w:rFonts w:hint="eastAsia"/>
                <w:color w:val="auto"/>
                <w:highlight w:val="none"/>
                <w:lang w:val="en-US" w:eastAsia="zh-CN"/>
              </w:rPr>
              <w:t>设置</w:t>
            </w:r>
          </w:p>
          <w:p w14:paraId="4F7FFA4A">
            <w:pPr>
              <w:keepNext w:val="0"/>
              <w:keepLines w:val="0"/>
              <w:suppressLineNumbers w:val="0"/>
              <w:spacing w:before="0" w:beforeAutospacing="0" w:after="0" w:afterAutospacing="0" w:line="240" w:lineRule="auto"/>
              <w:ind w:left="0" w:right="0"/>
              <w:jc w:val="left"/>
              <w:rPr>
                <w:rFonts w:hint="default"/>
                <w:color w:val="auto"/>
                <w:highlight w:val="none"/>
              </w:rPr>
            </w:pPr>
            <w:r>
              <w:rPr>
                <w:rFonts w:hint="eastAsia"/>
                <w:color w:val="auto"/>
                <w:highlight w:val="none"/>
              </w:rPr>
              <w:t>☑</w:t>
            </w:r>
            <w:r>
              <w:rPr>
                <w:rFonts w:hint="eastAsia"/>
                <w:color w:val="auto"/>
                <w:highlight w:val="none"/>
                <w:lang w:val="en-US" w:eastAsia="zh-CN"/>
              </w:rPr>
              <w:t>设置</w:t>
            </w:r>
            <w:r>
              <w:rPr>
                <w:rFonts w:hint="eastAsia"/>
                <w:color w:val="auto"/>
                <w:highlight w:val="none"/>
              </w:rPr>
              <w:t>，</w:t>
            </w:r>
            <w:r>
              <w:rPr>
                <w:rFonts w:hint="eastAsia"/>
                <w:b w:val="0"/>
                <w:bCs w:val="0"/>
                <w:color w:val="auto"/>
                <w:highlight w:val="none"/>
              </w:rPr>
              <w:t>最高投标限价：</w:t>
            </w:r>
            <w:r>
              <w:rPr>
                <w:rFonts w:hint="eastAsia"/>
                <w:b w:val="0"/>
                <w:bCs w:val="0"/>
                <w:color w:val="auto"/>
                <w:highlight w:val="none"/>
                <w:u w:val="single"/>
                <w:lang w:val="en-US" w:eastAsia="zh-CN"/>
              </w:rPr>
              <w:t xml:space="preserve">           </w:t>
            </w:r>
            <w:r>
              <w:rPr>
                <w:rFonts w:hint="eastAsia"/>
                <w:b w:val="0"/>
                <w:bCs w:val="0"/>
                <w:color w:val="auto"/>
                <w:highlight w:val="none"/>
              </w:rPr>
              <w:t>万元。</w:t>
            </w:r>
          </w:p>
          <w:p w14:paraId="53252348">
            <w:pPr>
              <w:keepNext w:val="0"/>
              <w:keepLines w:val="0"/>
              <w:suppressLineNumbers w:val="0"/>
              <w:spacing w:before="0" w:beforeAutospacing="0" w:after="0" w:afterAutospacing="0" w:line="240" w:lineRule="auto"/>
              <w:ind w:left="0" w:right="0"/>
              <w:jc w:val="left"/>
              <w:rPr>
                <w:rFonts w:hint="default"/>
                <w:color w:val="auto"/>
                <w:highlight w:val="none"/>
              </w:rPr>
            </w:pPr>
            <w:r>
              <w:rPr>
                <w:rFonts w:hint="eastAsia"/>
                <w:color w:val="auto"/>
                <w:highlight w:val="none"/>
              </w:rPr>
              <w:t>最高投标限价公布时间：投标截止时间</w:t>
            </w:r>
            <w:r>
              <w:rPr>
                <w:rFonts w:hint="eastAsia"/>
                <w:color w:val="auto"/>
                <w:highlight w:val="none"/>
                <w:u w:val="single"/>
                <w:lang w:eastAsia="zh-CN"/>
              </w:rPr>
              <w:t>/</w:t>
            </w:r>
            <w:r>
              <w:rPr>
                <w:rFonts w:hint="eastAsia"/>
                <w:color w:val="auto"/>
                <w:highlight w:val="none"/>
              </w:rPr>
              <w:t>日前。</w:t>
            </w:r>
          </w:p>
          <w:p w14:paraId="5C0E7175">
            <w:pPr>
              <w:keepNext w:val="0"/>
              <w:keepLines w:val="0"/>
              <w:suppressLineNumbers w:val="0"/>
              <w:spacing w:before="0" w:beforeAutospacing="0" w:after="0" w:afterAutospacing="0" w:line="240" w:lineRule="auto"/>
              <w:ind w:left="0" w:right="0"/>
              <w:jc w:val="left"/>
              <w:rPr>
                <w:rFonts w:hint="eastAsia"/>
                <w:color w:val="auto"/>
                <w:highlight w:val="none"/>
              </w:rPr>
            </w:pPr>
            <w:r>
              <w:rPr>
                <w:rFonts w:hint="eastAsia"/>
                <w:color w:val="auto"/>
                <w:highlight w:val="none"/>
              </w:rPr>
              <w:t>其他要求：</w:t>
            </w:r>
            <w:r>
              <w:rPr>
                <w:rFonts w:hint="eastAsia"/>
                <w:color w:val="auto"/>
                <w:highlight w:val="none"/>
                <w:u w:val="single"/>
                <w:lang w:eastAsia="zh-CN"/>
              </w:rPr>
              <w:t>投标人投标时填报的上述报价超过最高投标限价的，将作无效投标处理。</w:t>
            </w:r>
          </w:p>
        </w:tc>
      </w:tr>
      <w:tr w14:paraId="5EEDD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1DD5688A">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3.2.5</w:t>
            </w:r>
          </w:p>
        </w:tc>
        <w:tc>
          <w:tcPr>
            <w:tcW w:w="2262" w:type="dxa"/>
            <w:vAlign w:val="center"/>
          </w:tcPr>
          <w:p w14:paraId="25FB6C50">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报价说明</w:t>
            </w:r>
          </w:p>
        </w:tc>
        <w:tc>
          <w:tcPr>
            <w:tcW w:w="5295" w:type="dxa"/>
            <w:vAlign w:val="center"/>
          </w:tcPr>
          <w:p w14:paraId="5061A8D4">
            <w:pPr>
              <w:keepNext w:val="0"/>
              <w:keepLines w:val="0"/>
              <w:suppressLineNumbers w:val="0"/>
              <w:spacing w:before="0" w:beforeAutospacing="0" w:after="0" w:afterAutospacing="0" w:line="240" w:lineRule="auto"/>
              <w:ind w:left="0" w:right="0"/>
              <w:jc w:val="left"/>
              <w:rPr>
                <w:rFonts w:hint="eastAsia"/>
                <w:color w:val="auto"/>
                <w:highlight w:val="none"/>
              </w:rPr>
            </w:pPr>
            <w:r>
              <w:rPr>
                <w:rFonts w:hint="eastAsia"/>
                <w:color w:val="auto"/>
                <w:highlight w:val="none"/>
              </w:rPr>
              <w:t>报价方式：</w:t>
            </w:r>
          </w:p>
          <w:p w14:paraId="2B835AB1">
            <w:pPr>
              <w:keepNext w:val="0"/>
              <w:keepLines w:val="0"/>
              <w:suppressLineNumbers w:val="0"/>
              <w:spacing w:before="0" w:beforeAutospacing="0" w:after="0" w:afterAutospacing="0" w:line="240" w:lineRule="auto"/>
              <w:ind w:left="0" w:right="0"/>
              <w:rPr>
                <w:rFonts w:hint="default"/>
                <w:color w:val="auto"/>
                <w:highlight w:val="none"/>
              </w:rPr>
            </w:pPr>
            <w:r>
              <w:rPr>
                <w:rFonts w:hint="eastAsia"/>
                <w:color w:val="auto"/>
                <w:highlight w:val="none"/>
              </w:rPr>
              <w:t>☑人民币价格</w:t>
            </w:r>
          </w:p>
          <w:p w14:paraId="69651B95">
            <w:pPr>
              <w:keepNext w:val="0"/>
              <w:keepLines w:val="0"/>
              <w:suppressLineNumbers w:val="0"/>
              <w:spacing w:before="0" w:beforeAutospacing="0" w:after="0" w:afterAutospacing="0" w:line="240" w:lineRule="auto"/>
              <w:ind w:left="0" w:right="0"/>
              <w:rPr>
                <w:rFonts w:hint="default"/>
                <w:color w:val="auto"/>
                <w:highlight w:val="none"/>
              </w:rPr>
            </w:pPr>
            <w:r>
              <w:rPr>
                <w:rFonts w:hint="eastAsia"/>
                <w:color w:val="auto"/>
                <w:highlight w:val="none"/>
              </w:rPr>
              <w:t>□综合费率（参与价格评审的为综合费率）</w:t>
            </w:r>
          </w:p>
          <w:p w14:paraId="08CB4417">
            <w:pPr>
              <w:keepNext w:val="0"/>
              <w:keepLines w:val="0"/>
              <w:suppressLineNumbers w:val="0"/>
              <w:spacing w:before="0" w:beforeAutospacing="0" w:after="0" w:afterAutospacing="0" w:line="240" w:lineRule="auto"/>
              <w:ind w:left="0" w:right="0"/>
              <w:rPr>
                <w:rFonts w:hint="default"/>
                <w:color w:val="auto"/>
                <w:highlight w:val="none"/>
              </w:rPr>
            </w:pPr>
            <w:r>
              <w:rPr>
                <w:rFonts w:hint="eastAsia"/>
                <w:color w:val="auto"/>
                <w:highlight w:val="none"/>
              </w:rPr>
              <w:t>□下浮率（参与价格评审的为下浮率）</w:t>
            </w:r>
          </w:p>
          <w:p w14:paraId="6743BB0D">
            <w:pPr>
              <w:keepNext w:val="0"/>
              <w:keepLines w:val="0"/>
              <w:suppressLineNumbers w:val="0"/>
              <w:spacing w:before="0" w:beforeAutospacing="0" w:after="0" w:afterAutospacing="0" w:line="240" w:lineRule="auto"/>
              <w:ind w:left="0" w:right="0"/>
              <w:rPr>
                <w:rFonts w:hint="eastAsia"/>
                <w:color w:val="auto"/>
                <w:highlight w:val="none"/>
              </w:rPr>
            </w:pPr>
            <w:r>
              <w:rPr>
                <w:rFonts w:hint="eastAsia"/>
                <w:color w:val="auto"/>
                <w:highlight w:val="none"/>
              </w:rPr>
              <w:t>□综合单价（参与价格评审的为综合单价）</w:t>
            </w:r>
          </w:p>
          <w:p w14:paraId="23D3F37D">
            <w:pPr>
              <w:keepNext w:val="0"/>
              <w:keepLines w:val="0"/>
              <w:suppressLineNumbers w:val="0"/>
              <w:spacing w:before="0" w:beforeAutospacing="0" w:after="0" w:afterAutospacing="0" w:line="240" w:lineRule="auto"/>
              <w:ind w:left="0" w:right="0"/>
              <w:rPr>
                <w:rFonts w:hint="eastAsia"/>
                <w:color w:val="auto"/>
                <w:highlight w:val="none"/>
              </w:rPr>
            </w:pPr>
            <w:r>
              <w:rPr>
                <w:rFonts w:hint="eastAsia"/>
                <w:color w:val="auto"/>
                <w:highlight w:val="none"/>
              </w:rPr>
              <w:t>特别说明：非人民币价格方式报价，投标人均应根据实际情况合理填报转换的人民币价格。</w:t>
            </w:r>
          </w:p>
          <w:p w14:paraId="033FA1BD">
            <w:pPr>
              <w:pStyle w:val="7"/>
              <w:spacing w:line="240" w:lineRule="auto"/>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rPr>
              <w:t>报价要求：</w:t>
            </w:r>
          </w:p>
          <w:p w14:paraId="411FA13E">
            <w:pPr>
              <w:pStyle w:val="7"/>
              <w:spacing w:line="240" w:lineRule="auto"/>
              <w:rPr>
                <w:rFonts w:hint="eastAsia"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4"/>
                <w:highlight w:val="none"/>
                <w:lang w:val="en-US" w:eastAsia="zh-CN" w:bidi="ar-SA"/>
              </w:rPr>
              <w:t>1.报价依据：详见本项目工程量清单</w:t>
            </w:r>
          </w:p>
          <w:p w14:paraId="762308EB">
            <w:pPr>
              <w:keepNext w:val="0"/>
              <w:keepLines w:val="0"/>
              <w:suppressLineNumbers w:val="0"/>
              <w:spacing w:before="0" w:beforeAutospacing="0" w:after="0" w:afterAutospacing="0" w:line="240" w:lineRule="auto"/>
              <w:ind w:left="0" w:right="0"/>
              <w:jc w:val="left"/>
              <w:rPr>
                <w:rFonts w:hint="eastAsia"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4"/>
                <w:highlight w:val="none"/>
                <w:lang w:val="en-US" w:eastAsia="zh-CN" w:bidi="ar-SA"/>
              </w:rPr>
              <w:t>2.报价要求</w:t>
            </w:r>
          </w:p>
          <w:p w14:paraId="274DAC86">
            <w:pPr>
              <w:keepNext w:val="0"/>
              <w:keepLines w:val="0"/>
              <w:suppressLineNumbers w:val="0"/>
              <w:spacing w:before="0" w:beforeAutospacing="0" w:after="0" w:afterAutospacing="0" w:line="240" w:lineRule="auto"/>
              <w:ind w:left="0" w:right="0"/>
              <w:jc w:val="left"/>
              <w:rPr>
                <w:rFonts w:hint="default"/>
                <w:color w:val="auto"/>
                <w:highlight w:val="none"/>
                <w:lang w:val="en-US" w:eastAsia="zh-CN"/>
              </w:rPr>
            </w:pPr>
            <w:r>
              <w:rPr>
                <w:rFonts w:hint="default"/>
                <w:color w:val="auto"/>
                <w:highlight w:val="none"/>
                <w:lang w:val="en-US" w:eastAsia="zh-CN"/>
              </w:rPr>
              <w:t>（1）投标报价应由投标人或受其委托的工程造价咨询人编制，除国家强制性规定外，投标价由投标人自行确定，但不得低于成本。</w:t>
            </w:r>
          </w:p>
          <w:p w14:paraId="6BA67737">
            <w:pPr>
              <w:keepNext w:val="0"/>
              <w:keepLines w:val="0"/>
              <w:suppressLineNumbers w:val="0"/>
              <w:spacing w:before="0" w:beforeAutospacing="0" w:after="0" w:afterAutospacing="0" w:line="240" w:lineRule="auto"/>
              <w:ind w:left="0" w:right="0"/>
              <w:jc w:val="left"/>
              <w:rPr>
                <w:rFonts w:hint="default"/>
                <w:color w:val="auto"/>
                <w:highlight w:val="none"/>
                <w:lang w:val="en-US" w:eastAsia="zh-CN"/>
              </w:rPr>
            </w:pPr>
            <w:r>
              <w:rPr>
                <w:rFonts w:hint="default"/>
                <w:color w:val="auto"/>
                <w:highlight w:val="none"/>
                <w:lang w:val="en-US" w:eastAsia="zh-CN"/>
              </w:rPr>
              <w:t>（2）投标人应按照招标人提供的工程量清单填报价格。填写的项目编码、项目名称、项目特征、计量单位、工程量必须与招标人提供的一致。工程量清单计价表中列明的所有需要填写的单价和合价，投标人均应填写，未填写的单价和合价，视为此项费用已包含在工程量清单的其他单价和合价中。</w:t>
            </w:r>
          </w:p>
          <w:p w14:paraId="56A6E60D">
            <w:pPr>
              <w:keepNext w:val="0"/>
              <w:keepLines w:val="0"/>
              <w:suppressLineNumbers w:val="0"/>
              <w:spacing w:before="0" w:beforeAutospacing="0" w:after="0" w:afterAutospacing="0" w:line="240" w:lineRule="auto"/>
              <w:ind w:left="0" w:right="0"/>
              <w:jc w:val="left"/>
              <w:rPr>
                <w:rFonts w:hint="default"/>
                <w:color w:val="auto"/>
                <w:highlight w:val="none"/>
                <w:lang w:val="en-US" w:eastAsia="zh-CN"/>
              </w:rPr>
            </w:pPr>
            <w:r>
              <w:rPr>
                <w:rFonts w:hint="default"/>
                <w:color w:val="auto"/>
                <w:highlight w:val="none"/>
                <w:lang w:val="en-US" w:eastAsia="zh-CN"/>
              </w:rPr>
              <w:t>（3）分部分项工程费应依据综合单价的组成内容，按照招标文件中分部分项工程量清单项目的特征描述确定综合单价计算。</w:t>
            </w:r>
          </w:p>
          <w:p w14:paraId="3F58AC16">
            <w:pPr>
              <w:keepNext w:val="0"/>
              <w:keepLines w:val="0"/>
              <w:suppressLineNumbers w:val="0"/>
              <w:spacing w:before="0" w:beforeAutospacing="0" w:after="0" w:afterAutospacing="0" w:line="240" w:lineRule="auto"/>
              <w:ind w:left="0" w:right="0"/>
              <w:jc w:val="left"/>
              <w:rPr>
                <w:rFonts w:hint="default"/>
                <w:color w:val="auto"/>
                <w:highlight w:val="none"/>
                <w:lang w:val="en-US" w:eastAsia="zh-CN"/>
              </w:rPr>
            </w:pPr>
            <w:r>
              <w:rPr>
                <w:rFonts w:hint="default"/>
                <w:color w:val="auto"/>
                <w:highlight w:val="none"/>
                <w:lang w:val="en-US" w:eastAsia="zh-CN"/>
              </w:rPr>
              <w:t>（4）本工程报价设置最高限价，投标人投标报价时需保证投标总价不超限价。</w:t>
            </w:r>
          </w:p>
          <w:p w14:paraId="0D14D2C5">
            <w:pPr>
              <w:keepNext w:val="0"/>
              <w:keepLines w:val="0"/>
              <w:suppressLineNumbers w:val="0"/>
              <w:spacing w:before="0" w:beforeAutospacing="0" w:after="0" w:afterAutospacing="0" w:line="240" w:lineRule="auto"/>
              <w:ind w:left="0" w:right="0"/>
              <w:jc w:val="left"/>
              <w:rPr>
                <w:rFonts w:hint="default"/>
                <w:color w:val="auto"/>
                <w:highlight w:val="none"/>
                <w:lang w:val="en-US" w:eastAsia="zh-CN"/>
              </w:rPr>
            </w:pPr>
            <w:r>
              <w:rPr>
                <w:rFonts w:hint="default"/>
                <w:color w:val="auto"/>
                <w:highlight w:val="none"/>
                <w:lang w:val="en-US" w:eastAsia="zh-CN"/>
              </w:rPr>
              <w:t>（5）本工程采用工程量清单报价，任何情况下，投标人在报价时不得直接修改（包括任何形式的增加、删除或修改）招标人提供的工程量清单（包括子目列项和各子项的工程数量），投标人应直接按照招标人提供的工程量投标报价，即使招标图纸或招标范围不存在的子目，只要在本工程量清单中已经列明，投标人就要对其进行合理报价，并纳入投标总价。</w:t>
            </w:r>
          </w:p>
          <w:p w14:paraId="3AABC6B0">
            <w:pPr>
              <w:keepNext w:val="0"/>
              <w:keepLines w:val="0"/>
              <w:suppressLineNumbers w:val="0"/>
              <w:spacing w:before="0" w:beforeAutospacing="0" w:after="0" w:afterAutospacing="0" w:line="240" w:lineRule="auto"/>
              <w:ind w:left="0" w:right="0"/>
              <w:jc w:val="left"/>
              <w:rPr>
                <w:rFonts w:hint="default"/>
                <w:color w:val="auto"/>
                <w:highlight w:val="none"/>
                <w:lang w:val="en-US" w:eastAsia="zh-CN"/>
              </w:rPr>
            </w:pPr>
            <w:r>
              <w:rPr>
                <w:rFonts w:hint="default"/>
                <w:color w:val="auto"/>
                <w:highlight w:val="none"/>
                <w:lang w:val="en-US" w:eastAsia="zh-CN"/>
              </w:rPr>
              <w:t>（6）投标人应依据招标人提供的招标文件、工程量清单、招标图纸、补遗文件和答疑文件等资料，并在充分考察施工现场情况和条件（包括地上、地下情况、交通条件、水电条件、场地条件、协调报批事项等）和充分考虑施工现场的自然障碍及一切不利条件所带来的风险的基础之上，以自身的施工组织设计或施工方案为基础，根据企业内部定额（如有），并结合市场价格，自主报价。投标价格应是招标文件所确定招标范围内的全部工程内容的价格体现。其应包括但不限于施工机械、劳务、材料、疫情防疫费、管理费、利润、保险、税金、附加税费、招标代理费、营口地区人工费动态调整费用、垃圾清运费（含招标人分包单位的垃圾清运费）、保修等各项费用，以及所包含的风险、责任等各项应有费用。</w:t>
            </w:r>
          </w:p>
          <w:p w14:paraId="7034A4B8">
            <w:pPr>
              <w:keepNext w:val="0"/>
              <w:keepLines w:val="0"/>
              <w:suppressLineNumbers w:val="0"/>
              <w:spacing w:before="0" w:beforeAutospacing="0" w:after="0" w:afterAutospacing="0" w:line="240" w:lineRule="auto"/>
              <w:ind w:left="0" w:right="0"/>
              <w:jc w:val="left"/>
              <w:rPr>
                <w:rFonts w:hint="default"/>
                <w:color w:val="auto"/>
                <w:highlight w:val="none"/>
                <w:lang w:val="en-US" w:eastAsia="zh-CN"/>
              </w:rPr>
            </w:pPr>
            <w:r>
              <w:rPr>
                <w:rFonts w:hint="default"/>
                <w:color w:val="auto"/>
                <w:highlight w:val="none"/>
                <w:lang w:val="en-US" w:eastAsia="zh-CN"/>
              </w:rPr>
              <w:t>综合单价的组成内容：完成一个规定计量单位的分部分项工程量清单项目或措施清单项目所需的人工费、材料费、施工机械使用费和企业管理费与利润等</w:t>
            </w:r>
            <w:r>
              <w:rPr>
                <w:rFonts w:hint="eastAsia"/>
                <w:color w:val="auto"/>
                <w:highlight w:val="none"/>
                <w:lang w:val="en-US" w:eastAsia="zh-CN"/>
              </w:rPr>
              <w:t>，</w:t>
            </w:r>
            <w:r>
              <w:rPr>
                <w:rFonts w:hint="default"/>
                <w:color w:val="auto"/>
                <w:highlight w:val="none"/>
                <w:lang w:val="en-US" w:eastAsia="zh-CN"/>
              </w:rPr>
              <w:t>并考虑存在风险的费用。</w:t>
            </w:r>
          </w:p>
          <w:p w14:paraId="674660D7">
            <w:pPr>
              <w:keepNext w:val="0"/>
              <w:keepLines w:val="0"/>
              <w:suppressLineNumbers w:val="0"/>
              <w:spacing w:before="0" w:beforeAutospacing="0" w:after="0" w:afterAutospacing="0" w:line="240" w:lineRule="auto"/>
              <w:ind w:left="0" w:right="0"/>
              <w:jc w:val="left"/>
              <w:rPr>
                <w:rFonts w:hint="default"/>
                <w:b/>
                <w:bCs/>
                <w:color w:val="auto"/>
                <w:highlight w:val="none"/>
                <w:lang w:val="en-US" w:eastAsia="zh-CN"/>
              </w:rPr>
            </w:pPr>
            <w:r>
              <w:rPr>
                <w:rFonts w:hint="default"/>
                <w:b/>
                <w:bCs/>
                <w:color w:val="auto"/>
                <w:highlight w:val="none"/>
                <w:lang w:val="en-US" w:eastAsia="zh-CN"/>
              </w:rPr>
              <w:t>（7）措施项目费</w:t>
            </w:r>
          </w:p>
          <w:p w14:paraId="7F1BF76E">
            <w:pPr>
              <w:keepNext w:val="0"/>
              <w:keepLines w:val="0"/>
              <w:suppressLineNumbers w:val="0"/>
              <w:spacing w:before="0" w:beforeAutospacing="0" w:after="0" w:afterAutospacing="0" w:line="240" w:lineRule="auto"/>
              <w:ind w:left="0" w:right="0"/>
              <w:jc w:val="left"/>
              <w:rPr>
                <w:rFonts w:hint="default"/>
                <w:color w:val="auto"/>
                <w:highlight w:val="none"/>
                <w:lang w:val="en-US" w:eastAsia="zh-CN"/>
              </w:rPr>
            </w:pPr>
            <w:r>
              <w:rPr>
                <w:rFonts w:hint="default"/>
                <w:color w:val="auto"/>
                <w:highlight w:val="none"/>
                <w:lang w:val="en-US" w:eastAsia="zh-CN"/>
              </w:rPr>
              <w:t>①</w:t>
            </w:r>
            <w:r>
              <w:rPr>
                <w:rFonts w:hint="default"/>
                <w:b/>
                <w:bCs/>
                <w:color w:val="auto"/>
                <w:highlight w:val="none"/>
                <w:lang w:val="en-US" w:eastAsia="zh-CN"/>
              </w:rPr>
              <w:t>分部分项工程量清单中的技术措施项目</w:t>
            </w:r>
          </w:p>
          <w:p w14:paraId="4605C9EA">
            <w:pPr>
              <w:keepNext w:val="0"/>
              <w:keepLines w:val="0"/>
              <w:suppressLineNumbers w:val="0"/>
              <w:spacing w:before="0" w:beforeAutospacing="0" w:after="0" w:afterAutospacing="0" w:line="240" w:lineRule="auto"/>
              <w:ind w:left="0" w:right="0"/>
              <w:jc w:val="left"/>
              <w:rPr>
                <w:rFonts w:hint="default"/>
                <w:color w:val="auto"/>
                <w:highlight w:val="none"/>
                <w:lang w:val="en-US" w:eastAsia="zh-CN"/>
              </w:rPr>
            </w:pPr>
            <w:r>
              <w:rPr>
                <w:rFonts w:hint="default"/>
                <w:color w:val="auto"/>
                <w:highlight w:val="none"/>
                <w:lang w:val="en-US" w:eastAsia="zh-CN"/>
              </w:rPr>
              <w:t>投标人可以根据自身情况</w:t>
            </w:r>
            <w:r>
              <w:rPr>
                <w:rFonts w:hint="eastAsia"/>
                <w:color w:val="auto"/>
                <w:highlight w:val="none"/>
                <w:lang w:val="en-US" w:eastAsia="zh-CN"/>
              </w:rPr>
              <w:t>确定</w:t>
            </w:r>
            <w:r>
              <w:rPr>
                <w:rFonts w:hint="default"/>
                <w:color w:val="auto"/>
                <w:highlight w:val="none"/>
                <w:lang w:val="en-US" w:eastAsia="zh-CN"/>
              </w:rPr>
              <w:t>技术措施进行报价。投标人不得改变工程量清单中的技术措施项目和工程数量。</w:t>
            </w:r>
          </w:p>
          <w:p w14:paraId="7C554E5E">
            <w:pPr>
              <w:keepNext w:val="0"/>
              <w:keepLines w:val="0"/>
              <w:suppressLineNumbers w:val="0"/>
              <w:spacing w:before="0" w:beforeAutospacing="0" w:after="0" w:afterAutospacing="0" w:line="240" w:lineRule="auto"/>
              <w:ind w:left="0" w:right="0"/>
              <w:jc w:val="left"/>
              <w:rPr>
                <w:rFonts w:hint="default"/>
                <w:color w:val="auto"/>
                <w:highlight w:val="none"/>
                <w:lang w:val="en-US" w:eastAsia="zh-CN"/>
              </w:rPr>
            </w:pPr>
            <w:r>
              <w:rPr>
                <w:rFonts w:hint="default"/>
                <w:color w:val="auto"/>
                <w:highlight w:val="none"/>
                <w:lang w:val="en-US" w:eastAsia="zh-CN"/>
              </w:rPr>
              <w:t>②</w:t>
            </w:r>
            <w:r>
              <w:rPr>
                <w:rFonts w:hint="default"/>
                <w:b/>
                <w:bCs/>
                <w:color w:val="auto"/>
                <w:highlight w:val="none"/>
                <w:lang w:val="en-US" w:eastAsia="zh-CN"/>
              </w:rPr>
              <w:t>措施项目清单中的措施项目</w:t>
            </w:r>
          </w:p>
          <w:p w14:paraId="70EC0D4F">
            <w:pPr>
              <w:keepNext w:val="0"/>
              <w:keepLines w:val="0"/>
              <w:suppressLineNumbers w:val="0"/>
              <w:spacing w:before="0" w:beforeAutospacing="0" w:after="0" w:afterAutospacing="0" w:line="240" w:lineRule="auto"/>
              <w:ind w:left="0" w:right="0"/>
              <w:jc w:val="left"/>
              <w:rPr>
                <w:rFonts w:hint="default"/>
                <w:color w:val="auto"/>
                <w:highlight w:val="none"/>
                <w:lang w:val="en-US" w:eastAsia="zh-CN"/>
              </w:rPr>
            </w:pPr>
            <w:r>
              <w:rPr>
                <w:rFonts w:hint="default"/>
                <w:color w:val="auto"/>
                <w:highlight w:val="none"/>
                <w:lang w:val="en-US" w:eastAsia="zh-CN"/>
              </w:rPr>
              <w:t>投标人应根据招标文件中的措施项目清单及投标时拟定的施工组织设计或施工方案自主确定。</w:t>
            </w:r>
          </w:p>
          <w:p w14:paraId="34421A13">
            <w:pPr>
              <w:keepNext w:val="0"/>
              <w:keepLines w:val="0"/>
              <w:suppressLineNumbers w:val="0"/>
              <w:spacing w:before="0" w:beforeAutospacing="0" w:after="0" w:afterAutospacing="0" w:line="240" w:lineRule="auto"/>
              <w:ind w:left="0" w:right="0"/>
              <w:jc w:val="left"/>
              <w:rPr>
                <w:rFonts w:hint="default"/>
                <w:color w:val="auto"/>
                <w:highlight w:val="none"/>
                <w:lang w:val="en-US" w:eastAsia="zh-CN"/>
              </w:rPr>
            </w:pPr>
            <w:r>
              <w:rPr>
                <w:rFonts w:hint="default"/>
                <w:color w:val="auto"/>
                <w:highlight w:val="none"/>
                <w:lang w:val="en-US" w:eastAsia="zh-CN"/>
              </w:rPr>
              <w:t>投标人可根据工程实际情况结合施工组织设计，对招标人所列的措施项目进行增补。其中安全施工措施费应按照国家或省级、行业建设主管部门的规定计价，不得作为竞争性费用。投标报价应与投标人施工组织设计密切相关，不允许报价与施工组织严重脱节。</w:t>
            </w:r>
          </w:p>
          <w:p w14:paraId="41772BF8">
            <w:pPr>
              <w:keepNext w:val="0"/>
              <w:keepLines w:val="0"/>
              <w:suppressLineNumbers w:val="0"/>
              <w:spacing w:before="0" w:beforeAutospacing="0" w:after="0" w:afterAutospacing="0" w:line="240" w:lineRule="auto"/>
              <w:ind w:left="0" w:right="0"/>
              <w:jc w:val="left"/>
              <w:rPr>
                <w:rFonts w:hint="default"/>
                <w:color w:val="auto"/>
                <w:highlight w:val="none"/>
                <w:lang w:val="en-US" w:eastAsia="zh-CN"/>
              </w:rPr>
            </w:pPr>
            <w:r>
              <w:rPr>
                <w:rFonts w:hint="eastAsia"/>
                <w:b/>
                <w:bCs/>
                <w:color w:val="auto"/>
                <w:highlight w:val="none"/>
                <w:lang w:val="en-US" w:eastAsia="zh-CN"/>
              </w:rPr>
              <w:t>（8）</w:t>
            </w:r>
            <w:r>
              <w:rPr>
                <w:rFonts w:hint="default"/>
                <w:b/>
                <w:bCs/>
                <w:color w:val="auto"/>
                <w:highlight w:val="none"/>
                <w:lang w:val="en-US" w:eastAsia="zh-CN"/>
              </w:rPr>
              <w:t>安全施工费、规费和税金</w:t>
            </w:r>
            <w:r>
              <w:rPr>
                <w:rFonts w:hint="default"/>
                <w:color w:val="auto"/>
                <w:highlight w:val="none"/>
                <w:lang w:val="en-US" w:eastAsia="zh-CN"/>
              </w:rPr>
              <w:t>：按照国家或省级、行业建设主管部门的</w:t>
            </w:r>
            <w:r>
              <w:rPr>
                <w:rFonts w:hint="default"/>
                <w:color w:val="auto"/>
                <w:highlight w:val="green"/>
                <w:lang w:val="en-US" w:eastAsia="zh-CN"/>
              </w:rPr>
              <w:t>最新规定</w:t>
            </w:r>
            <w:r>
              <w:rPr>
                <w:rFonts w:hint="default"/>
                <w:color w:val="auto"/>
                <w:highlight w:val="none"/>
                <w:lang w:val="en-US" w:eastAsia="zh-CN"/>
              </w:rPr>
              <w:t>执行。</w:t>
            </w:r>
          </w:p>
          <w:p w14:paraId="02B752CC">
            <w:pPr>
              <w:keepNext w:val="0"/>
              <w:keepLines w:val="0"/>
              <w:suppressLineNumbers w:val="0"/>
              <w:spacing w:before="0" w:beforeAutospacing="0" w:after="0" w:afterAutospacing="0" w:line="240" w:lineRule="auto"/>
              <w:ind w:left="0" w:right="0"/>
              <w:jc w:val="left"/>
              <w:rPr>
                <w:rFonts w:hint="default"/>
                <w:color w:val="auto"/>
                <w:highlight w:val="none"/>
                <w:lang w:val="en-US" w:eastAsia="zh-CN"/>
              </w:rPr>
            </w:pPr>
            <w:r>
              <w:rPr>
                <w:rFonts w:hint="default"/>
                <w:color w:val="auto"/>
                <w:highlight w:val="none"/>
                <w:lang w:eastAsia="zh-CN"/>
              </w:rPr>
              <w:t>安全施工费以建筑安装工程不含本项费用的税前造价为取费基数，房屋建筑工程最低按</w:t>
            </w:r>
            <w:r>
              <w:rPr>
                <w:rFonts w:hint="default"/>
                <w:color w:val="auto"/>
                <w:highlight w:val="none"/>
                <w:lang w:val="en-US" w:eastAsia="zh-CN"/>
              </w:rPr>
              <w:t>3.27%计取，机电安装工程最低按2.18%计取，市政公用工程最低按1.71%计取，</w:t>
            </w:r>
            <w:r>
              <w:rPr>
                <w:rFonts w:hint="default"/>
                <w:b/>
                <w:bCs/>
                <w:color w:val="auto"/>
                <w:highlight w:val="none"/>
                <w:lang w:val="en-US" w:eastAsia="zh-CN"/>
              </w:rPr>
              <w:t>否则投标按无效处理</w:t>
            </w:r>
            <w:r>
              <w:rPr>
                <w:rFonts w:hint="default"/>
                <w:color w:val="auto"/>
                <w:highlight w:val="none"/>
                <w:lang w:val="en-US" w:eastAsia="zh-CN"/>
              </w:rPr>
              <w:t>。</w:t>
            </w:r>
          </w:p>
          <w:p w14:paraId="3DE79CDE">
            <w:pPr>
              <w:keepNext w:val="0"/>
              <w:keepLines w:val="0"/>
              <w:suppressLineNumbers w:val="0"/>
              <w:spacing w:before="0" w:beforeAutospacing="0" w:after="0" w:afterAutospacing="0" w:line="240" w:lineRule="auto"/>
              <w:ind w:left="0" w:right="0"/>
              <w:jc w:val="left"/>
              <w:rPr>
                <w:rFonts w:hint="default"/>
                <w:color w:val="auto"/>
                <w:highlight w:val="none"/>
                <w:lang w:val="en-US" w:eastAsia="zh-CN"/>
              </w:rPr>
            </w:pPr>
            <w:r>
              <w:rPr>
                <w:rFonts w:hint="default"/>
                <w:color w:val="auto"/>
                <w:highlight w:val="none"/>
                <w:lang w:val="en-US" w:eastAsia="zh-CN"/>
              </w:rPr>
              <w:t>规费最低费率为1.65%，</w:t>
            </w:r>
            <w:r>
              <w:rPr>
                <w:rFonts w:hint="default"/>
                <w:b/>
                <w:bCs/>
                <w:color w:val="auto"/>
                <w:highlight w:val="none"/>
                <w:lang w:val="en-US" w:eastAsia="zh-CN"/>
              </w:rPr>
              <w:t>否则投标按无效处理</w:t>
            </w:r>
            <w:r>
              <w:rPr>
                <w:rFonts w:hint="default"/>
                <w:color w:val="auto"/>
                <w:highlight w:val="none"/>
                <w:lang w:val="en-US" w:eastAsia="zh-CN"/>
              </w:rPr>
              <w:t>。</w:t>
            </w:r>
          </w:p>
          <w:p w14:paraId="31ABBF6D">
            <w:pPr>
              <w:keepNext w:val="0"/>
              <w:keepLines w:val="0"/>
              <w:suppressLineNumbers w:val="0"/>
              <w:spacing w:before="0" w:beforeAutospacing="0" w:after="0" w:afterAutospacing="0" w:line="240" w:lineRule="auto"/>
              <w:ind w:left="0" w:right="0"/>
              <w:jc w:val="left"/>
              <w:rPr>
                <w:rFonts w:hint="default"/>
                <w:color w:val="auto"/>
                <w:highlight w:val="none"/>
                <w:lang w:val="en-US" w:eastAsia="zh-CN"/>
              </w:rPr>
            </w:pPr>
            <w:r>
              <w:rPr>
                <w:rFonts w:hint="default"/>
                <w:color w:val="auto"/>
                <w:highlight w:val="none"/>
                <w:lang w:val="en-US" w:eastAsia="zh-CN"/>
              </w:rPr>
              <w:t>税金是指国家税法规定的应计入建筑安装工程造价内的增值税销项税额，投标单位按规定填报，</w:t>
            </w:r>
            <w:r>
              <w:rPr>
                <w:rFonts w:hint="default"/>
                <w:b/>
                <w:bCs/>
                <w:color w:val="auto"/>
                <w:highlight w:val="none"/>
                <w:lang w:val="en-US" w:eastAsia="zh-CN"/>
              </w:rPr>
              <w:t>否则投标按无效处理。</w:t>
            </w:r>
          </w:p>
          <w:p w14:paraId="1463BBAD">
            <w:pPr>
              <w:keepNext w:val="0"/>
              <w:keepLines w:val="0"/>
              <w:suppressLineNumbers w:val="0"/>
              <w:spacing w:before="0" w:beforeAutospacing="0" w:after="0" w:afterAutospacing="0" w:line="240" w:lineRule="auto"/>
              <w:ind w:left="0" w:right="0"/>
              <w:jc w:val="left"/>
              <w:rPr>
                <w:rFonts w:hint="default"/>
                <w:color w:val="auto"/>
                <w:highlight w:val="none"/>
                <w:lang w:val="en-US" w:eastAsia="zh-CN"/>
              </w:rPr>
            </w:pPr>
            <w:r>
              <w:rPr>
                <w:rFonts w:hint="default"/>
                <w:color w:val="auto"/>
                <w:highlight w:val="none"/>
                <w:lang w:val="en-US" w:eastAsia="zh-CN"/>
              </w:rPr>
              <w:t>（9）投标总价应当与分部分项工程费、措施项目费、其他项目费和规费、税金的合计金额一致。</w:t>
            </w:r>
          </w:p>
          <w:p w14:paraId="1698EE85">
            <w:pPr>
              <w:keepNext w:val="0"/>
              <w:keepLines w:val="0"/>
              <w:suppressLineNumbers w:val="0"/>
              <w:spacing w:before="0" w:beforeAutospacing="0" w:after="0" w:afterAutospacing="0" w:line="240" w:lineRule="auto"/>
              <w:ind w:left="0" w:right="0"/>
              <w:jc w:val="left"/>
              <w:rPr>
                <w:rFonts w:hint="default"/>
                <w:color w:val="auto"/>
                <w:highlight w:val="none"/>
                <w:lang w:val="en-US" w:eastAsia="zh-CN"/>
              </w:rPr>
            </w:pPr>
            <w:r>
              <w:rPr>
                <w:rFonts w:hint="default"/>
                <w:color w:val="auto"/>
                <w:highlight w:val="none"/>
                <w:lang w:val="en-US" w:eastAsia="zh-CN"/>
              </w:rPr>
              <w:t>（10）本工程投标报价采用的货币种类为人民币，单位为元。</w:t>
            </w:r>
          </w:p>
          <w:p w14:paraId="45E738D5">
            <w:pPr>
              <w:keepNext w:val="0"/>
              <w:keepLines w:val="0"/>
              <w:suppressLineNumbers w:val="0"/>
              <w:spacing w:before="0" w:beforeAutospacing="0" w:after="0" w:afterAutospacing="0" w:line="240" w:lineRule="auto"/>
              <w:ind w:left="0" w:right="0"/>
              <w:jc w:val="left"/>
              <w:rPr>
                <w:rFonts w:hint="default"/>
                <w:color w:val="auto"/>
                <w:highlight w:val="none"/>
                <w:lang w:val="en-US" w:eastAsia="zh-CN"/>
              </w:rPr>
            </w:pPr>
            <w:r>
              <w:rPr>
                <w:rFonts w:hint="default"/>
                <w:color w:val="auto"/>
                <w:highlight w:val="none"/>
                <w:lang w:val="en-US" w:eastAsia="zh-CN"/>
              </w:rPr>
              <w:t>（11）投标人如有修正报价须附有报价明细，有修正报价但无修正报价明细的修正报价无效。</w:t>
            </w:r>
          </w:p>
          <w:p w14:paraId="346A29B9">
            <w:pPr>
              <w:keepNext w:val="0"/>
              <w:keepLines w:val="0"/>
              <w:suppressLineNumbers w:val="0"/>
              <w:spacing w:before="0" w:beforeAutospacing="0" w:after="0" w:afterAutospacing="0" w:line="240" w:lineRule="auto"/>
              <w:ind w:left="0" w:right="0"/>
              <w:jc w:val="left"/>
              <w:rPr>
                <w:rFonts w:hint="default"/>
                <w:color w:val="auto"/>
                <w:highlight w:val="none"/>
                <w:lang w:val="en-US" w:eastAsia="zh-CN"/>
              </w:rPr>
            </w:pPr>
            <w:r>
              <w:rPr>
                <w:rFonts w:hint="default"/>
                <w:color w:val="auto"/>
                <w:highlight w:val="none"/>
                <w:lang w:val="en-US" w:eastAsia="zh-CN"/>
              </w:rPr>
              <w:t>（12）其他要求</w:t>
            </w:r>
          </w:p>
          <w:p w14:paraId="1CAFB62E">
            <w:pPr>
              <w:keepNext w:val="0"/>
              <w:keepLines w:val="0"/>
              <w:suppressLineNumbers w:val="0"/>
              <w:spacing w:before="0" w:beforeAutospacing="0" w:after="0" w:afterAutospacing="0" w:line="240" w:lineRule="auto"/>
              <w:ind w:left="0" w:right="0"/>
              <w:jc w:val="left"/>
              <w:rPr>
                <w:rFonts w:hint="default"/>
                <w:color w:val="auto"/>
                <w:highlight w:val="none"/>
                <w:lang w:val="en-US" w:eastAsia="zh-CN"/>
              </w:rPr>
            </w:pPr>
            <w:r>
              <w:rPr>
                <w:rFonts w:hint="default"/>
                <w:color w:val="auto"/>
                <w:highlight w:val="none"/>
                <w:lang w:val="en-US" w:eastAsia="zh-CN"/>
              </w:rPr>
              <w:t>①本工程的验收手续由中标人负责办理，费用计入各分项综合单价中，结算时不予增补。</w:t>
            </w:r>
          </w:p>
          <w:p w14:paraId="40C7E60C">
            <w:pPr>
              <w:keepNext w:val="0"/>
              <w:keepLines w:val="0"/>
              <w:suppressLineNumbers w:val="0"/>
              <w:spacing w:before="0" w:beforeAutospacing="0" w:after="0" w:afterAutospacing="0" w:line="240" w:lineRule="auto"/>
              <w:ind w:left="0" w:right="0"/>
              <w:jc w:val="left"/>
              <w:rPr>
                <w:rFonts w:hint="default"/>
                <w:color w:val="auto"/>
                <w:highlight w:val="none"/>
                <w:lang w:val="en-US" w:eastAsia="zh-CN"/>
              </w:rPr>
            </w:pPr>
            <w:r>
              <w:rPr>
                <w:rFonts w:hint="default"/>
                <w:color w:val="auto"/>
                <w:highlight w:val="none"/>
                <w:lang w:val="en-US" w:eastAsia="zh-CN"/>
              </w:rPr>
              <w:t>②本工程施工过程中所</w:t>
            </w:r>
            <w:r>
              <w:rPr>
                <w:rFonts w:hint="eastAsia"/>
                <w:color w:val="auto"/>
                <w:highlight w:val="none"/>
                <w:lang w:val="en-US" w:eastAsia="zh-CN"/>
              </w:rPr>
              <w:t>涉及</w:t>
            </w:r>
            <w:r>
              <w:rPr>
                <w:rFonts w:hint="default"/>
                <w:color w:val="auto"/>
                <w:highlight w:val="none"/>
                <w:lang w:val="en-US" w:eastAsia="zh-CN"/>
              </w:rPr>
              <w:t>的全部保险由中标人负责办理，其费用须包含在投标总价中。</w:t>
            </w:r>
          </w:p>
          <w:p w14:paraId="3B975B37">
            <w:pPr>
              <w:keepNext w:val="0"/>
              <w:keepLines w:val="0"/>
              <w:suppressLineNumbers w:val="0"/>
              <w:spacing w:before="0" w:beforeAutospacing="0" w:after="0" w:afterAutospacing="0" w:line="240" w:lineRule="auto"/>
              <w:ind w:left="0" w:right="0"/>
              <w:jc w:val="left"/>
              <w:rPr>
                <w:rFonts w:hint="default"/>
                <w:color w:val="auto"/>
                <w:highlight w:val="none"/>
                <w:lang w:val="en-US" w:eastAsia="zh-CN"/>
              </w:rPr>
            </w:pPr>
            <w:r>
              <w:rPr>
                <w:rFonts w:hint="default"/>
                <w:color w:val="auto"/>
                <w:highlight w:val="none"/>
                <w:lang w:val="en-US" w:eastAsia="zh-CN"/>
              </w:rPr>
              <w:t>③施工用水用电：施工现场施工时所用的电费和水费设表计量，费用由中标人缴纳。投标人投标报价时应考虑相关费用，结算时不予调整。</w:t>
            </w:r>
          </w:p>
          <w:p w14:paraId="6E502A0C">
            <w:pPr>
              <w:keepNext w:val="0"/>
              <w:keepLines w:val="0"/>
              <w:suppressLineNumbers w:val="0"/>
              <w:spacing w:before="0" w:beforeAutospacing="0" w:after="0" w:afterAutospacing="0" w:line="240" w:lineRule="auto"/>
              <w:ind w:left="0" w:right="0"/>
              <w:jc w:val="left"/>
              <w:rPr>
                <w:rFonts w:hint="default"/>
                <w:color w:val="auto"/>
                <w:highlight w:val="none"/>
              </w:rPr>
            </w:pPr>
            <w:r>
              <w:rPr>
                <w:rFonts w:hint="default"/>
                <w:color w:val="auto"/>
                <w:highlight w:val="none"/>
                <w:lang w:val="en-US" w:eastAsia="zh-CN"/>
              </w:rPr>
              <w:t>④中标人进驻施工现场进行施工作业和搭设临时用房，事先要征得招标人代表同意，按招标人划定的区域进行搭设。对施工现场地下的各种管线及周围建筑物需采取有效保护措施，如造成损坏及由此引发的人身安全和事故</w:t>
            </w:r>
            <w:r>
              <w:rPr>
                <w:rFonts w:hint="eastAsia"/>
                <w:color w:val="auto"/>
                <w:highlight w:val="none"/>
                <w:lang w:val="en-US" w:eastAsia="zh-CN"/>
              </w:rPr>
              <w:t>，由</w:t>
            </w:r>
            <w:r>
              <w:rPr>
                <w:rFonts w:hint="default"/>
                <w:color w:val="auto"/>
                <w:highlight w:val="none"/>
                <w:lang w:val="en-US" w:eastAsia="zh-CN"/>
              </w:rPr>
              <w:t>中标人承担一切后果和损失。</w:t>
            </w:r>
          </w:p>
        </w:tc>
      </w:tr>
      <w:tr w14:paraId="491C9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4C42875E">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3.3.1</w:t>
            </w:r>
          </w:p>
        </w:tc>
        <w:tc>
          <w:tcPr>
            <w:tcW w:w="2262" w:type="dxa"/>
            <w:vAlign w:val="center"/>
          </w:tcPr>
          <w:p w14:paraId="1A43F780">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投标有效期</w:t>
            </w:r>
          </w:p>
        </w:tc>
        <w:tc>
          <w:tcPr>
            <w:tcW w:w="5295" w:type="dxa"/>
            <w:vAlign w:val="center"/>
          </w:tcPr>
          <w:p w14:paraId="37F04359">
            <w:pPr>
              <w:keepNext w:val="0"/>
              <w:keepLines w:val="0"/>
              <w:suppressLineNumbers w:val="0"/>
              <w:spacing w:before="0" w:beforeAutospacing="0" w:after="0" w:afterAutospacing="0" w:line="240" w:lineRule="auto"/>
              <w:ind w:left="0" w:right="0"/>
              <w:jc w:val="left"/>
              <w:rPr>
                <w:rFonts w:hint="default"/>
                <w:color w:val="auto"/>
                <w:highlight w:val="none"/>
              </w:rPr>
            </w:pPr>
            <w:r>
              <w:rPr>
                <w:rFonts w:hint="eastAsia"/>
                <w:color w:val="auto"/>
                <w:highlight w:val="none"/>
              </w:rPr>
              <w:t>自投标截止</w:t>
            </w:r>
            <w:r>
              <w:rPr>
                <w:rFonts w:hint="eastAsia"/>
                <w:color w:val="auto"/>
                <w:szCs w:val="21"/>
                <w:highlight w:val="none"/>
              </w:rPr>
              <w:t>之日</w:t>
            </w:r>
            <w:r>
              <w:rPr>
                <w:rFonts w:hint="eastAsia"/>
                <w:color w:val="auto"/>
                <w:highlight w:val="none"/>
              </w:rPr>
              <w:t>起</w:t>
            </w:r>
            <w:r>
              <w:rPr>
                <w:rFonts w:hint="eastAsia"/>
                <w:color w:val="auto"/>
                <w:highlight w:val="none"/>
                <w:u w:val="single"/>
                <w:lang w:eastAsia="zh-CN"/>
              </w:rPr>
              <w:t>90</w:t>
            </w:r>
            <w:r>
              <w:rPr>
                <w:rFonts w:hint="eastAsia"/>
                <w:color w:val="auto"/>
                <w:highlight w:val="none"/>
              </w:rPr>
              <w:t>日内有效</w:t>
            </w:r>
          </w:p>
        </w:tc>
      </w:tr>
      <w:tr w14:paraId="40452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 w:hRule="atLeast"/>
          <w:jc w:val="center"/>
        </w:trPr>
        <w:tc>
          <w:tcPr>
            <w:tcW w:w="857" w:type="dxa"/>
            <w:vAlign w:val="center"/>
          </w:tcPr>
          <w:p w14:paraId="47CD44FB">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3.4.1</w:t>
            </w:r>
          </w:p>
        </w:tc>
        <w:tc>
          <w:tcPr>
            <w:tcW w:w="2262" w:type="dxa"/>
            <w:vAlign w:val="center"/>
          </w:tcPr>
          <w:p w14:paraId="669902BF">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投标保证金</w:t>
            </w:r>
          </w:p>
        </w:tc>
        <w:tc>
          <w:tcPr>
            <w:tcW w:w="5295" w:type="dxa"/>
            <w:vAlign w:val="center"/>
          </w:tcPr>
          <w:p w14:paraId="5DFECDB1">
            <w:pPr>
              <w:keepNext w:val="0"/>
              <w:keepLines w:val="0"/>
              <w:suppressLineNumbers w:val="0"/>
              <w:spacing w:before="0" w:beforeAutospacing="0" w:after="0" w:afterAutospacing="0" w:line="240" w:lineRule="auto"/>
              <w:ind w:left="0" w:right="0"/>
              <w:jc w:val="left"/>
              <w:rPr>
                <w:rFonts w:hint="default"/>
                <w:color w:val="auto"/>
                <w:szCs w:val="21"/>
                <w:highlight w:val="none"/>
              </w:rPr>
            </w:pPr>
            <w:r>
              <w:rPr>
                <w:rFonts w:hint="eastAsia"/>
                <w:color w:val="auto"/>
                <w:szCs w:val="21"/>
                <w:highlight w:val="none"/>
                <w:lang w:eastAsia="zh-CN"/>
              </w:rPr>
              <w:t>☑</w:t>
            </w:r>
            <w:r>
              <w:rPr>
                <w:rFonts w:hint="eastAsia"/>
                <w:color w:val="auto"/>
                <w:szCs w:val="21"/>
                <w:highlight w:val="none"/>
              </w:rPr>
              <w:t>不提交</w:t>
            </w:r>
          </w:p>
          <w:p w14:paraId="234E14EF">
            <w:pPr>
              <w:keepNext w:val="0"/>
              <w:keepLines w:val="0"/>
              <w:suppressLineNumbers w:val="0"/>
              <w:adjustRightInd w:val="0"/>
              <w:snapToGrid w:val="0"/>
              <w:spacing w:before="0" w:beforeAutospacing="0" w:after="0" w:afterAutospacing="0" w:line="240" w:lineRule="auto"/>
              <w:ind w:left="0" w:right="0"/>
              <w:jc w:val="left"/>
              <w:rPr>
                <w:rFonts w:hint="default"/>
                <w:color w:val="auto"/>
                <w:szCs w:val="21"/>
                <w:highlight w:val="none"/>
              </w:rPr>
            </w:pPr>
            <w:r>
              <w:rPr>
                <w:rFonts w:hint="eastAsia"/>
                <w:color w:val="auto"/>
                <w:szCs w:val="21"/>
                <w:highlight w:val="none"/>
                <w:lang w:eastAsia="zh-CN"/>
              </w:rPr>
              <w:t>□</w:t>
            </w:r>
            <w:r>
              <w:rPr>
                <w:rFonts w:hint="eastAsia"/>
                <w:color w:val="auto"/>
                <w:szCs w:val="21"/>
                <w:highlight w:val="none"/>
              </w:rPr>
              <w:t>提交</w:t>
            </w:r>
          </w:p>
          <w:p w14:paraId="15DABA86">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color w:val="auto"/>
                <w:kern w:val="0"/>
                <w:szCs w:val="21"/>
                <w:highlight w:val="none"/>
                <w:lang w:val="en-US" w:eastAsia="zh-CN"/>
              </w:rPr>
            </w:pPr>
            <w:r>
              <w:rPr>
                <w:rFonts w:hint="default" w:ascii="宋体" w:hAnsi="宋体" w:cs="宋体"/>
                <w:color w:val="auto"/>
                <w:kern w:val="0"/>
                <w:szCs w:val="21"/>
                <w:highlight w:val="none"/>
              </w:rPr>
              <w:t>1.递交截止时间（到账时间）：</w:t>
            </w:r>
            <w:r>
              <w:rPr>
                <w:rFonts w:hint="eastAsia" w:ascii="宋体" w:hAnsi="宋体" w:cs="宋体"/>
                <w:b w:val="0"/>
                <w:bCs/>
                <w:color w:val="auto"/>
                <w:kern w:val="0"/>
                <w:szCs w:val="21"/>
                <w:highlight w:val="none"/>
                <w:u w:val="single"/>
                <w:lang w:val="en-US" w:eastAsia="zh-CN"/>
              </w:rPr>
              <w:t xml:space="preserve">     </w:t>
            </w:r>
          </w:p>
          <w:p w14:paraId="5D486791">
            <w:pPr>
              <w:keepNext w:val="0"/>
              <w:keepLines w:val="0"/>
              <w:widowControl/>
              <w:suppressLineNumbers w:val="0"/>
              <w:spacing w:before="0" w:beforeAutospacing="0" w:after="0" w:afterAutospacing="0" w:line="240" w:lineRule="auto"/>
              <w:ind w:left="0" w:right="0"/>
              <w:jc w:val="left"/>
              <w:rPr>
                <w:rFonts w:hint="default" w:ascii="宋体" w:hAnsi="宋体" w:cs="宋体"/>
                <w:color w:val="auto"/>
                <w:kern w:val="0"/>
                <w:szCs w:val="21"/>
                <w:highlight w:val="none"/>
              </w:rPr>
            </w:pPr>
            <w:r>
              <w:rPr>
                <w:rFonts w:hint="default" w:ascii="宋体" w:hAnsi="宋体" w:cs="宋体"/>
                <w:color w:val="auto"/>
                <w:kern w:val="0"/>
                <w:szCs w:val="21"/>
                <w:highlight w:val="none"/>
              </w:rPr>
              <w:t>2.金额：</w:t>
            </w:r>
            <w:r>
              <w:rPr>
                <w:rFonts w:hint="eastAsia" w:ascii="宋体" w:hAnsi="宋体" w:cs="宋体"/>
                <w:b w:val="0"/>
                <w:bCs/>
                <w:color w:val="auto"/>
                <w:kern w:val="0"/>
                <w:szCs w:val="21"/>
                <w:highlight w:val="none"/>
                <w:u w:val="single"/>
                <w:lang w:val="en-US" w:eastAsia="zh-CN"/>
              </w:rPr>
              <w:t xml:space="preserve">     </w:t>
            </w:r>
            <w:r>
              <w:rPr>
                <w:rFonts w:hint="eastAsia" w:ascii="宋体" w:hAnsi="宋体" w:cs="宋体"/>
                <w:color w:val="auto"/>
                <w:kern w:val="0"/>
                <w:szCs w:val="21"/>
                <w:highlight w:val="none"/>
                <w:u w:val="none"/>
                <w:lang w:val="en-US" w:eastAsia="zh-CN"/>
              </w:rPr>
              <w:t>万</w:t>
            </w:r>
            <w:r>
              <w:rPr>
                <w:rFonts w:hint="eastAsia" w:ascii="宋体" w:hAnsi="宋体" w:cs="宋体"/>
                <w:color w:val="auto"/>
                <w:kern w:val="0"/>
                <w:szCs w:val="21"/>
                <w:highlight w:val="none"/>
              </w:rPr>
              <w:t>元。</w:t>
            </w:r>
          </w:p>
          <w:p w14:paraId="27DBDC24">
            <w:pPr>
              <w:keepNext w:val="0"/>
              <w:keepLines w:val="0"/>
              <w:suppressLineNumbers w:val="0"/>
              <w:spacing w:before="0" w:beforeAutospacing="0" w:after="0" w:afterAutospacing="0" w:line="240" w:lineRule="auto"/>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w:t>
            </w:r>
            <w:r>
              <w:rPr>
                <w:rFonts w:hint="default" w:ascii="宋体" w:hAnsi="宋体" w:cs="宋体"/>
                <w:color w:val="auto"/>
                <w:kern w:val="0"/>
                <w:szCs w:val="21"/>
                <w:highlight w:val="none"/>
              </w:rPr>
              <w:t>形式</w:t>
            </w:r>
            <w:r>
              <w:rPr>
                <w:rFonts w:hint="eastAsia" w:ascii="宋体" w:hAnsi="宋体" w:cs="宋体"/>
                <w:color w:val="auto"/>
                <w:kern w:val="0"/>
                <w:szCs w:val="21"/>
                <w:highlight w:val="none"/>
              </w:rPr>
              <w:t>：</w:t>
            </w:r>
            <w:r>
              <w:rPr>
                <w:rFonts w:hint="eastAsia"/>
                <w:color w:val="auto"/>
                <w:highlight w:val="none"/>
                <w:lang w:eastAsia="zh-CN"/>
              </w:rPr>
              <w:t>□现金（指电汇、支票）  □保函（保险）  □其他形式</w:t>
            </w:r>
          </w:p>
          <w:p w14:paraId="2D60B464">
            <w:pPr>
              <w:keepNext w:val="0"/>
              <w:keepLines w:val="0"/>
              <w:widowControl/>
              <w:suppressLineNumbers w:val="0"/>
              <w:spacing w:before="0" w:beforeAutospacing="0" w:after="0" w:afterAutospacing="0" w:line="240" w:lineRule="auto"/>
              <w:ind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4.递交方</w:t>
            </w:r>
            <w:r>
              <w:rPr>
                <w:rFonts w:hint="eastAsia"/>
                <w:color w:val="auto"/>
                <w:highlight w:val="none"/>
              </w:rPr>
              <w:t>式：</w:t>
            </w:r>
          </w:p>
        </w:tc>
      </w:tr>
      <w:tr w14:paraId="5A53B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57" w:type="dxa"/>
            <w:vAlign w:val="center"/>
          </w:tcPr>
          <w:p w14:paraId="752CB089">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3.4.3</w:t>
            </w:r>
          </w:p>
        </w:tc>
        <w:tc>
          <w:tcPr>
            <w:tcW w:w="2262" w:type="dxa"/>
            <w:vAlign w:val="center"/>
          </w:tcPr>
          <w:p w14:paraId="373AD63B">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退还投标保证金</w:t>
            </w:r>
          </w:p>
          <w:p w14:paraId="0128D5DE">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及利息</w:t>
            </w:r>
          </w:p>
        </w:tc>
        <w:tc>
          <w:tcPr>
            <w:tcW w:w="5295" w:type="dxa"/>
            <w:vAlign w:val="center"/>
          </w:tcPr>
          <w:p w14:paraId="22E919DF">
            <w:pPr>
              <w:keepNext w:val="0"/>
              <w:keepLines w:val="0"/>
              <w:suppressLineNumbers w:val="0"/>
              <w:spacing w:before="0" w:beforeAutospacing="0" w:after="0" w:afterAutospacing="0" w:line="240" w:lineRule="auto"/>
              <w:ind w:left="0" w:right="0"/>
              <w:jc w:val="left"/>
              <w:rPr>
                <w:rFonts w:hint="default" w:eastAsia="宋体"/>
                <w:color w:val="auto"/>
                <w:highlight w:val="none"/>
                <w:lang w:val="en-US" w:eastAsia="zh-CN"/>
              </w:rPr>
            </w:pPr>
            <w:r>
              <w:rPr>
                <w:rFonts w:hint="eastAsia"/>
                <w:color w:val="auto"/>
                <w:highlight w:val="none"/>
              </w:rPr>
              <w:t>计息标准：</w:t>
            </w:r>
            <w:r>
              <w:rPr>
                <w:rFonts w:hint="eastAsia"/>
                <w:color w:val="auto"/>
                <w:highlight w:val="none"/>
                <w:u w:val="single"/>
                <w:lang w:val="en-US" w:eastAsia="zh-CN"/>
              </w:rPr>
              <w:t xml:space="preserve"> 本项目不采用 </w:t>
            </w:r>
          </w:p>
          <w:p w14:paraId="5DE121C8">
            <w:pPr>
              <w:keepNext w:val="0"/>
              <w:keepLines w:val="0"/>
              <w:suppressLineNumbers w:val="0"/>
              <w:spacing w:before="0" w:beforeAutospacing="0" w:after="0" w:afterAutospacing="0" w:line="240" w:lineRule="auto"/>
              <w:ind w:left="0" w:right="0"/>
              <w:jc w:val="left"/>
              <w:rPr>
                <w:rFonts w:hint="default" w:eastAsia="宋体"/>
                <w:color w:val="auto"/>
                <w:highlight w:val="none"/>
                <w:lang w:val="en-US" w:eastAsia="zh-CN"/>
              </w:rPr>
            </w:pPr>
            <w:r>
              <w:rPr>
                <w:rFonts w:hint="eastAsia"/>
                <w:color w:val="auto"/>
                <w:highlight w:val="none"/>
              </w:rPr>
              <w:t>计息时间：</w:t>
            </w:r>
            <w:r>
              <w:rPr>
                <w:rFonts w:hint="eastAsia"/>
                <w:color w:val="auto"/>
                <w:highlight w:val="none"/>
                <w:u w:val="single"/>
                <w:lang w:val="en-US" w:eastAsia="zh-CN"/>
              </w:rPr>
              <w:t xml:space="preserve"> 本项目不采用 </w:t>
            </w:r>
          </w:p>
          <w:p w14:paraId="26506148">
            <w:pPr>
              <w:keepNext w:val="0"/>
              <w:keepLines w:val="0"/>
              <w:suppressLineNumbers w:val="0"/>
              <w:spacing w:before="0" w:beforeAutospacing="0" w:after="0" w:afterAutospacing="0" w:line="240" w:lineRule="auto"/>
              <w:ind w:left="1050" w:right="0" w:hanging="1050" w:hangingChars="500"/>
              <w:jc w:val="left"/>
              <w:rPr>
                <w:rFonts w:hint="default" w:eastAsia="宋体"/>
                <w:color w:val="auto"/>
                <w:highlight w:val="none"/>
                <w:lang w:val="en-US" w:eastAsia="zh-CN"/>
              </w:rPr>
            </w:pPr>
            <w:r>
              <w:rPr>
                <w:rFonts w:hint="eastAsia"/>
                <w:color w:val="auto"/>
                <w:highlight w:val="none"/>
              </w:rPr>
              <w:t>退还办法：</w:t>
            </w:r>
            <w:r>
              <w:rPr>
                <w:rFonts w:hint="eastAsia" w:ascii="宋体" w:hAnsi="宋体" w:cs="宋体"/>
                <w:color w:val="auto"/>
                <w:szCs w:val="21"/>
                <w:highlight w:val="none"/>
                <w:u w:val="single"/>
                <w:lang w:val="en-US" w:eastAsia="zh-CN"/>
              </w:rPr>
              <w:t xml:space="preserve"> </w:t>
            </w:r>
            <w:r>
              <w:rPr>
                <w:rFonts w:hint="eastAsia"/>
                <w:color w:val="auto"/>
                <w:highlight w:val="none"/>
                <w:u w:val="single"/>
                <w:lang w:val="en-US" w:eastAsia="zh-CN"/>
              </w:rPr>
              <w:t>本项目不采用</w:t>
            </w:r>
            <w:r>
              <w:rPr>
                <w:rFonts w:hint="eastAsia" w:ascii="宋体" w:hAnsi="宋体" w:cs="宋体"/>
                <w:color w:val="auto"/>
                <w:szCs w:val="21"/>
                <w:highlight w:val="none"/>
                <w:u w:val="single"/>
                <w:lang w:val="en-US" w:eastAsia="zh-CN"/>
              </w:rPr>
              <w:t xml:space="preserve"> </w:t>
            </w:r>
          </w:p>
        </w:tc>
      </w:tr>
      <w:tr w14:paraId="07AC8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5C5E9525">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3</w:t>
            </w:r>
            <w:r>
              <w:rPr>
                <w:rFonts w:hint="default"/>
                <w:color w:val="auto"/>
                <w:highlight w:val="none"/>
              </w:rPr>
              <w:t>.5.2</w:t>
            </w:r>
          </w:p>
        </w:tc>
        <w:tc>
          <w:tcPr>
            <w:tcW w:w="2262" w:type="dxa"/>
            <w:vAlign w:val="center"/>
          </w:tcPr>
          <w:p w14:paraId="19FC216D">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企业近年财务状况的年份要求</w:t>
            </w:r>
          </w:p>
        </w:tc>
        <w:tc>
          <w:tcPr>
            <w:tcW w:w="5295" w:type="dxa"/>
            <w:vAlign w:val="center"/>
          </w:tcPr>
          <w:p w14:paraId="24D4963B">
            <w:pPr>
              <w:keepNext w:val="0"/>
              <w:keepLines w:val="0"/>
              <w:suppressLineNumbers w:val="0"/>
              <w:spacing w:before="0" w:beforeAutospacing="0" w:after="0" w:afterAutospacing="0" w:line="240" w:lineRule="auto"/>
              <w:ind w:left="0" w:right="0"/>
              <w:jc w:val="left"/>
              <w:rPr>
                <w:rFonts w:hint="default"/>
                <w:color w:val="auto"/>
                <w:highlight w:val="none"/>
              </w:rPr>
            </w:pPr>
            <w:r>
              <w:rPr>
                <w:rFonts w:hint="eastAsia"/>
                <w:color w:val="auto"/>
                <w:highlight w:val="none"/>
              </w:rPr>
              <w:t>近</w:t>
            </w:r>
            <w:r>
              <w:rPr>
                <w:rFonts w:hint="eastAsia"/>
                <w:color w:val="auto"/>
                <w:highlight w:val="none"/>
                <w:u w:val="single"/>
                <w:lang w:eastAsia="zh-CN"/>
              </w:rPr>
              <w:t>/</w:t>
            </w:r>
            <w:r>
              <w:rPr>
                <w:rFonts w:hint="eastAsia"/>
                <w:color w:val="auto"/>
                <w:highlight w:val="none"/>
              </w:rPr>
              <w:t>年，指/</w:t>
            </w:r>
          </w:p>
        </w:tc>
      </w:tr>
      <w:tr w14:paraId="79BC4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55711C89">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3.5.</w:t>
            </w:r>
            <w:r>
              <w:rPr>
                <w:rFonts w:hint="default"/>
                <w:color w:val="auto"/>
                <w:highlight w:val="none"/>
              </w:rPr>
              <w:t>3</w:t>
            </w:r>
          </w:p>
        </w:tc>
        <w:tc>
          <w:tcPr>
            <w:tcW w:w="2262" w:type="dxa"/>
            <w:vAlign w:val="center"/>
          </w:tcPr>
          <w:p w14:paraId="26951201">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企业近年已完成的类似项目的年份要求</w:t>
            </w:r>
          </w:p>
        </w:tc>
        <w:tc>
          <w:tcPr>
            <w:tcW w:w="5295" w:type="dxa"/>
            <w:vAlign w:val="center"/>
          </w:tcPr>
          <w:p w14:paraId="3262AC2E">
            <w:pPr>
              <w:keepNext w:val="0"/>
              <w:keepLines w:val="0"/>
              <w:suppressLineNumbers w:val="0"/>
              <w:spacing w:before="0" w:beforeAutospacing="0" w:after="0" w:afterAutospacing="0" w:line="240" w:lineRule="auto"/>
              <w:ind w:left="0" w:right="0"/>
              <w:jc w:val="left"/>
              <w:rPr>
                <w:rFonts w:hint="eastAsia"/>
                <w:color w:val="auto"/>
                <w:highlight w:val="none"/>
              </w:rPr>
            </w:pPr>
            <w:r>
              <w:rPr>
                <w:rFonts w:hint="eastAsia"/>
                <w:color w:val="auto"/>
                <w:highlight w:val="none"/>
              </w:rPr>
              <w:t>近</w:t>
            </w:r>
            <w:r>
              <w:rPr>
                <w:rFonts w:hint="eastAsia"/>
                <w:color w:val="auto"/>
                <w:highlight w:val="none"/>
                <w:u w:val="single"/>
                <w:lang w:eastAsia="zh-CN"/>
              </w:rPr>
              <w:t>/</w:t>
            </w:r>
            <w:r>
              <w:rPr>
                <w:rFonts w:hint="eastAsia"/>
                <w:color w:val="auto"/>
                <w:highlight w:val="none"/>
              </w:rPr>
              <w:t>年，指</w:t>
            </w:r>
            <w:r>
              <w:rPr>
                <w:rFonts w:hint="eastAsia"/>
                <w:color w:val="auto"/>
                <w:highlight w:val="none"/>
                <w:u w:val="single"/>
                <w:lang w:eastAsia="zh-CN"/>
              </w:rPr>
              <w:t>/</w:t>
            </w:r>
          </w:p>
        </w:tc>
      </w:tr>
      <w:tr w14:paraId="0E77A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09C97417">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3.5.</w:t>
            </w:r>
            <w:r>
              <w:rPr>
                <w:rFonts w:hint="default"/>
                <w:color w:val="auto"/>
                <w:highlight w:val="none"/>
              </w:rPr>
              <w:t>5</w:t>
            </w:r>
          </w:p>
        </w:tc>
        <w:tc>
          <w:tcPr>
            <w:tcW w:w="2262" w:type="dxa"/>
            <w:vAlign w:val="center"/>
          </w:tcPr>
          <w:p w14:paraId="4C202F72">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企业近年发生的诉讼及仲裁情况的年份要求</w:t>
            </w:r>
          </w:p>
        </w:tc>
        <w:tc>
          <w:tcPr>
            <w:tcW w:w="5295" w:type="dxa"/>
            <w:vAlign w:val="center"/>
          </w:tcPr>
          <w:p w14:paraId="1C4DBFA5">
            <w:pPr>
              <w:keepNext w:val="0"/>
              <w:keepLines w:val="0"/>
              <w:suppressLineNumbers w:val="0"/>
              <w:spacing w:before="0" w:beforeAutospacing="0" w:after="0" w:afterAutospacing="0" w:line="240" w:lineRule="auto"/>
              <w:ind w:left="0" w:right="0"/>
              <w:jc w:val="both"/>
              <w:rPr>
                <w:rFonts w:hint="eastAsia"/>
                <w:color w:val="auto"/>
                <w:highlight w:val="none"/>
                <w:u w:val="single"/>
              </w:rPr>
            </w:pPr>
            <w:r>
              <w:rPr>
                <w:rFonts w:hint="eastAsia"/>
                <w:color w:val="auto"/>
                <w:highlight w:val="none"/>
              </w:rPr>
              <w:t>近</w:t>
            </w:r>
            <w:r>
              <w:rPr>
                <w:rFonts w:hint="eastAsia"/>
                <w:color w:val="auto"/>
                <w:highlight w:val="none"/>
                <w:u w:val="single"/>
                <w:lang w:eastAsia="zh-CN"/>
              </w:rPr>
              <w:t>/</w:t>
            </w:r>
            <w:r>
              <w:rPr>
                <w:rFonts w:hint="eastAsia"/>
                <w:color w:val="auto"/>
                <w:highlight w:val="none"/>
              </w:rPr>
              <w:t>年，指</w:t>
            </w:r>
            <w:r>
              <w:rPr>
                <w:rFonts w:hint="eastAsia"/>
                <w:color w:val="auto"/>
                <w:highlight w:val="none"/>
                <w:u w:val="single"/>
                <w:lang w:eastAsia="zh-CN"/>
              </w:rPr>
              <w:t>/</w:t>
            </w:r>
          </w:p>
          <w:p w14:paraId="77593E69">
            <w:pPr>
              <w:keepNext w:val="0"/>
              <w:keepLines w:val="0"/>
              <w:suppressLineNumbers w:val="0"/>
              <w:spacing w:before="0" w:beforeAutospacing="0" w:after="0" w:afterAutospacing="0" w:line="240" w:lineRule="auto"/>
              <w:ind w:left="0" w:right="0"/>
              <w:jc w:val="both"/>
              <w:rPr>
                <w:rFonts w:hint="eastAsia"/>
                <w:color w:val="auto"/>
                <w:highlight w:val="none"/>
                <w:u w:val="single"/>
              </w:rPr>
            </w:pPr>
            <w:r>
              <w:rPr>
                <w:rFonts w:hint="eastAsia"/>
                <w:color w:val="auto"/>
                <w:highlight w:val="none"/>
              </w:rPr>
              <w:t>特别说明：近年发生的诉讼和仲裁情况仅限于申请人败诉的，且可能直接影响正常合同履约有关的案件，不包括调解结案、未终审判决的诉讼或未裁决的仲裁以及与合同履约无直接关联案件。投标人应如实填写近年发生的诉讼及仲裁情况，否则视为不响应招标文件实质性要求，其投标文件将被否决。如投标人因故意隐瞒且查证属实存在影响履约的诉讼及仲裁情况，将视为弄虚作假或以不正当手段骗取中标的行为，将依法依规予以处理。时间为判决或仲裁决定时间。</w:t>
            </w:r>
          </w:p>
        </w:tc>
      </w:tr>
      <w:tr w14:paraId="4275D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37D06D4D">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3</w:t>
            </w:r>
            <w:r>
              <w:rPr>
                <w:rFonts w:hint="default"/>
                <w:color w:val="auto"/>
                <w:highlight w:val="none"/>
              </w:rPr>
              <w:t>.5.9</w:t>
            </w:r>
          </w:p>
        </w:tc>
        <w:tc>
          <w:tcPr>
            <w:tcW w:w="2262" w:type="dxa"/>
            <w:vAlign w:val="center"/>
          </w:tcPr>
          <w:p w14:paraId="3E8F9BB6">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项目经理近年已完成的类似项目的年份要求</w:t>
            </w:r>
          </w:p>
        </w:tc>
        <w:tc>
          <w:tcPr>
            <w:tcW w:w="5295" w:type="dxa"/>
            <w:vAlign w:val="center"/>
          </w:tcPr>
          <w:p w14:paraId="1D5E7F23">
            <w:pPr>
              <w:keepNext w:val="0"/>
              <w:keepLines w:val="0"/>
              <w:suppressLineNumbers w:val="0"/>
              <w:spacing w:before="0" w:beforeAutospacing="0" w:after="0" w:afterAutospacing="0" w:line="240" w:lineRule="auto"/>
              <w:ind w:left="0" w:right="0"/>
              <w:jc w:val="left"/>
              <w:rPr>
                <w:rFonts w:hint="eastAsia"/>
                <w:color w:val="auto"/>
                <w:highlight w:val="none"/>
              </w:rPr>
            </w:pPr>
            <w:r>
              <w:rPr>
                <w:rFonts w:hint="eastAsia"/>
                <w:color w:val="auto"/>
                <w:highlight w:val="none"/>
              </w:rPr>
              <w:t>近</w:t>
            </w:r>
            <w:r>
              <w:rPr>
                <w:rFonts w:hint="eastAsia"/>
                <w:color w:val="auto"/>
                <w:highlight w:val="none"/>
                <w:u w:val="single"/>
                <w:lang w:eastAsia="zh-CN"/>
              </w:rPr>
              <w:t>/</w:t>
            </w:r>
            <w:r>
              <w:rPr>
                <w:rFonts w:hint="eastAsia"/>
                <w:color w:val="auto"/>
                <w:highlight w:val="none"/>
              </w:rPr>
              <w:t>年，指</w:t>
            </w:r>
            <w:r>
              <w:rPr>
                <w:rFonts w:hint="eastAsia"/>
                <w:color w:val="auto"/>
                <w:highlight w:val="none"/>
                <w:u w:val="single"/>
                <w:lang w:eastAsia="zh-CN"/>
              </w:rPr>
              <w:t>/</w:t>
            </w:r>
          </w:p>
        </w:tc>
      </w:tr>
      <w:tr w14:paraId="0C6B6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57" w:type="dxa"/>
            <w:vAlign w:val="center"/>
          </w:tcPr>
          <w:p w14:paraId="2B848656">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3.6</w:t>
            </w:r>
          </w:p>
        </w:tc>
        <w:tc>
          <w:tcPr>
            <w:tcW w:w="2262" w:type="dxa"/>
            <w:vAlign w:val="center"/>
          </w:tcPr>
          <w:p w14:paraId="7680721F">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是否允许递交备选投标方案</w:t>
            </w:r>
          </w:p>
        </w:tc>
        <w:tc>
          <w:tcPr>
            <w:tcW w:w="5295" w:type="dxa"/>
            <w:vAlign w:val="center"/>
          </w:tcPr>
          <w:p w14:paraId="3D92FD30">
            <w:pPr>
              <w:keepNext w:val="0"/>
              <w:keepLines w:val="0"/>
              <w:suppressLineNumbers w:val="0"/>
              <w:spacing w:before="0" w:beforeAutospacing="0" w:after="0" w:afterAutospacing="0" w:line="240" w:lineRule="auto"/>
              <w:ind w:left="0" w:right="0"/>
              <w:jc w:val="left"/>
              <w:rPr>
                <w:rFonts w:hint="default"/>
                <w:color w:val="auto"/>
                <w:szCs w:val="21"/>
                <w:highlight w:val="none"/>
              </w:rPr>
            </w:pPr>
            <w:r>
              <w:rPr>
                <w:rFonts w:hint="eastAsia"/>
                <w:color w:val="auto"/>
                <w:szCs w:val="21"/>
                <w:highlight w:val="none"/>
                <w:lang w:eastAsia="zh-CN"/>
              </w:rPr>
              <w:t>☑</w:t>
            </w:r>
            <w:r>
              <w:rPr>
                <w:rFonts w:hint="eastAsia"/>
                <w:color w:val="auto"/>
                <w:szCs w:val="21"/>
                <w:highlight w:val="none"/>
              </w:rPr>
              <w:t>不允许</w:t>
            </w:r>
          </w:p>
          <w:p w14:paraId="50FA67F8">
            <w:pPr>
              <w:keepNext w:val="0"/>
              <w:keepLines w:val="0"/>
              <w:suppressLineNumbers w:val="0"/>
              <w:spacing w:before="0" w:beforeAutospacing="0" w:after="0" w:afterAutospacing="0" w:line="240" w:lineRule="auto"/>
              <w:ind w:left="0" w:right="0"/>
              <w:jc w:val="left"/>
              <w:rPr>
                <w:rFonts w:hint="eastAsia" w:ascii="宋体" w:hAnsi="宋体"/>
                <w:color w:val="auto"/>
                <w:szCs w:val="21"/>
                <w:highlight w:val="none"/>
              </w:rPr>
            </w:pPr>
            <w:r>
              <w:rPr>
                <w:rFonts w:hint="eastAsia" w:ascii="宋体" w:hAnsi="宋体"/>
                <w:color w:val="auto"/>
                <w:szCs w:val="21"/>
                <w:highlight w:val="none"/>
              </w:rPr>
              <w:t>□允许</w:t>
            </w:r>
          </w:p>
          <w:p w14:paraId="668DDF71">
            <w:pPr>
              <w:keepNext w:val="0"/>
              <w:keepLines w:val="0"/>
              <w:suppressLineNumbers w:val="0"/>
              <w:spacing w:before="0" w:beforeAutospacing="0" w:after="0" w:afterAutospacing="0" w:line="240" w:lineRule="auto"/>
              <w:ind w:left="0" w:right="0"/>
              <w:jc w:val="both"/>
              <w:rPr>
                <w:rFonts w:hint="eastAsia" w:ascii="宋体" w:hAnsi="宋体"/>
                <w:color w:val="auto"/>
                <w:szCs w:val="21"/>
                <w:highlight w:val="none"/>
              </w:rPr>
            </w:pPr>
            <w:r>
              <w:rPr>
                <w:rFonts w:hint="default" w:ascii="宋体" w:hAnsi="宋体"/>
                <w:color w:val="auto"/>
                <w:szCs w:val="21"/>
                <w:highlight w:val="none"/>
              </w:rPr>
              <w:t>备选方案递交和审核标准</w:t>
            </w:r>
            <w:r>
              <w:rPr>
                <w:rFonts w:hint="eastAsia" w:ascii="宋体" w:hAnsi="宋体"/>
                <w:color w:val="auto"/>
                <w:szCs w:val="21"/>
                <w:highlight w:val="none"/>
                <w:lang w:val="en-US" w:eastAsia="zh-CN"/>
              </w:rPr>
              <w:t>:</w:t>
            </w:r>
            <w:r>
              <w:rPr>
                <w:rFonts w:hint="eastAsia" w:ascii="宋体" w:hAnsi="宋体"/>
                <w:color w:val="auto"/>
                <w:szCs w:val="21"/>
                <w:highlight w:val="none"/>
                <w:u w:val="single"/>
                <w:lang w:val="en-US" w:eastAsia="zh-CN"/>
              </w:rPr>
              <w:t>/</w:t>
            </w:r>
          </w:p>
        </w:tc>
      </w:tr>
      <w:tr w14:paraId="36F6A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57" w:type="dxa"/>
            <w:vAlign w:val="center"/>
          </w:tcPr>
          <w:p w14:paraId="2E4C0DB3">
            <w:pPr>
              <w:keepNext w:val="0"/>
              <w:keepLines w:val="0"/>
              <w:suppressLineNumbers w:val="0"/>
              <w:spacing w:before="0" w:beforeAutospacing="0" w:after="0" w:afterAutospacing="0" w:line="240" w:lineRule="auto"/>
              <w:ind w:left="0" w:right="0"/>
              <w:jc w:val="center"/>
              <w:rPr>
                <w:rFonts w:hint="eastAsia"/>
                <w:color w:val="auto"/>
                <w:highlight w:val="none"/>
              </w:rPr>
            </w:pPr>
            <w:r>
              <w:rPr>
                <w:rFonts w:hint="eastAsia"/>
                <w:color w:val="auto"/>
                <w:highlight w:val="none"/>
              </w:rPr>
              <w:t>3.7.3</w:t>
            </w:r>
          </w:p>
        </w:tc>
        <w:tc>
          <w:tcPr>
            <w:tcW w:w="2262" w:type="dxa"/>
            <w:vAlign w:val="center"/>
          </w:tcPr>
          <w:p w14:paraId="3A2C09AA">
            <w:pPr>
              <w:keepNext w:val="0"/>
              <w:keepLines w:val="0"/>
              <w:suppressLineNumbers w:val="0"/>
              <w:spacing w:before="0" w:beforeAutospacing="0" w:after="0" w:afterAutospacing="0" w:line="240" w:lineRule="auto"/>
              <w:ind w:left="0" w:right="0"/>
              <w:jc w:val="center"/>
              <w:rPr>
                <w:rFonts w:hint="eastAsia"/>
                <w:color w:val="auto"/>
                <w:highlight w:val="none"/>
              </w:rPr>
            </w:pPr>
            <w:r>
              <w:rPr>
                <w:rFonts w:hint="eastAsia"/>
                <w:color w:val="auto"/>
                <w:highlight w:val="none"/>
              </w:rPr>
              <w:t>应用于评审的佐证或证明材料</w:t>
            </w:r>
          </w:p>
        </w:tc>
        <w:tc>
          <w:tcPr>
            <w:tcW w:w="5295" w:type="dxa"/>
            <w:vAlign w:val="center"/>
          </w:tcPr>
          <w:p w14:paraId="597C2F35">
            <w:pPr>
              <w:keepNext w:val="0"/>
              <w:keepLines w:val="0"/>
              <w:suppressLineNumbers w:val="0"/>
              <w:spacing w:before="0" w:beforeAutospacing="0" w:after="0" w:afterAutospacing="0" w:line="240" w:lineRule="auto"/>
              <w:ind w:left="0" w:right="0"/>
              <w:jc w:val="left"/>
              <w:rPr>
                <w:rFonts w:hint="default" w:ascii="Segoe UI Symbol" w:hAnsi="Segoe UI Symbol" w:cs="Segoe UI Symbol"/>
                <w:color w:val="auto"/>
                <w:highlight w:val="none"/>
              </w:rPr>
            </w:pPr>
            <w:r>
              <w:rPr>
                <w:rFonts w:hint="eastAsia"/>
                <w:color w:val="auto"/>
                <w:highlight w:val="none"/>
              </w:rPr>
              <w:t>应用数字证照评审的节点和材料内容：</w:t>
            </w:r>
          </w:p>
          <w:p w14:paraId="0F4A09E1">
            <w:pPr>
              <w:keepNext w:val="0"/>
              <w:keepLines w:val="0"/>
              <w:suppressLineNumbers w:val="0"/>
              <w:spacing w:before="0" w:beforeAutospacing="0" w:after="0" w:afterAutospacing="0" w:line="240" w:lineRule="auto"/>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☑营业执照       ☑资质等级证书    ☑资格许可证书</w:t>
            </w:r>
          </w:p>
          <w:p w14:paraId="1039827F">
            <w:pPr>
              <w:keepNext w:val="0"/>
              <w:keepLines w:val="0"/>
              <w:suppressLineNumbers w:val="0"/>
              <w:spacing w:before="0" w:beforeAutospacing="0" w:after="0" w:afterAutospacing="0" w:line="240" w:lineRule="auto"/>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☑安全生产许可证        ☑存款账户证明</w:t>
            </w:r>
          </w:p>
          <w:p w14:paraId="2F8B7736">
            <w:pPr>
              <w:keepNext w:val="0"/>
              <w:keepLines w:val="0"/>
              <w:suppressLineNumbers w:val="0"/>
              <w:spacing w:before="0" w:beforeAutospacing="0" w:after="0" w:afterAutospacing="0" w:line="240" w:lineRule="auto"/>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☑财务审计报告       ☑管理体系认证证书</w:t>
            </w:r>
          </w:p>
          <w:p w14:paraId="60016A34">
            <w:pPr>
              <w:keepNext w:val="0"/>
              <w:keepLines w:val="0"/>
              <w:suppressLineNumbers w:val="0"/>
              <w:spacing w:before="0" w:beforeAutospacing="0" w:after="0" w:afterAutospacing="0" w:line="240" w:lineRule="auto"/>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 xml:space="preserve">☑企业业绩           ☑人员业绩  </w:t>
            </w:r>
          </w:p>
          <w:p w14:paraId="1BB637C9">
            <w:pPr>
              <w:keepNext w:val="0"/>
              <w:keepLines w:val="0"/>
              <w:suppressLineNumbers w:val="0"/>
              <w:spacing w:before="0" w:beforeAutospacing="0" w:after="0" w:afterAutospacing="0" w:line="240" w:lineRule="auto"/>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☑工程获奖           ☑荣誉表彰（企业、个人）</w:t>
            </w:r>
          </w:p>
          <w:p w14:paraId="3CDC8A63">
            <w:pPr>
              <w:keepNext w:val="0"/>
              <w:keepLines w:val="0"/>
              <w:suppressLineNumbers w:val="0"/>
              <w:spacing w:before="0" w:beforeAutospacing="0" w:after="0" w:afterAutospacing="0" w:line="240" w:lineRule="auto"/>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☑注册执业人员证书   ☑专业技术职称证书</w:t>
            </w:r>
          </w:p>
          <w:p w14:paraId="7F29515E">
            <w:pPr>
              <w:keepNext w:val="0"/>
              <w:keepLines w:val="0"/>
              <w:suppressLineNumbers w:val="0"/>
              <w:spacing w:before="0" w:beforeAutospacing="0" w:after="0" w:afterAutospacing="0" w:line="240" w:lineRule="auto"/>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☑特种作业资格证书   ☑安全生产考核合格证</w:t>
            </w:r>
          </w:p>
          <w:p w14:paraId="710BDF7F">
            <w:pPr>
              <w:keepNext w:val="0"/>
              <w:keepLines w:val="0"/>
              <w:suppressLineNumbers w:val="0"/>
              <w:spacing w:before="0" w:beforeAutospacing="0" w:after="0" w:afterAutospacing="0" w:line="240" w:lineRule="auto"/>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☑施工现场专业人员职业培训合格证</w:t>
            </w:r>
          </w:p>
          <w:p w14:paraId="55A505DC">
            <w:pPr>
              <w:keepNext w:val="0"/>
              <w:keepLines w:val="0"/>
              <w:suppressLineNumbers w:val="0"/>
              <w:spacing w:before="0" w:beforeAutospacing="0" w:after="0" w:afterAutospacing="0" w:line="240" w:lineRule="auto"/>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☑职工社会保险参保证明</w:t>
            </w:r>
          </w:p>
          <w:p w14:paraId="785B9B76">
            <w:pPr>
              <w:keepNext w:val="0"/>
              <w:keepLines w:val="0"/>
              <w:suppressLineNumbers w:val="0"/>
              <w:spacing w:before="0" w:beforeAutospacing="0" w:after="0" w:afterAutospacing="0" w:line="240" w:lineRule="auto"/>
              <w:ind w:left="0" w:right="0"/>
              <w:jc w:val="left"/>
              <w:rPr>
                <w:rFonts w:hint="default"/>
                <w:color w:val="auto"/>
                <w:highlight w:val="none"/>
              </w:rPr>
            </w:pPr>
            <w:r>
              <w:rPr>
                <w:rFonts w:hint="eastAsia"/>
                <w:color w:val="auto"/>
                <w:highlight w:val="none"/>
              </w:rPr>
              <w:t>特别说明：1.通过企业主体信息库生成的数字证照信息，投标人应当自行校核和确认数字证照数据信息内容，一般应当对投标文件中已生成的数字证照进行电子签名，否则视为已确认和认可数据信息内容。</w:t>
            </w:r>
          </w:p>
          <w:p w14:paraId="41B8B4E9">
            <w:pPr>
              <w:keepNext w:val="0"/>
              <w:keepLines w:val="0"/>
              <w:suppressLineNumbers w:val="0"/>
              <w:spacing w:before="0" w:beforeAutospacing="0" w:after="0" w:afterAutospacing="0" w:line="240" w:lineRule="auto"/>
              <w:ind w:left="0" w:right="0"/>
              <w:jc w:val="left"/>
              <w:rPr>
                <w:rFonts w:hint="eastAsia" w:ascii="宋体" w:hAnsi="宋体"/>
                <w:color w:val="auto"/>
                <w:highlight w:val="none"/>
              </w:rPr>
            </w:pPr>
            <w:r>
              <w:rPr>
                <w:rFonts w:hint="eastAsia"/>
                <w:color w:val="auto"/>
                <w:highlight w:val="none"/>
              </w:rPr>
              <w:t>2.投标人制作投标文件时按上述实际明确的材料生成数字证照应用于项目评审，否则相关证明佐证材料以企业主体信息库获取的材料影印件应用于项目评审，投标人对数字证照和材料影印件内容的准确性、完整性和真实性负责。</w:t>
            </w:r>
          </w:p>
        </w:tc>
      </w:tr>
      <w:tr w14:paraId="58D6E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110B19D4">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3.7.4</w:t>
            </w:r>
          </w:p>
        </w:tc>
        <w:tc>
          <w:tcPr>
            <w:tcW w:w="2262" w:type="dxa"/>
            <w:vAlign w:val="center"/>
          </w:tcPr>
          <w:p w14:paraId="6BEB5DFB">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szCs w:val="21"/>
                <w:highlight w:val="none"/>
                <w:lang w:val="en-US" w:eastAsia="zh-CN"/>
              </w:rPr>
              <w:t>技术标</w:t>
            </w:r>
            <w:r>
              <w:rPr>
                <w:rFonts w:hint="eastAsia"/>
                <w:color w:val="auto"/>
                <w:szCs w:val="21"/>
                <w:highlight w:val="none"/>
              </w:rPr>
              <w:t>是否采用暗标</w:t>
            </w:r>
          </w:p>
        </w:tc>
        <w:tc>
          <w:tcPr>
            <w:tcW w:w="5295" w:type="dxa"/>
            <w:vAlign w:val="center"/>
          </w:tcPr>
          <w:p w14:paraId="74C2BD29">
            <w:pPr>
              <w:keepNext w:val="0"/>
              <w:keepLines w:val="0"/>
              <w:suppressLineNumbers w:val="0"/>
              <w:spacing w:before="0" w:beforeAutospacing="0" w:after="0" w:afterAutospacing="0" w:line="240" w:lineRule="auto"/>
              <w:ind w:left="0" w:right="0"/>
              <w:jc w:val="left"/>
              <w:rPr>
                <w:rFonts w:hint="default" w:ascii="宋体" w:hAnsi="宋体"/>
                <w:color w:val="auto"/>
                <w:szCs w:val="21"/>
                <w:highlight w:val="none"/>
              </w:rPr>
            </w:pPr>
            <w:r>
              <w:rPr>
                <w:rFonts w:hint="eastAsia"/>
                <w:color w:val="auto"/>
                <w:szCs w:val="21"/>
                <w:highlight w:val="none"/>
              </w:rPr>
              <w:t>采用模块化暗标评审</w:t>
            </w:r>
          </w:p>
        </w:tc>
      </w:tr>
      <w:tr w14:paraId="191A7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7" w:type="dxa"/>
            <w:vAlign w:val="center"/>
          </w:tcPr>
          <w:p w14:paraId="45BC5B95">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4.2.1</w:t>
            </w:r>
          </w:p>
        </w:tc>
        <w:tc>
          <w:tcPr>
            <w:tcW w:w="2262" w:type="dxa"/>
            <w:vAlign w:val="center"/>
          </w:tcPr>
          <w:p w14:paraId="37B01110">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投标截止时间</w:t>
            </w:r>
          </w:p>
        </w:tc>
        <w:tc>
          <w:tcPr>
            <w:tcW w:w="5295" w:type="dxa"/>
            <w:vAlign w:val="center"/>
          </w:tcPr>
          <w:p w14:paraId="47A7DEF1">
            <w:pPr>
              <w:keepNext w:val="0"/>
              <w:keepLines w:val="0"/>
              <w:suppressLineNumbers w:val="0"/>
              <w:spacing w:before="0" w:beforeAutospacing="0" w:after="0" w:afterAutospacing="0" w:line="240" w:lineRule="auto"/>
              <w:ind w:left="0" w:right="0"/>
              <w:jc w:val="left"/>
              <w:rPr>
                <w:rFonts w:hint="default"/>
                <w:color w:val="auto"/>
                <w:highlight w:val="none"/>
              </w:rPr>
            </w:pPr>
            <w:r>
              <w:rPr>
                <w:rFonts w:hint="eastAsia"/>
                <w:color w:val="auto"/>
                <w:highlight w:val="none"/>
                <w:u w:val="single"/>
                <w:lang w:eastAsia="zh-CN"/>
              </w:rPr>
              <w:t>2026年</w:t>
            </w:r>
            <w:r>
              <w:rPr>
                <w:rFonts w:hint="eastAsia"/>
                <w:color w:val="auto"/>
                <w:highlight w:val="none"/>
                <w:u w:val="single"/>
                <w:lang w:val="en-US" w:eastAsia="zh-CN"/>
              </w:rPr>
              <w:t xml:space="preserve">  </w:t>
            </w:r>
            <w:r>
              <w:rPr>
                <w:rFonts w:hint="eastAsia"/>
                <w:color w:val="auto"/>
                <w:highlight w:val="none"/>
                <w:u w:val="single"/>
                <w:lang w:eastAsia="zh-CN"/>
              </w:rPr>
              <w:t>月</w:t>
            </w:r>
            <w:r>
              <w:rPr>
                <w:rFonts w:hint="eastAsia"/>
                <w:color w:val="auto"/>
                <w:highlight w:val="none"/>
                <w:u w:val="single"/>
                <w:lang w:val="en-US" w:eastAsia="zh-CN"/>
              </w:rPr>
              <w:t xml:space="preserve">  </w:t>
            </w:r>
            <w:r>
              <w:rPr>
                <w:rFonts w:hint="eastAsia"/>
                <w:color w:val="auto"/>
                <w:highlight w:val="none"/>
                <w:u w:val="single"/>
                <w:lang w:eastAsia="zh-CN"/>
              </w:rPr>
              <w:t>日09时00分</w:t>
            </w:r>
          </w:p>
        </w:tc>
      </w:tr>
      <w:tr w14:paraId="7CA80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857" w:type="dxa"/>
            <w:vAlign w:val="center"/>
          </w:tcPr>
          <w:p w14:paraId="43CAE799">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4.2.3</w:t>
            </w:r>
          </w:p>
        </w:tc>
        <w:tc>
          <w:tcPr>
            <w:tcW w:w="2262" w:type="dxa"/>
            <w:vAlign w:val="center"/>
          </w:tcPr>
          <w:p w14:paraId="117F2E9D">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是否退还投标文件</w:t>
            </w:r>
          </w:p>
        </w:tc>
        <w:tc>
          <w:tcPr>
            <w:tcW w:w="5295" w:type="dxa"/>
            <w:vAlign w:val="center"/>
          </w:tcPr>
          <w:p w14:paraId="5186645E">
            <w:pPr>
              <w:keepNext w:val="0"/>
              <w:keepLines w:val="0"/>
              <w:suppressLineNumbers w:val="0"/>
              <w:spacing w:before="0" w:beforeAutospacing="0" w:after="0" w:afterAutospacing="0" w:line="240" w:lineRule="auto"/>
              <w:ind w:left="0" w:right="0"/>
              <w:jc w:val="left"/>
              <w:rPr>
                <w:rFonts w:hint="default"/>
                <w:color w:val="auto"/>
                <w:highlight w:val="none"/>
              </w:rPr>
            </w:pPr>
            <w:r>
              <w:rPr>
                <w:rFonts w:hint="eastAsia"/>
                <w:color w:val="auto"/>
                <w:highlight w:val="none"/>
                <w:lang w:eastAsia="zh-CN"/>
              </w:rPr>
              <w:t>☑</w:t>
            </w:r>
            <w:r>
              <w:rPr>
                <w:rFonts w:hint="eastAsia"/>
                <w:color w:val="auto"/>
                <w:highlight w:val="none"/>
              </w:rPr>
              <w:t>否</w:t>
            </w:r>
          </w:p>
          <w:p w14:paraId="7A3C3ADF">
            <w:pPr>
              <w:keepNext w:val="0"/>
              <w:keepLines w:val="0"/>
              <w:suppressLineNumbers w:val="0"/>
              <w:spacing w:before="0" w:beforeAutospacing="0" w:after="0" w:afterAutospacing="0" w:line="240" w:lineRule="auto"/>
              <w:ind w:left="0" w:right="0"/>
              <w:jc w:val="left"/>
              <w:rPr>
                <w:rFonts w:hint="eastAsia"/>
                <w:color w:val="auto"/>
                <w:highlight w:val="none"/>
                <w:u w:val="single"/>
              </w:rPr>
            </w:pPr>
            <w:r>
              <w:rPr>
                <w:rFonts w:hint="eastAsia"/>
                <w:color w:val="auto"/>
                <w:highlight w:val="none"/>
              </w:rPr>
              <w:t>□是，退还具体安排：</w:t>
            </w:r>
            <w:r>
              <w:rPr>
                <w:rFonts w:hint="eastAsia"/>
                <w:color w:val="auto"/>
                <w:highlight w:val="none"/>
                <w:lang w:eastAsia="zh-CN"/>
              </w:rPr>
              <w:t>/</w:t>
            </w:r>
          </w:p>
        </w:tc>
      </w:tr>
      <w:tr w14:paraId="01BF5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57" w:type="dxa"/>
            <w:vAlign w:val="center"/>
          </w:tcPr>
          <w:p w14:paraId="5F0C1F17">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5</w:t>
            </w:r>
            <w:r>
              <w:rPr>
                <w:rFonts w:hint="default"/>
                <w:color w:val="auto"/>
                <w:highlight w:val="none"/>
              </w:rPr>
              <w:t>.1.1</w:t>
            </w:r>
          </w:p>
        </w:tc>
        <w:tc>
          <w:tcPr>
            <w:tcW w:w="2262" w:type="dxa"/>
            <w:vAlign w:val="center"/>
          </w:tcPr>
          <w:p w14:paraId="28D539F3">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开标组织方式</w:t>
            </w:r>
          </w:p>
        </w:tc>
        <w:tc>
          <w:tcPr>
            <w:tcW w:w="5295" w:type="dxa"/>
            <w:vAlign w:val="center"/>
          </w:tcPr>
          <w:p w14:paraId="3FC43856">
            <w:pPr>
              <w:keepNext w:val="0"/>
              <w:keepLines w:val="0"/>
              <w:suppressLineNumbers w:val="0"/>
              <w:spacing w:before="0" w:beforeAutospacing="0" w:after="0" w:afterAutospacing="0" w:line="240" w:lineRule="auto"/>
              <w:ind w:left="0" w:right="0"/>
              <w:jc w:val="left"/>
              <w:rPr>
                <w:rFonts w:hint="default"/>
                <w:color w:val="auto"/>
                <w:highlight w:val="none"/>
              </w:rPr>
            </w:pPr>
            <w:r>
              <w:rPr>
                <w:rFonts w:hint="eastAsia"/>
                <w:color w:val="auto"/>
                <w:highlight w:val="none"/>
                <w:lang w:eastAsia="zh-CN"/>
              </w:rPr>
              <w:t>□</w:t>
            </w:r>
            <w:r>
              <w:rPr>
                <w:rFonts w:hint="eastAsia"/>
                <w:color w:val="auto"/>
                <w:highlight w:val="none"/>
              </w:rPr>
              <w:t>现场集中开标</w:t>
            </w:r>
          </w:p>
          <w:p w14:paraId="12F3782A">
            <w:pPr>
              <w:keepNext w:val="0"/>
              <w:keepLines w:val="0"/>
              <w:suppressLineNumbers w:val="0"/>
              <w:spacing w:before="0" w:beforeAutospacing="0" w:after="0" w:afterAutospacing="0" w:line="240" w:lineRule="auto"/>
              <w:ind w:left="0" w:right="0"/>
              <w:jc w:val="left"/>
              <w:rPr>
                <w:rFonts w:hint="default"/>
                <w:color w:val="auto"/>
                <w:highlight w:val="none"/>
              </w:rPr>
            </w:pPr>
            <w:bookmarkStart w:id="14" w:name="_Hlk154408936"/>
            <w:r>
              <w:rPr>
                <w:rFonts w:hint="eastAsia"/>
                <w:color w:val="auto"/>
                <w:highlight w:val="none"/>
              </w:rPr>
              <w:t>☑远程不见面开标</w:t>
            </w:r>
            <w:bookmarkEnd w:id="14"/>
          </w:p>
          <w:p w14:paraId="72611388">
            <w:pPr>
              <w:keepNext w:val="0"/>
              <w:keepLines w:val="0"/>
              <w:suppressLineNumbers w:val="0"/>
              <w:spacing w:before="0" w:beforeAutospacing="0" w:after="0" w:afterAutospacing="0" w:line="240" w:lineRule="auto"/>
              <w:ind w:left="0" w:right="0"/>
              <w:jc w:val="left"/>
              <w:rPr>
                <w:rFonts w:hint="eastAsia"/>
                <w:color w:val="auto"/>
                <w:highlight w:val="none"/>
              </w:rPr>
            </w:pPr>
            <w:bookmarkStart w:id="15" w:name="_Hlk154408948"/>
            <w:r>
              <w:rPr>
                <w:rFonts w:hint="eastAsia"/>
                <w:color w:val="auto"/>
                <w:highlight w:val="none"/>
              </w:rPr>
              <w:t>□现场集中和远程不见面开标同时进行</w:t>
            </w:r>
            <w:bookmarkEnd w:id="15"/>
            <w:r>
              <w:rPr>
                <w:rFonts w:hint="eastAsia"/>
                <w:color w:val="auto"/>
                <w:highlight w:val="none"/>
              </w:rPr>
              <w:t>。投标人自行选择参与开标的方式。</w:t>
            </w:r>
          </w:p>
          <w:p w14:paraId="1913D923">
            <w:pPr>
              <w:keepNext w:val="0"/>
              <w:keepLines w:val="0"/>
              <w:suppressLineNumbers w:val="0"/>
              <w:spacing w:before="0" w:beforeAutospacing="0" w:after="0" w:afterAutospacing="0" w:line="240" w:lineRule="auto"/>
              <w:ind w:left="0" w:right="0"/>
              <w:jc w:val="left"/>
              <w:rPr>
                <w:rFonts w:hint="eastAsia"/>
                <w:color w:val="auto"/>
                <w:highlight w:val="none"/>
              </w:rPr>
            </w:pPr>
            <w:r>
              <w:rPr>
                <w:rFonts w:hint="eastAsia"/>
                <w:color w:val="auto"/>
                <w:highlight w:val="none"/>
              </w:rPr>
              <w:t>开标系统：</w:t>
            </w:r>
            <w:r>
              <w:rPr>
                <w:rFonts w:hint="eastAsia"/>
                <w:bCs/>
                <w:color w:val="auto"/>
                <w:highlight w:val="none"/>
                <w:u w:val="single"/>
              </w:rPr>
              <w:t>辽宁省工程建设项目数字化开标评标系统（https://dts.lnzb.com:8888/zjt-bid/）。</w:t>
            </w:r>
          </w:p>
        </w:tc>
      </w:tr>
      <w:tr w14:paraId="55465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57" w:type="dxa"/>
            <w:vAlign w:val="center"/>
          </w:tcPr>
          <w:p w14:paraId="1E1318D6">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default"/>
                <w:color w:val="auto"/>
                <w:highlight w:val="none"/>
              </w:rPr>
              <w:t>5.1.</w:t>
            </w:r>
            <w:r>
              <w:rPr>
                <w:rFonts w:hint="eastAsia"/>
                <w:color w:val="auto"/>
                <w:highlight w:val="none"/>
              </w:rPr>
              <w:t>2</w:t>
            </w:r>
          </w:p>
        </w:tc>
        <w:tc>
          <w:tcPr>
            <w:tcW w:w="2262" w:type="dxa"/>
            <w:vAlign w:val="center"/>
          </w:tcPr>
          <w:p w14:paraId="026A331F">
            <w:pPr>
              <w:keepNext w:val="0"/>
              <w:keepLines w:val="0"/>
              <w:suppressLineNumbers w:val="0"/>
              <w:spacing w:before="0" w:beforeAutospacing="0" w:after="0" w:afterAutospacing="0" w:line="240" w:lineRule="auto"/>
              <w:ind w:left="0" w:right="0"/>
              <w:jc w:val="center"/>
              <w:rPr>
                <w:rFonts w:hint="default"/>
                <w:color w:val="auto"/>
                <w:highlight w:val="none"/>
                <w:bdr w:val="single" w:color="auto" w:sz="4" w:space="0"/>
              </w:rPr>
            </w:pPr>
            <w:r>
              <w:rPr>
                <w:rFonts w:hint="eastAsia"/>
                <w:color w:val="auto"/>
                <w:highlight w:val="none"/>
              </w:rPr>
              <w:t>开标地点</w:t>
            </w:r>
          </w:p>
        </w:tc>
        <w:tc>
          <w:tcPr>
            <w:tcW w:w="5295" w:type="dxa"/>
            <w:vAlign w:val="center"/>
          </w:tcPr>
          <w:p w14:paraId="7AF58FEA">
            <w:pPr>
              <w:keepNext w:val="0"/>
              <w:keepLines w:val="0"/>
              <w:suppressLineNumbers w:val="0"/>
              <w:spacing w:before="0" w:beforeAutospacing="0" w:after="0" w:afterAutospacing="0" w:line="240" w:lineRule="auto"/>
              <w:ind w:left="0" w:right="0"/>
              <w:jc w:val="left"/>
              <w:rPr>
                <w:rFonts w:hint="eastAsia"/>
                <w:color w:val="auto"/>
                <w:highlight w:val="none"/>
                <w:bdr w:val="single" w:color="auto" w:sz="4" w:space="0"/>
              </w:rPr>
            </w:pPr>
            <w:r>
              <w:rPr>
                <w:rFonts w:hint="eastAsia"/>
                <w:color w:val="auto"/>
                <w:highlight w:val="none"/>
                <w:lang w:eastAsia="zh-CN"/>
              </w:rPr>
              <w:t>辽宁省工程建设项目数字化开标评标系统（https://dts.lnzb.com:8888/zjt-bid/)</w:t>
            </w:r>
          </w:p>
        </w:tc>
      </w:tr>
      <w:tr w14:paraId="71782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857" w:type="dxa"/>
            <w:vAlign w:val="center"/>
          </w:tcPr>
          <w:p w14:paraId="6ED7D8F5">
            <w:pPr>
              <w:keepNext w:val="0"/>
              <w:keepLines w:val="0"/>
              <w:suppressLineNumbers w:val="0"/>
              <w:spacing w:before="0" w:beforeAutospacing="0" w:after="0" w:afterAutospacing="0" w:line="240" w:lineRule="auto"/>
              <w:ind w:left="0" w:right="0"/>
              <w:jc w:val="center"/>
              <w:rPr>
                <w:rFonts w:hint="default" w:ascii="宋体" w:hAnsi="宋体"/>
                <w:color w:val="auto"/>
                <w:szCs w:val="21"/>
                <w:highlight w:val="none"/>
              </w:rPr>
            </w:pPr>
            <w:r>
              <w:rPr>
                <w:rFonts w:hint="eastAsia"/>
                <w:color w:val="auto"/>
                <w:highlight w:val="none"/>
              </w:rPr>
              <w:t>5.2.1</w:t>
            </w:r>
            <w:r>
              <w:rPr>
                <w:rFonts w:hint="eastAsia"/>
                <w:color w:val="auto"/>
                <w:highlight w:val="none"/>
                <w:lang w:eastAsia="zh-CN"/>
              </w:rPr>
              <w:t>(</w:t>
            </w:r>
            <w:r>
              <w:rPr>
                <w:rFonts w:hint="eastAsia"/>
                <w:color w:val="auto"/>
                <w:highlight w:val="none"/>
              </w:rPr>
              <w:t>5</w:t>
            </w:r>
            <w:r>
              <w:rPr>
                <w:rFonts w:hint="eastAsia"/>
                <w:color w:val="auto"/>
                <w:highlight w:val="none"/>
                <w:lang w:eastAsia="zh-CN"/>
              </w:rPr>
              <w:t>)</w:t>
            </w:r>
          </w:p>
        </w:tc>
        <w:tc>
          <w:tcPr>
            <w:tcW w:w="2262" w:type="dxa"/>
            <w:vAlign w:val="center"/>
          </w:tcPr>
          <w:p w14:paraId="1B3705AA">
            <w:pPr>
              <w:keepNext w:val="0"/>
              <w:keepLines w:val="0"/>
              <w:suppressLineNumbers w:val="0"/>
              <w:spacing w:before="0" w:beforeAutospacing="0" w:after="0" w:afterAutospacing="0" w:line="240" w:lineRule="auto"/>
              <w:ind w:left="0" w:right="0"/>
              <w:jc w:val="center"/>
              <w:rPr>
                <w:rFonts w:hint="default" w:ascii="宋体" w:hAnsi="宋体"/>
                <w:color w:val="auto"/>
                <w:szCs w:val="21"/>
                <w:highlight w:val="none"/>
              </w:rPr>
            </w:pPr>
            <w:r>
              <w:rPr>
                <w:rFonts w:hint="eastAsia" w:ascii="宋体" w:hAnsi="宋体"/>
                <w:color w:val="auto"/>
                <w:szCs w:val="21"/>
                <w:highlight w:val="none"/>
              </w:rPr>
              <w:t>解密时间</w:t>
            </w:r>
          </w:p>
        </w:tc>
        <w:tc>
          <w:tcPr>
            <w:tcW w:w="5295" w:type="dxa"/>
            <w:vAlign w:val="center"/>
          </w:tcPr>
          <w:p w14:paraId="7B1A82E3">
            <w:pPr>
              <w:keepNext w:val="0"/>
              <w:keepLines w:val="0"/>
              <w:suppressLineNumbers w:val="0"/>
              <w:spacing w:before="0" w:beforeAutospacing="0" w:after="0" w:afterAutospacing="0" w:line="240" w:lineRule="auto"/>
              <w:ind w:left="0" w:right="0"/>
              <w:jc w:val="left"/>
              <w:rPr>
                <w:rFonts w:hint="default" w:ascii="宋体" w:hAnsi="宋体"/>
                <w:color w:val="auto"/>
                <w:szCs w:val="21"/>
                <w:highlight w:val="none"/>
              </w:rPr>
            </w:pPr>
            <w:r>
              <w:rPr>
                <w:rFonts w:hint="eastAsia" w:ascii="宋体" w:hAnsi="宋体"/>
                <w:color w:val="auto"/>
                <w:szCs w:val="21"/>
                <w:highlight w:val="none"/>
              </w:rPr>
              <w:t>招标人发出解密提示后</w:t>
            </w:r>
            <w:r>
              <w:rPr>
                <w:rFonts w:hint="eastAsia" w:ascii="宋体" w:hAnsi="宋体"/>
                <w:color w:val="auto"/>
                <w:szCs w:val="21"/>
                <w:highlight w:val="none"/>
                <w:u w:val="single"/>
              </w:rPr>
              <w:t>30</w:t>
            </w:r>
            <w:r>
              <w:rPr>
                <w:rFonts w:hint="eastAsia" w:ascii="宋体" w:hAnsi="宋体"/>
                <w:color w:val="auto"/>
                <w:szCs w:val="21"/>
                <w:highlight w:val="none"/>
              </w:rPr>
              <w:t>分钟内。如遇到投标人较多或其他特殊情况在规定时间内无法完成解密的，可报项目行政监督部门适当延长解密时间。</w:t>
            </w:r>
          </w:p>
        </w:tc>
      </w:tr>
      <w:tr w14:paraId="702E5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857" w:type="dxa"/>
            <w:vAlign w:val="center"/>
          </w:tcPr>
          <w:p w14:paraId="68EB1357">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6.1.1</w:t>
            </w:r>
          </w:p>
        </w:tc>
        <w:tc>
          <w:tcPr>
            <w:tcW w:w="2262" w:type="dxa"/>
            <w:vAlign w:val="center"/>
          </w:tcPr>
          <w:p w14:paraId="40C28988">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评标委员会的组建</w:t>
            </w:r>
          </w:p>
        </w:tc>
        <w:tc>
          <w:tcPr>
            <w:tcW w:w="5295" w:type="dxa"/>
            <w:vAlign w:val="center"/>
          </w:tcPr>
          <w:p w14:paraId="10DD7B4D">
            <w:pPr>
              <w:keepNext w:val="0"/>
              <w:keepLines w:val="0"/>
              <w:suppressLineNumbers w:val="0"/>
              <w:spacing w:before="0" w:beforeAutospacing="0" w:after="0" w:afterAutospacing="0" w:line="240" w:lineRule="auto"/>
              <w:ind w:left="0" w:right="0"/>
              <w:jc w:val="left"/>
              <w:rPr>
                <w:rFonts w:hint="default"/>
                <w:color w:val="auto"/>
                <w:highlight w:val="none"/>
              </w:rPr>
            </w:pPr>
            <w:r>
              <w:rPr>
                <w:rFonts w:hint="eastAsia"/>
                <w:color w:val="auto"/>
                <w:highlight w:val="none"/>
              </w:rPr>
              <w:t>评标委员会构成：</w:t>
            </w:r>
            <w:r>
              <w:rPr>
                <w:rFonts w:hint="eastAsia"/>
                <w:color w:val="auto"/>
                <w:highlight w:val="none"/>
                <w:u w:val="single"/>
                <w:lang w:eastAsia="zh-CN"/>
              </w:rPr>
              <w:t>5</w:t>
            </w:r>
            <w:r>
              <w:rPr>
                <w:rFonts w:hint="eastAsia"/>
                <w:color w:val="auto"/>
                <w:highlight w:val="none"/>
              </w:rPr>
              <w:t>人，其中招标人代表</w:t>
            </w:r>
            <w:r>
              <w:rPr>
                <w:rFonts w:hint="eastAsia"/>
                <w:color w:val="auto"/>
                <w:highlight w:val="none"/>
                <w:u w:val="single"/>
                <w:lang w:eastAsia="zh-CN"/>
              </w:rPr>
              <w:t>1</w:t>
            </w:r>
            <w:r>
              <w:rPr>
                <w:rFonts w:hint="eastAsia"/>
                <w:color w:val="auto"/>
                <w:highlight w:val="none"/>
              </w:rPr>
              <w:t>人，专家</w:t>
            </w:r>
            <w:r>
              <w:rPr>
                <w:rFonts w:hint="eastAsia"/>
                <w:color w:val="auto"/>
                <w:highlight w:val="none"/>
                <w:u w:val="single"/>
                <w:lang w:eastAsia="zh-CN"/>
              </w:rPr>
              <w:t>4</w:t>
            </w:r>
            <w:r>
              <w:rPr>
                <w:rFonts w:hint="eastAsia"/>
                <w:color w:val="auto"/>
                <w:highlight w:val="none"/>
              </w:rPr>
              <w:t xml:space="preserve">人； </w:t>
            </w:r>
          </w:p>
          <w:p w14:paraId="093BBCA7">
            <w:pPr>
              <w:keepNext w:val="0"/>
              <w:keepLines w:val="0"/>
              <w:suppressLineNumbers w:val="0"/>
              <w:spacing w:before="0" w:beforeAutospacing="0" w:after="0" w:afterAutospacing="0" w:line="240" w:lineRule="auto"/>
              <w:ind w:left="0" w:right="0"/>
              <w:jc w:val="left"/>
              <w:rPr>
                <w:rFonts w:hint="default"/>
                <w:color w:val="auto"/>
                <w:highlight w:val="none"/>
              </w:rPr>
            </w:pPr>
            <w:r>
              <w:rPr>
                <w:rFonts w:hint="eastAsia"/>
                <w:color w:val="auto"/>
                <w:highlight w:val="none"/>
              </w:rPr>
              <w:t>评标专家确定方式：</w:t>
            </w:r>
            <w:r>
              <w:rPr>
                <w:rFonts w:hint="eastAsia"/>
                <w:color w:val="auto"/>
                <w:highlight w:val="none"/>
                <w:u w:val="single"/>
              </w:rPr>
              <w:t>从辽宁省综合评标专家库相应专业中随机抽取产生。</w:t>
            </w:r>
          </w:p>
        </w:tc>
      </w:tr>
      <w:tr w14:paraId="101F1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857" w:type="dxa"/>
            <w:vAlign w:val="center"/>
          </w:tcPr>
          <w:p w14:paraId="77856180">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6</w:t>
            </w:r>
            <w:r>
              <w:rPr>
                <w:rFonts w:hint="default"/>
                <w:color w:val="auto"/>
                <w:highlight w:val="none"/>
              </w:rPr>
              <w:t>.3</w:t>
            </w:r>
          </w:p>
        </w:tc>
        <w:tc>
          <w:tcPr>
            <w:tcW w:w="2262" w:type="dxa"/>
            <w:vAlign w:val="center"/>
          </w:tcPr>
          <w:p w14:paraId="20124E2A">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评标采用方式</w:t>
            </w:r>
          </w:p>
        </w:tc>
        <w:tc>
          <w:tcPr>
            <w:tcW w:w="5295" w:type="dxa"/>
            <w:vAlign w:val="center"/>
          </w:tcPr>
          <w:p w14:paraId="7AE201CF">
            <w:pPr>
              <w:keepNext w:val="0"/>
              <w:keepLines w:val="0"/>
              <w:suppressLineNumbers w:val="0"/>
              <w:spacing w:before="0" w:beforeAutospacing="0" w:after="0" w:afterAutospacing="0" w:line="240" w:lineRule="auto"/>
              <w:ind w:left="0" w:right="0"/>
              <w:jc w:val="left"/>
              <w:rPr>
                <w:rFonts w:hint="eastAsia"/>
                <w:color w:val="auto"/>
                <w:highlight w:val="none"/>
              </w:rPr>
            </w:pPr>
            <w:r>
              <w:rPr>
                <w:rFonts w:hint="eastAsia"/>
                <w:color w:val="auto"/>
                <w:highlight w:val="none"/>
                <w:lang w:eastAsia="zh-CN"/>
              </w:rPr>
              <w:t>评标组织形式：</w:t>
            </w:r>
          </w:p>
          <w:p w14:paraId="3BAB0D28">
            <w:pPr>
              <w:keepNext w:val="0"/>
              <w:keepLines w:val="0"/>
              <w:suppressLineNumbers w:val="0"/>
              <w:spacing w:before="0" w:beforeAutospacing="0" w:after="0" w:afterAutospacing="0" w:line="240" w:lineRule="auto"/>
              <w:ind w:left="0" w:right="0"/>
              <w:jc w:val="left"/>
              <w:rPr>
                <w:rFonts w:hint="eastAsia"/>
                <w:color w:val="auto"/>
                <w:highlight w:val="none"/>
              </w:rPr>
            </w:pPr>
            <w:r>
              <w:rPr>
                <w:rFonts w:hint="eastAsia"/>
                <w:color w:val="auto"/>
                <w:highlight w:val="none"/>
                <w:lang w:eastAsia="zh-CN"/>
              </w:rPr>
              <w:t>□本地集中评标方式</w:t>
            </w:r>
          </w:p>
          <w:p w14:paraId="3242BBCC">
            <w:pPr>
              <w:keepNext w:val="0"/>
              <w:keepLines w:val="0"/>
              <w:suppressLineNumbers w:val="0"/>
              <w:spacing w:before="0" w:beforeAutospacing="0" w:after="0" w:afterAutospacing="0" w:line="240" w:lineRule="auto"/>
              <w:ind w:left="0" w:right="0"/>
              <w:jc w:val="left"/>
              <w:rPr>
                <w:rFonts w:hint="eastAsia"/>
                <w:color w:val="auto"/>
                <w:highlight w:val="none"/>
              </w:rPr>
            </w:pPr>
            <w:r>
              <w:rPr>
                <w:rFonts w:hint="eastAsia"/>
                <w:color w:val="auto"/>
                <w:highlight w:val="none"/>
                <w:lang w:eastAsia="zh-CN"/>
              </w:rPr>
              <w:t>☑远程异地评标方式</w:t>
            </w:r>
          </w:p>
          <w:p w14:paraId="6FFEF7C1">
            <w:pPr>
              <w:keepNext w:val="0"/>
              <w:keepLines w:val="0"/>
              <w:suppressLineNumbers w:val="0"/>
              <w:spacing w:before="0" w:beforeAutospacing="0" w:after="0" w:afterAutospacing="0" w:line="240" w:lineRule="auto"/>
              <w:ind w:left="0" w:right="0"/>
              <w:jc w:val="left"/>
              <w:rPr>
                <w:rFonts w:hint="eastAsia"/>
                <w:color w:val="auto"/>
                <w:highlight w:val="none"/>
              </w:rPr>
            </w:pPr>
            <w:r>
              <w:rPr>
                <w:rFonts w:hint="eastAsia"/>
                <w:color w:val="auto"/>
                <w:highlight w:val="none"/>
                <w:lang w:eastAsia="zh-CN"/>
              </w:rPr>
              <w:t>评标是否采用计算机辅助智能评审：</w:t>
            </w:r>
          </w:p>
          <w:p w14:paraId="3C3E7953">
            <w:pPr>
              <w:keepNext w:val="0"/>
              <w:keepLines w:val="0"/>
              <w:suppressLineNumbers w:val="0"/>
              <w:spacing w:before="0" w:beforeAutospacing="0" w:after="0" w:afterAutospacing="0" w:line="240" w:lineRule="auto"/>
              <w:ind w:left="0" w:right="0"/>
              <w:jc w:val="left"/>
              <w:rPr>
                <w:rFonts w:hint="eastAsia"/>
                <w:color w:val="auto"/>
                <w:highlight w:val="none"/>
              </w:rPr>
            </w:pPr>
            <w:r>
              <w:rPr>
                <w:rFonts w:hint="eastAsia"/>
                <w:color w:val="auto"/>
                <w:highlight w:val="none"/>
                <w:lang w:eastAsia="zh-CN"/>
              </w:rPr>
              <w:t>□是</w:t>
            </w:r>
          </w:p>
          <w:p w14:paraId="12DB0910">
            <w:pPr>
              <w:keepNext w:val="0"/>
              <w:keepLines w:val="0"/>
              <w:suppressLineNumbers w:val="0"/>
              <w:spacing w:before="0" w:beforeAutospacing="0" w:after="0" w:afterAutospacing="0" w:line="240" w:lineRule="auto"/>
              <w:ind w:left="0" w:right="0"/>
              <w:jc w:val="left"/>
              <w:rPr>
                <w:rFonts w:hint="default"/>
                <w:color w:val="auto"/>
                <w:highlight w:val="none"/>
              </w:rPr>
            </w:pPr>
            <w:r>
              <w:rPr>
                <w:rFonts w:hint="eastAsia"/>
                <w:color w:val="auto"/>
                <w:highlight w:val="none"/>
                <w:lang w:eastAsia="zh-CN"/>
              </w:rPr>
              <w:t>☑否</w:t>
            </w:r>
          </w:p>
        </w:tc>
      </w:tr>
      <w:tr w14:paraId="29D5A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857" w:type="dxa"/>
            <w:vAlign w:val="center"/>
          </w:tcPr>
          <w:p w14:paraId="67D7F40F">
            <w:pPr>
              <w:keepNext w:val="0"/>
              <w:keepLines w:val="0"/>
              <w:suppressLineNumbers w:val="0"/>
              <w:spacing w:before="0" w:beforeAutospacing="0" w:after="0" w:afterAutospacing="0" w:line="240" w:lineRule="auto"/>
              <w:ind w:left="0" w:right="0"/>
              <w:jc w:val="center"/>
              <w:rPr>
                <w:rFonts w:hint="default"/>
                <w:color w:val="auto"/>
                <w:szCs w:val="21"/>
                <w:highlight w:val="none"/>
              </w:rPr>
            </w:pPr>
            <w:r>
              <w:rPr>
                <w:rFonts w:hint="eastAsia"/>
                <w:color w:val="auto"/>
                <w:highlight w:val="none"/>
              </w:rPr>
              <w:t>6</w:t>
            </w:r>
            <w:r>
              <w:rPr>
                <w:rFonts w:hint="default"/>
                <w:color w:val="auto"/>
                <w:highlight w:val="none"/>
              </w:rPr>
              <w:t>.</w:t>
            </w:r>
            <w:r>
              <w:rPr>
                <w:rFonts w:hint="eastAsia"/>
                <w:color w:val="auto"/>
                <w:highlight w:val="none"/>
              </w:rPr>
              <w:t>4</w:t>
            </w:r>
          </w:p>
        </w:tc>
        <w:tc>
          <w:tcPr>
            <w:tcW w:w="2262" w:type="dxa"/>
            <w:vAlign w:val="center"/>
          </w:tcPr>
          <w:p w14:paraId="0E6A431F">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评标结果公示媒介</w:t>
            </w:r>
          </w:p>
        </w:tc>
        <w:tc>
          <w:tcPr>
            <w:tcW w:w="5295" w:type="dxa"/>
            <w:vAlign w:val="center"/>
          </w:tcPr>
          <w:p w14:paraId="404ACBBF">
            <w:pPr>
              <w:keepNext w:val="0"/>
              <w:keepLines w:val="0"/>
              <w:suppressLineNumbers w:val="0"/>
              <w:spacing w:before="0" w:beforeAutospacing="0" w:after="0" w:afterAutospacing="0" w:line="240" w:lineRule="auto"/>
              <w:ind w:left="0" w:right="0"/>
              <w:jc w:val="left"/>
              <w:rPr>
                <w:rFonts w:hint="eastAsia"/>
                <w:color w:val="auto"/>
                <w:highlight w:val="none"/>
                <w:lang w:eastAsia="zh-CN"/>
              </w:rPr>
            </w:pPr>
            <w:r>
              <w:rPr>
                <w:rFonts w:hint="eastAsia"/>
                <w:color w:val="auto"/>
                <w:highlight w:val="none"/>
                <w:lang w:eastAsia="zh-CN"/>
              </w:rPr>
              <w:t>辽宁省招标投标监管网、辽宁省建设工程信息网、中国招标投标公共服务平台、</w:t>
            </w:r>
            <w:r>
              <w:rPr>
                <w:rFonts w:hint="eastAsia"/>
                <w:color w:val="auto"/>
                <w:highlight w:val="none"/>
                <w:lang w:val="en-US" w:eastAsia="zh-CN"/>
              </w:rPr>
              <w:t xml:space="preserve">全国公共资源交易平台（辽宁 </w:t>
            </w:r>
          </w:p>
          <w:p w14:paraId="452ECC61">
            <w:pPr>
              <w:keepNext w:val="0"/>
              <w:keepLines w:val="0"/>
              <w:suppressLineNumbers w:val="0"/>
              <w:spacing w:before="0" w:beforeAutospacing="0" w:after="0" w:afterAutospacing="0" w:line="240" w:lineRule="auto"/>
              <w:ind w:left="0" w:right="0"/>
              <w:jc w:val="left"/>
              <w:rPr>
                <w:rFonts w:hint="eastAsia"/>
                <w:color w:val="auto"/>
                <w:highlight w:val="none"/>
              </w:rPr>
            </w:pPr>
            <w:r>
              <w:rPr>
                <w:rFonts w:hint="eastAsia"/>
                <w:color w:val="auto"/>
                <w:highlight w:val="none"/>
                <w:lang w:val="en-US" w:eastAsia="zh-CN"/>
              </w:rPr>
              <w:t>省·营口市）</w:t>
            </w:r>
          </w:p>
        </w:tc>
      </w:tr>
      <w:tr w14:paraId="18597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857" w:type="dxa"/>
            <w:vAlign w:val="center"/>
          </w:tcPr>
          <w:p w14:paraId="30831F51">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7.1</w:t>
            </w:r>
          </w:p>
        </w:tc>
        <w:tc>
          <w:tcPr>
            <w:tcW w:w="2262" w:type="dxa"/>
            <w:vAlign w:val="center"/>
          </w:tcPr>
          <w:p w14:paraId="3FF390C2">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定标方式</w:t>
            </w:r>
          </w:p>
        </w:tc>
        <w:tc>
          <w:tcPr>
            <w:tcW w:w="5295" w:type="dxa"/>
            <w:vAlign w:val="center"/>
          </w:tcPr>
          <w:p w14:paraId="00002343">
            <w:pPr>
              <w:keepNext w:val="0"/>
              <w:keepLines w:val="0"/>
              <w:suppressLineNumbers w:val="0"/>
              <w:spacing w:before="0" w:beforeAutospacing="0" w:after="0" w:afterAutospacing="0" w:line="240" w:lineRule="auto"/>
              <w:ind w:left="0" w:right="0"/>
              <w:jc w:val="left"/>
              <w:rPr>
                <w:rFonts w:hint="default"/>
                <w:color w:val="auto"/>
                <w:highlight w:val="none"/>
              </w:rPr>
            </w:pPr>
            <w:r>
              <w:rPr>
                <w:rFonts w:hint="eastAsia"/>
                <w:color w:val="auto"/>
                <w:highlight w:val="none"/>
              </w:rPr>
              <w:t>推荐的中标候选人数：</w:t>
            </w:r>
            <w:r>
              <w:rPr>
                <w:rFonts w:hint="default"/>
                <w:color w:val="auto"/>
                <w:highlight w:val="none"/>
              </w:rPr>
              <w:t>不超过</w:t>
            </w:r>
            <w:r>
              <w:rPr>
                <w:rFonts w:hint="default"/>
                <w:color w:val="auto"/>
                <w:highlight w:val="none"/>
                <w:u w:val="single"/>
              </w:rPr>
              <w:t>3</w:t>
            </w:r>
            <w:r>
              <w:rPr>
                <w:rFonts w:hint="default"/>
                <w:color w:val="auto"/>
                <w:highlight w:val="none"/>
              </w:rPr>
              <w:t>名</w:t>
            </w:r>
          </w:p>
          <w:p w14:paraId="763C2FFA">
            <w:pPr>
              <w:keepNext w:val="0"/>
              <w:keepLines w:val="0"/>
              <w:suppressLineNumbers w:val="0"/>
              <w:spacing w:before="0" w:beforeAutospacing="0" w:after="0" w:afterAutospacing="0" w:line="240" w:lineRule="auto"/>
              <w:ind w:left="0" w:right="0"/>
              <w:rPr>
                <w:rFonts w:hint="default"/>
                <w:color w:val="auto"/>
                <w:highlight w:val="none"/>
              </w:rPr>
            </w:pPr>
            <w:r>
              <w:rPr>
                <w:rFonts w:hint="eastAsia"/>
                <w:color w:val="auto"/>
                <w:highlight w:val="none"/>
              </w:rPr>
              <w:t>□招标人授权评标委员会直接确定中标人</w:t>
            </w:r>
          </w:p>
          <w:p w14:paraId="1305B965">
            <w:pPr>
              <w:keepNext w:val="0"/>
              <w:keepLines w:val="0"/>
              <w:suppressLineNumbers w:val="0"/>
              <w:spacing w:before="0" w:beforeAutospacing="0" w:after="0" w:afterAutospacing="0" w:line="240" w:lineRule="auto"/>
              <w:ind w:left="0" w:right="0"/>
              <w:rPr>
                <w:rFonts w:hint="default"/>
                <w:color w:val="auto"/>
                <w:highlight w:val="none"/>
              </w:rPr>
            </w:pPr>
            <w:r>
              <w:rPr>
                <w:rFonts w:hint="eastAsia"/>
                <w:color w:val="auto"/>
                <w:highlight w:val="none"/>
              </w:rPr>
              <w:t>☑招标人依据评标委员会推荐的中标候选人确定中标人</w:t>
            </w:r>
          </w:p>
          <w:p w14:paraId="56EB14E0">
            <w:pPr>
              <w:keepNext w:val="0"/>
              <w:keepLines w:val="0"/>
              <w:suppressLineNumbers w:val="0"/>
              <w:spacing w:before="0" w:beforeAutospacing="0" w:after="0" w:afterAutospacing="0" w:line="240" w:lineRule="auto"/>
              <w:ind w:left="0" w:right="0"/>
              <w:rPr>
                <w:rFonts w:hint="default"/>
                <w:color w:val="auto"/>
                <w:highlight w:val="none"/>
                <w:u w:val="single"/>
              </w:rPr>
            </w:pPr>
            <w:r>
              <w:rPr>
                <w:rFonts w:hint="eastAsia"/>
                <w:color w:val="auto"/>
                <w:highlight w:val="none"/>
              </w:rPr>
              <w:t>□招标人从评标委员会推荐的中标候选人范围内自主研究确定中标人</w:t>
            </w:r>
            <w:r>
              <w:rPr>
                <w:rFonts w:hint="default"/>
                <w:color w:val="auto"/>
                <w:highlight w:val="none"/>
                <w:u w:val="none"/>
              </w:rPr>
              <w:t>。</w:t>
            </w:r>
          </w:p>
        </w:tc>
      </w:tr>
      <w:tr w14:paraId="3A00D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857" w:type="dxa"/>
            <w:vAlign w:val="center"/>
          </w:tcPr>
          <w:p w14:paraId="2853DF2C">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7.</w:t>
            </w:r>
            <w:r>
              <w:rPr>
                <w:rFonts w:hint="eastAsia"/>
                <w:color w:val="auto"/>
                <w:highlight w:val="none"/>
                <w:lang w:val="en-US" w:eastAsia="zh-CN"/>
              </w:rPr>
              <w:t>3</w:t>
            </w:r>
            <w:r>
              <w:rPr>
                <w:rFonts w:hint="eastAsia"/>
                <w:color w:val="auto"/>
                <w:highlight w:val="none"/>
              </w:rPr>
              <w:t>.1</w:t>
            </w:r>
          </w:p>
        </w:tc>
        <w:tc>
          <w:tcPr>
            <w:tcW w:w="2262" w:type="dxa"/>
            <w:vAlign w:val="center"/>
          </w:tcPr>
          <w:p w14:paraId="6A63DC32">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履约</w:t>
            </w:r>
            <w:r>
              <w:rPr>
                <w:rFonts w:hint="default"/>
                <w:color w:val="auto"/>
                <w:szCs w:val="21"/>
                <w:highlight w:val="none"/>
              </w:rPr>
              <w:t>保证金</w:t>
            </w:r>
          </w:p>
        </w:tc>
        <w:tc>
          <w:tcPr>
            <w:tcW w:w="5295" w:type="dxa"/>
            <w:vAlign w:val="center"/>
          </w:tcPr>
          <w:p w14:paraId="2B76048C">
            <w:pPr>
              <w:keepNext w:val="0"/>
              <w:keepLines w:val="0"/>
              <w:suppressLineNumbers w:val="0"/>
              <w:spacing w:before="0" w:beforeAutospacing="0" w:after="0" w:afterAutospacing="0" w:line="240" w:lineRule="auto"/>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不提交</w:t>
            </w:r>
          </w:p>
          <w:p w14:paraId="50ED0A85">
            <w:pPr>
              <w:keepNext w:val="0"/>
              <w:keepLines w:val="0"/>
              <w:suppressLineNumbers w:val="0"/>
              <w:spacing w:before="0" w:beforeAutospacing="0" w:after="0" w:afterAutospacing="0" w:line="240" w:lineRule="auto"/>
              <w:ind w:left="0" w:right="0"/>
              <w:jc w:val="left"/>
              <w:rPr>
                <w:rFonts w:hint="eastAsia"/>
                <w:color w:val="auto"/>
                <w:highlight w:val="none"/>
              </w:rPr>
            </w:pPr>
            <w:r>
              <w:rPr>
                <w:rFonts w:hint="eastAsia"/>
                <w:color w:val="auto"/>
                <w:highlight w:val="none"/>
              </w:rPr>
              <w:t>☑提交，履约</w:t>
            </w:r>
            <w:r>
              <w:rPr>
                <w:rFonts w:hint="default"/>
                <w:color w:val="auto"/>
                <w:szCs w:val="21"/>
                <w:highlight w:val="none"/>
              </w:rPr>
              <w:t>保证金</w:t>
            </w:r>
            <w:r>
              <w:rPr>
                <w:rFonts w:hint="eastAsia"/>
                <w:color w:val="auto"/>
                <w:highlight w:val="none"/>
              </w:rPr>
              <w:t>的形式：</w:t>
            </w:r>
          </w:p>
          <w:p w14:paraId="31C8BA37">
            <w:pPr>
              <w:keepNext w:val="0"/>
              <w:keepLines w:val="0"/>
              <w:suppressLineNumbers w:val="0"/>
              <w:spacing w:before="0" w:beforeAutospacing="0" w:after="0" w:afterAutospacing="0" w:line="240" w:lineRule="auto"/>
              <w:ind w:left="0" w:right="0" w:firstLine="420" w:firstLineChars="200"/>
              <w:jc w:val="left"/>
              <w:rPr>
                <w:rFonts w:hint="eastAsia"/>
                <w:color w:val="auto"/>
                <w:highlight w:val="none"/>
                <w:u w:val="single"/>
              </w:rPr>
            </w:pPr>
            <w:r>
              <w:rPr>
                <w:rFonts w:hint="eastAsia"/>
                <w:color w:val="auto"/>
                <w:highlight w:val="none"/>
                <w:u w:val="none"/>
                <w:lang w:eastAsia="zh-CN"/>
              </w:rPr>
              <w:t>☑</w:t>
            </w:r>
            <w:r>
              <w:rPr>
                <w:rFonts w:hint="eastAsia"/>
                <w:color w:val="auto"/>
                <w:highlight w:val="none"/>
                <w:u w:val="none"/>
                <w:lang w:val="en-US" w:eastAsia="zh-CN"/>
              </w:rPr>
              <w:t>现金  ☑保函（保险）  □其他形式（</w:t>
            </w:r>
            <w:r>
              <w:rPr>
                <w:rFonts w:hint="eastAsia"/>
                <w:color w:val="auto"/>
                <w:highlight w:val="none"/>
                <w:u w:val="single"/>
                <w:lang w:eastAsia="zh-CN"/>
              </w:rPr>
              <w:t>/</w:t>
            </w:r>
            <w:r>
              <w:rPr>
                <w:rFonts w:hint="eastAsia"/>
                <w:color w:val="auto"/>
                <w:highlight w:val="none"/>
                <w:u w:val="none"/>
                <w:lang w:eastAsia="zh-CN"/>
              </w:rPr>
              <w:t>）</w:t>
            </w:r>
          </w:p>
          <w:p w14:paraId="46D9F1B7">
            <w:pPr>
              <w:keepNext w:val="0"/>
              <w:keepLines w:val="0"/>
              <w:suppressLineNumbers w:val="0"/>
              <w:spacing w:before="0" w:beforeAutospacing="0" w:after="0" w:afterAutospacing="0" w:line="240" w:lineRule="auto"/>
              <w:ind w:left="0" w:right="0"/>
              <w:jc w:val="left"/>
              <w:rPr>
                <w:rFonts w:hint="default"/>
                <w:color w:val="auto"/>
                <w:szCs w:val="21"/>
                <w:highlight w:val="none"/>
              </w:rPr>
            </w:pPr>
            <w:r>
              <w:rPr>
                <w:rFonts w:hint="eastAsia"/>
                <w:color w:val="auto"/>
                <w:highlight w:val="none"/>
              </w:rPr>
              <w:t>履约</w:t>
            </w:r>
            <w:r>
              <w:rPr>
                <w:rFonts w:hint="default"/>
                <w:color w:val="auto"/>
                <w:szCs w:val="21"/>
                <w:highlight w:val="none"/>
              </w:rPr>
              <w:t>保证金</w:t>
            </w:r>
            <w:r>
              <w:rPr>
                <w:rFonts w:hint="eastAsia"/>
                <w:color w:val="auto"/>
                <w:highlight w:val="none"/>
              </w:rPr>
              <w:t>的金额：</w:t>
            </w:r>
            <w:r>
              <w:rPr>
                <w:rFonts w:hint="eastAsia"/>
                <w:color w:val="auto"/>
                <w:szCs w:val="21"/>
                <w:highlight w:val="none"/>
              </w:rPr>
              <w:t>合同总价的</w:t>
            </w:r>
            <w:r>
              <w:rPr>
                <w:rFonts w:hint="eastAsia"/>
                <w:color w:val="auto"/>
                <w:szCs w:val="21"/>
                <w:highlight w:val="none"/>
                <w:u w:val="single"/>
                <w:lang w:val="en-US" w:eastAsia="zh-CN"/>
              </w:rPr>
              <w:t>5</w:t>
            </w:r>
            <w:r>
              <w:rPr>
                <w:rFonts w:hint="eastAsia"/>
                <w:color w:val="auto"/>
                <w:szCs w:val="21"/>
                <w:highlight w:val="none"/>
              </w:rPr>
              <w:t>%</w:t>
            </w:r>
          </w:p>
        </w:tc>
      </w:tr>
      <w:tr w14:paraId="4240A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jc w:val="center"/>
        </w:trPr>
        <w:tc>
          <w:tcPr>
            <w:tcW w:w="857" w:type="dxa"/>
            <w:vAlign w:val="center"/>
          </w:tcPr>
          <w:p w14:paraId="46EDBC2C">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9</w:t>
            </w:r>
            <w:r>
              <w:rPr>
                <w:rFonts w:hint="default"/>
                <w:color w:val="auto"/>
                <w:highlight w:val="none"/>
              </w:rPr>
              <w:t>.</w:t>
            </w:r>
            <w:r>
              <w:rPr>
                <w:rFonts w:hint="eastAsia"/>
                <w:color w:val="auto"/>
                <w:highlight w:val="none"/>
              </w:rPr>
              <w:t>5</w:t>
            </w:r>
          </w:p>
        </w:tc>
        <w:tc>
          <w:tcPr>
            <w:tcW w:w="2262" w:type="dxa"/>
            <w:vAlign w:val="center"/>
          </w:tcPr>
          <w:p w14:paraId="5500CB87">
            <w:pPr>
              <w:keepNext w:val="0"/>
              <w:keepLines w:val="0"/>
              <w:suppressLineNumbers w:val="0"/>
              <w:spacing w:before="0" w:beforeAutospacing="0" w:after="0" w:afterAutospacing="0" w:line="240" w:lineRule="auto"/>
              <w:ind w:left="0" w:right="0"/>
              <w:jc w:val="center"/>
              <w:rPr>
                <w:rFonts w:hint="default"/>
                <w:color w:val="auto"/>
                <w:szCs w:val="21"/>
                <w:highlight w:val="none"/>
              </w:rPr>
            </w:pPr>
            <w:r>
              <w:rPr>
                <w:rFonts w:hint="eastAsia"/>
                <w:color w:val="auto"/>
                <w:highlight w:val="none"/>
              </w:rPr>
              <w:t>行政监督部门</w:t>
            </w:r>
          </w:p>
        </w:tc>
        <w:tc>
          <w:tcPr>
            <w:tcW w:w="5295" w:type="dxa"/>
            <w:vAlign w:val="center"/>
          </w:tcPr>
          <w:p w14:paraId="101BE8FF">
            <w:pPr>
              <w:keepNext w:val="0"/>
              <w:keepLines w:val="0"/>
              <w:suppressLineNumbers w:val="0"/>
              <w:spacing w:before="0" w:beforeAutospacing="0" w:after="0" w:afterAutospacing="0" w:line="240" w:lineRule="auto"/>
              <w:ind w:left="0" w:right="0"/>
              <w:jc w:val="left"/>
              <w:rPr>
                <w:rFonts w:hint="eastAsia"/>
                <w:color w:val="auto"/>
                <w:szCs w:val="21"/>
                <w:highlight w:val="none"/>
                <w:u w:val="single"/>
              </w:rPr>
            </w:pPr>
            <w:r>
              <w:rPr>
                <w:rFonts w:hint="eastAsia"/>
                <w:color w:val="auto"/>
                <w:szCs w:val="21"/>
                <w:highlight w:val="none"/>
              </w:rPr>
              <w:t>名</w:t>
            </w:r>
            <w:r>
              <w:rPr>
                <w:rFonts w:hint="eastAsia"/>
                <w:color w:val="auto"/>
                <w:szCs w:val="21"/>
                <w:highlight w:val="none"/>
                <w:lang w:val="en-US" w:eastAsia="zh-CN"/>
              </w:rPr>
              <w:t xml:space="preserve">    </w:t>
            </w:r>
            <w:r>
              <w:rPr>
                <w:rFonts w:hint="eastAsia"/>
                <w:color w:val="auto"/>
                <w:szCs w:val="21"/>
                <w:highlight w:val="none"/>
              </w:rPr>
              <w:t>称：盖州市建筑工程招标投标管理委员会办公室</w:t>
            </w:r>
          </w:p>
          <w:p w14:paraId="1FFE4F8B">
            <w:pPr>
              <w:keepNext w:val="0"/>
              <w:keepLines w:val="0"/>
              <w:suppressLineNumbers w:val="0"/>
              <w:spacing w:before="0" w:beforeAutospacing="0" w:after="0" w:afterAutospacing="0" w:line="240" w:lineRule="auto"/>
              <w:ind w:left="0" w:right="0"/>
              <w:jc w:val="left"/>
              <w:rPr>
                <w:rFonts w:hint="eastAsia"/>
                <w:color w:val="auto"/>
                <w:szCs w:val="21"/>
                <w:highlight w:val="none"/>
              </w:rPr>
            </w:pPr>
            <w:r>
              <w:rPr>
                <w:rFonts w:hint="eastAsia"/>
                <w:color w:val="auto"/>
                <w:szCs w:val="21"/>
                <w:highlight w:val="none"/>
              </w:rPr>
              <w:t>地</w:t>
            </w:r>
            <w:r>
              <w:rPr>
                <w:rFonts w:hint="eastAsia"/>
                <w:color w:val="auto"/>
                <w:szCs w:val="21"/>
                <w:highlight w:val="none"/>
                <w:lang w:val="en-US" w:eastAsia="zh-CN"/>
              </w:rPr>
              <w:t xml:space="preserve">    </w:t>
            </w:r>
            <w:r>
              <w:rPr>
                <w:rFonts w:hint="eastAsia"/>
                <w:color w:val="auto"/>
                <w:szCs w:val="21"/>
                <w:highlight w:val="none"/>
              </w:rPr>
              <w:t>址：辽宁省营口市盖州市盖州路63号‌</w:t>
            </w:r>
          </w:p>
          <w:p w14:paraId="775B4941">
            <w:pPr>
              <w:keepNext w:val="0"/>
              <w:keepLines w:val="0"/>
              <w:suppressLineNumbers w:val="0"/>
              <w:spacing w:before="0" w:beforeAutospacing="0" w:after="0" w:afterAutospacing="0" w:line="240" w:lineRule="auto"/>
              <w:ind w:left="0" w:right="0"/>
              <w:jc w:val="left"/>
              <w:rPr>
                <w:rFonts w:hint="default"/>
                <w:color w:val="auto"/>
                <w:szCs w:val="21"/>
                <w:highlight w:val="none"/>
                <w:lang w:val="en-US"/>
              </w:rPr>
            </w:pPr>
            <w:r>
              <w:rPr>
                <w:rFonts w:hint="eastAsia"/>
                <w:color w:val="auto"/>
                <w:szCs w:val="21"/>
                <w:highlight w:val="none"/>
              </w:rPr>
              <w:t>电</w:t>
            </w:r>
            <w:r>
              <w:rPr>
                <w:rFonts w:hint="eastAsia"/>
                <w:color w:val="auto"/>
                <w:szCs w:val="21"/>
                <w:highlight w:val="none"/>
                <w:lang w:val="en-US" w:eastAsia="zh-CN"/>
              </w:rPr>
              <w:t xml:space="preserve">    </w:t>
            </w:r>
            <w:r>
              <w:rPr>
                <w:rFonts w:hint="eastAsia"/>
                <w:color w:val="auto"/>
                <w:szCs w:val="21"/>
                <w:highlight w:val="none"/>
              </w:rPr>
              <w:t>话：0417-7812401</w:t>
            </w:r>
          </w:p>
          <w:p w14:paraId="51A2B209">
            <w:pPr>
              <w:keepNext w:val="0"/>
              <w:keepLines w:val="0"/>
              <w:suppressLineNumbers w:val="0"/>
              <w:spacing w:before="0" w:beforeAutospacing="0" w:after="0" w:afterAutospacing="0" w:line="240" w:lineRule="auto"/>
              <w:ind w:left="0" w:right="0"/>
              <w:jc w:val="left"/>
              <w:rPr>
                <w:rFonts w:hint="eastAsia"/>
                <w:color w:val="auto"/>
                <w:szCs w:val="21"/>
                <w:highlight w:val="none"/>
                <w:u w:val="single"/>
              </w:rPr>
            </w:pPr>
            <w:r>
              <w:rPr>
                <w:rFonts w:hint="eastAsia"/>
                <w:color w:val="auto"/>
                <w:szCs w:val="21"/>
                <w:highlight w:val="none"/>
              </w:rPr>
              <w:t>传</w:t>
            </w:r>
            <w:r>
              <w:rPr>
                <w:rFonts w:hint="default"/>
                <w:color w:val="auto"/>
                <w:szCs w:val="21"/>
                <w:highlight w:val="none"/>
              </w:rPr>
              <w:t xml:space="preserve">    </w:t>
            </w:r>
            <w:r>
              <w:rPr>
                <w:rFonts w:hint="eastAsia"/>
                <w:color w:val="auto"/>
                <w:szCs w:val="21"/>
                <w:highlight w:val="none"/>
              </w:rPr>
              <w:t>真：</w:t>
            </w:r>
            <w:r>
              <w:rPr>
                <w:rFonts w:hint="eastAsia"/>
                <w:color w:val="auto"/>
                <w:szCs w:val="21"/>
                <w:highlight w:val="none"/>
                <w:u w:val="single"/>
                <w:lang w:eastAsia="zh-CN"/>
              </w:rPr>
              <w:t>/</w:t>
            </w:r>
          </w:p>
          <w:p w14:paraId="09E25D6E">
            <w:pPr>
              <w:keepNext w:val="0"/>
              <w:keepLines w:val="0"/>
              <w:suppressLineNumbers w:val="0"/>
              <w:spacing w:before="0" w:beforeAutospacing="0" w:after="0" w:afterAutospacing="0" w:line="240" w:lineRule="auto"/>
              <w:ind w:left="0" w:right="0"/>
              <w:jc w:val="left"/>
              <w:rPr>
                <w:rFonts w:hint="eastAsia"/>
                <w:color w:val="auto"/>
                <w:szCs w:val="21"/>
                <w:highlight w:val="none"/>
                <w:u w:val="single"/>
              </w:rPr>
            </w:pPr>
            <w:r>
              <w:rPr>
                <w:rFonts w:hint="eastAsia"/>
                <w:color w:val="auto"/>
                <w:szCs w:val="21"/>
                <w:highlight w:val="none"/>
              </w:rPr>
              <w:t>邮政编码：</w:t>
            </w:r>
            <w:r>
              <w:rPr>
                <w:rFonts w:hint="eastAsia"/>
                <w:color w:val="auto"/>
                <w:szCs w:val="21"/>
                <w:highlight w:val="none"/>
                <w:u w:val="single"/>
                <w:lang w:eastAsia="zh-CN"/>
              </w:rPr>
              <w:t>/</w:t>
            </w:r>
          </w:p>
          <w:p w14:paraId="7DC4B008">
            <w:pPr>
              <w:keepNext w:val="0"/>
              <w:keepLines w:val="0"/>
              <w:suppressLineNumbers w:val="0"/>
              <w:spacing w:before="0" w:beforeAutospacing="0" w:after="0" w:afterAutospacing="0" w:line="240" w:lineRule="auto"/>
              <w:ind w:left="0" w:right="0"/>
              <w:jc w:val="left"/>
              <w:rPr>
                <w:rFonts w:hint="eastAsia"/>
                <w:color w:val="auto"/>
                <w:szCs w:val="21"/>
                <w:highlight w:val="none"/>
                <w:u w:val="single"/>
              </w:rPr>
            </w:pPr>
            <w:r>
              <w:rPr>
                <w:rFonts w:hint="eastAsia"/>
                <w:color w:val="auto"/>
                <w:szCs w:val="21"/>
                <w:highlight w:val="none"/>
              </w:rPr>
              <w:t>异议投诉渠道：辽宁省工程建设项目招标投标异议投诉处理系统</w:t>
            </w:r>
          </w:p>
        </w:tc>
      </w:tr>
      <w:tr w14:paraId="117A9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857" w:type="dxa"/>
            <w:vAlign w:val="center"/>
          </w:tcPr>
          <w:p w14:paraId="728C331D">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1</w:t>
            </w:r>
            <w:r>
              <w:rPr>
                <w:rFonts w:hint="default"/>
                <w:color w:val="auto"/>
                <w:highlight w:val="none"/>
              </w:rPr>
              <w:t>0</w:t>
            </w:r>
          </w:p>
        </w:tc>
        <w:tc>
          <w:tcPr>
            <w:tcW w:w="7557" w:type="dxa"/>
            <w:gridSpan w:val="2"/>
            <w:vAlign w:val="center"/>
          </w:tcPr>
          <w:p w14:paraId="6C225396">
            <w:pPr>
              <w:keepNext w:val="0"/>
              <w:keepLines w:val="0"/>
              <w:suppressLineNumbers w:val="0"/>
              <w:spacing w:before="0" w:beforeAutospacing="0" w:after="0" w:afterAutospacing="0" w:line="240" w:lineRule="auto"/>
              <w:ind w:left="0" w:right="0"/>
              <w:rPr>
                <w:rFonts w:hint="default"/>
                <w:b/>
                <w:bCs/>
                <w:color w:val="auto"/>
                <w:szCs w:val="21"/>
                <w:highlight w:val="none"/>
              </w:rPr>
            </w:pPr>
            <w:r>
              <w:rPr>
                <w:rFonts w:hint="eastAsia"/>
                <w:b/>
                <w:bCs/>
                <w:color w:val="auto"/>
                <w:szCs w:val="21"/>
                <w:highlight w:val="none"/>
              </w:rPr>
              <w:t>需要补充的其他内容</w:t>
            </w:r>
          </w:p>
        </w:tc>
      </w:tr>
      <w:tr w14:paraId="506E5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57" w:type="dxa"/>
            <w:vAlign w:val="center"/>
          </w:tcPr>
          <w:p w14:paraId="771733DA">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1</w:t>
            </w:r>
            <w:r>
              <w:rPr>
                <w:rFonts w:hint="default"/>
                <w:color w:val="auto"/>
                <w:highlight w:val="none"/>
              </w:rPr>
              <w:t>0.1</w:t>
            </w:r>
          </w:p>
        </w:tc>
        <w:tc>
          <w:tcPr>
            <w:tcW w:w="7557" w:type="dxa"/>
            <w:gridSpan w:val="2"/>
            <w:vAlign w:val="center"/>
          </w:tcPr>
          <w:p w14:paraId="23DAF7EF">
            <w:pPr>
              <w:keepNext w:val="0"/>
              <w:keepLines w:val="0"/>
              <w:suppressLineNumbers w:val="0"/>
              <w:spacing w:before="0" w:beforeAutospacing="0" w:after="0" w:afterAutospacing="0" w:line="240" w:lineRule="auto"/>
              <w:ind w:left="0" w:right="0"/>
              <w:rPr>
                <w:rFonts w:hint="default"/>
                <w:b/>
                <w:bCs/>
                <w:color w:val="auto"/>
                <w:szCs w:val="21"/>
                <w:highlight w:val="none"/>
              </w:rPr>
            </w:pPr>
            <w:r>
              <w:rPr>
                <w:rFonts w:hint="eastAsia"/>
                <w:b/>
                <w:bCs/>
                <w:color w:val="auto"/>
                <w:szCs w:val="21"/>
                <w:highlight w:val="none"/>
              </w:rPr>
              <w:t>词语定义</w:t>
            </w:r>
          </w:p>
        </w:tc>
      </w:tr>
      <w:tr w14:paraId="45204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857" w:type="dxa"/>
            <w:vAlign w:val="center"/>
          </w:tcPr>
          <w:p w14:paraId="170DE760">
            <w:pPr>
              <w:keepNext w:val="0"/>
              <w:keepLines w:val="0"/>
              <w:suppressLineNumbers w:val="0"/>
              <w:spacing w:before="0" w:beforeAutospacing="0" w:after="0" w:afterAutospacing="0" w:line="240" w:lineRule="auto"/>
              <w:ind w:left="0" w:right="0"/>
              <w:jc w:val="center"/>
              <w:rPr>
                <w:rFonts w:hint="default"/>
                <w:color w:val="auto"/>
                <w:szCs w:val="21"/>
                <w:highlight w:val="none"/>
              </w:rPr>
            </w:pPr>
            <w:r>
              <w:rPr>
                <w:rFonts w:hint="eastAsia"/>
                <w:color w:val="auto"/>
                <w:szCs w:val="21"/>
                <w:highlight w:val="none"/>
              </w:rPr>
              <w:t>1</w:t>
            </w:r>
            <w:r>
              <w:rPr>
                <w:rFonts w:hint="default"/>
                <w:color w:val="auto"/>
                <w:szCs w:val="21"/>
                <w:highlight w:val="none"/>
              </w:rPr>
              <w:t>0.1.1</w:t>
            </w:r>
          </w:p>
        </w:tc>
        <w:tc>
          <w:tcPr>
            <w:tcW w:w="2262" w:type="dxa"/>
            <w:vAlign w:val="center"/>
          </w:tcPr>
          <w:p w14:paraId="274C723A">
            <w:pPr>
              <w:keepNext w:val="0"/>
              <w:keepLines w:val="0"/>
              <w:suppressLineNumbers w:val="0"/>
              <w:spacing w:before="0" w:beforeAutospacing="0" w:after="0" w:afterAutospacing="0" w:line="240" w:lineRule="auto"/>
              <w:ind w:left="0" w:right="0"/>
              <w:jc w:val="center"/>
              <w:rPr>
                <w:rFonts w:hint="default"/>
                <w:color w:val="auto"/>
                <w:szCs w:val="21"/>
                <w:highlight w:val="none"/>
              </w:rPr>
            </w:pPr>
            <w:r>
              <w:rPr>
                <w:rFonts w:hint="eastAsia"/>
                <w:color w:val="auto"/>
                <w:szCs w:val="21"/>
                <w:highlight w:val="none"/>
              </w:rPr>
              <w:t>类似项目</w:t>
            </w:r>
          </w:p>
        </w:tc>
        <w:tc>
          <w:tcPr>
            <w:tcW w:w="5295" w:type="dxa"/>
            <w:vAlign w:val="center"/>
          </w:tcPr>
          <w:p w14:paraId="6CA1D0B2">
            <w:pPr>
              <w:keepNext w:val="0"/>
              <w:keepLines w:val="0"/>
              <w:numPr>
                <w:ilvl w:val="0"/>
                <w:numId w:val="0"/>
              </w:numPr>
              <w:suppressLineNumbers w:val="0"/>
              <w:spacing w:before="0" w:beforeAutospacing="0" w:after="0" w:afterAutospacing="0" w:line="240" w:lineRule="auto"/>
              <w:ind w:left="0" w:right="0"/>
              <w:jc w:val="left"/>
              <w:rPr>
                <w:rFonts w:hint="eastAsia" w:ascii="宋体" w:hAnsi="宋体" w:cs="宋体"/>
                <w:color w:val="auto"/>
                <w:highlight w:val="none"/>
              </w:rPr>
            </w:pPr>
            <w:r>
              <w:rPr>
                <w:rFonts w:hint="eastAsia" w:ascii="宋体" w:hAnsi="宋体" w:eastAsia="宋体" w:cs="宋体"/>
                <w:color w:val="auto"/>
                <w:szCs w:val="21"/>
                <w:highlight w:val="none"/>
                <w:lang w:val="en-US" w:eastAsia="zh-CN"/>
              </w:rPr>
              <w:t>（1）类似项目</w:t>
            </w:r>
            <w:r>
              <w:rPr>
                <w:rFonts w:hint="eastAsia" w:ascii="宋体" w:hAnsi="宋体" w:eastAsia="宋体" w:cs="宋体"/>
                <w:color w:val="auto"/>
                <w:szCs w:val="21"/>
                <w:highlight w:val="none"/>
              </w:rPr>
              <w:t>指合同金额大于</w:t>
            </w:r>
            <w:r>
              <w:rPr>
                <w:rFonts w:hint="eastAsia" w:ascii="宋体" w:hAnsi="宋体" w:cs="宋体"/>
                <w:color w:val="auto"/>
                <w:highlight w:val="none"/>
                <w:u w:val="single"/>
                <w:lang w:val="en-US" w:eastAsia="zh-CN"/>
              </w:rPr>
              <w:t>500</w:t>
            </w:r>
            <w:r>
              <w:rPr>
                <w:rFonts w:hint="eastAsia" w:ascii="宋体" w:hAnsi="宋体" w:eastAsia="宋体" w:cs="宋体"/>
                <w:color w:val="auto"/>
                <w:highlight w:val="none"/>
              </w:rPr>
              <w:t>万元</w:t>
            </w:r>
            <w:r>
              <w:rPr>
                <w:rFonts w:hint="eastAsia" w:ascii="宋体" w:hAnsi="宋体" w:eastAsia="宋体" w:cs="宋体"/>
                <w:color w:val="auto"/>
                <w:highlight w:val="none"/>
                <w:u w:val="single"/>
              </w:rPr>
              <w:t>【施工类</w:t>
            </w:r>
            <w:r>
              <w:rPr>
                <w:rFonts w:hint="eastAsia" w:ascii="宋体" w:hAnsi="宋体" w:cs="宋体"/>
                <w:color w:val="auto"/>
                <w:highlight w:val="none"/>
                <w:u w:val="single"/>
                <w:lang w:eastAsia="zh-CN"/>
              </w:rPr>
              <w:t>－</w:t>
            </w:r>
            <w:r>
              <w:rPr>
                <w:rFonts w:hint="eastAsia" w:ascii="宋体" w:hAnsi="宋体" w:eastAsia="宋体" w:cs="宋体"/>
                <w:color w:val="auto"/>
                <w:highlight w:val="none"/>
                <w:u w:val="single"/>
              </w:rPr>
              <w:t>建筑工程</w:t>
            </w:r>
            <w:r>
              <w:rPr>
                <w:rFonts w:hint="eastAsia" w:ascii="宋体" w:hAnsi="宋体" w:cs="宋体"/>
                <w:color w:val="auto"/>
                <w:highlight w:val="none"/>
                <w:u w:val="single"/>
                <w:lang w:eastAsia="zh-CN"/>
              </w:rPr>
              <w:t>－</w:t>
            </w:r>
            <w:r>
              <w:rPr>
                <w:rFonts w:hint="eastAsia" w:ascii="宋体" w:hAnsi="宋体" w:eastAsia="宋体" w:cs="宋体"/>
                <w:color w:val="auto"/>
                <w:highlight w:val="none"/>
                <w:u w:val="single"/>
              </w:rPr>
              <w:t>不限专业】（含</w:t>
            </w:r>
            <w:r>
              <w:rPr>
                <w:rFonts w:hint="eastAsia" w:ascii="宋体" w:hAnsi="宋体" w:cs="宋体"/>
                <w:color w:val="auto"/>
                <w:highlight w:val="none"/>
                <w:u w:val="single"/>
                <w:lang w:eastAsia="zh-CN"/>
              </w:rPr>
              <w:t>公共建筑新建或维修改造项目</w:t>
            </w:r>
            <w:r>
              <w:rPr>
                <w:rFonts w:hint="eastAsia" w:ascii="宋体" w:hAnsi="宋体" w:eastAsia="宋体" w:cs="宋体"/>
                <w:color w:val="auto"/>
                <w:highlight w:val="none"/>
                <w:u w:val="single"/>
              </w:rPr>
              <w:t>）</w:t>
            </w:r>
            <w:r>
              <w:rPr>
                <w:rFonts w:hint="eastAsia" w:ascii="宋体" w:hAnsi="宋体" w:eastAsia="宋体" w:cs="宋体"/>
                <w:color w:val="auto"/>
                <w:highlight w:val="none"/>
                <w:u w:val="none"/>
                <w:lang w:val="en-US" w:eastAsia="zh-CN"/>
              </w:rPr>
              <w:t>工程</w:t>
            </w:r>
            <w:r>
              <w:rPr>
                <w:rFonts w:hint="eastAsia" w:ascii="宋体" w:hAnsi="宋体" w:eastAsia="宋体" w:cs="宋体"/>
                <w:color w:val="auto"/>
                <w:highlight w:val="none"/>
              </w:rPr>
              <w:t>，且已完成工程竣工验收。</w:t>
            </w:r>
          </w:p>
          <w:p w14:paraId="5A03556F">
            <w:pPr>
              <w:keepNext w:val="0"/>
              <w:keepLines w:val="0"/>
              <w:numPr>
                <w:ilvl w:val="0"/>
                <w:numId w:val="0"/>
              </w:numPr>
              <w:suppressLineNumbers w:val="0"/>
              <w:spacing w:before="0" w:beforeAutospacing="0" w:after="0" w:afterAutospacing="0" w:line="240" w:lineRule="auto"/>
              <w:ind w:left="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（2）类似项目时间</w:t>
            </w:r>
            <w:r>
              <w:rPr>
                <w:rFonts w:hint="eastAsia" w:ascii="宋体" w:hAnsi="宋体" w:cs="宋体"/>
                <w:color w:val="auto"/>
                <w:highlight w:val="none"/>
                <w:lang w:val="en-US" w:eastAsia="zh-CN"/>
              </w:rPr>
              <w:t>：</w:t>
            </w:r>
          </w:p>
          <w:p w14:paraId="79115926">
            <w:pPr>
              <w:keepNext w:val="0"/>
              <w:keepLines w:val="0"/>
              <w:numPr>
                <w:ilvl w:val="0"/>
                <w:numId w:val="0"/>
              </w:numPr>
              <w:suppressLineNumbers w:val="0"/>
              <w:spacing w:before="0" w:beforeAutospacing="0" w:after="0" w:afterAutospacing="0" w:line="240" w:lineRule="auto"/>
              <w:ind w:left="420" w:leftChars="20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□合同签订时间为准</w:t>
            </w:r>
          </w:p>
          <w:p w14:paraId="1DAA5381">
            <w:pPr>
              <w:keepNext w:val="0"/>
              <w:keepLines w:val="0"/>
              <w:numPr>
                <w:ilvl w:val="0"/>
                <w:numId w:val="0"/>
              </w:numPr>
              <w:suppressLineNumbers w:val="0"/>
              <w:spacing w:before="0" w:beforeAutospacing="0" w:after="0" w:afterAutospacing="0" w:line="240" w:lineRule="auto"/>
              <w:ind w:left="420" w:leftChars="20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☑竣工验收时间为准</w:t>
            </w:r>
          </w:p>
          <w:p w14:paraId="79CC50E0">
            <w:pPr>
              <w:keepNext w:val="0"/>
              <w:keepLines w:val="0"/>
              <w:numPr>
                <w:ilvl w:val="0"/>
                <w:numId w:val="0"/>
              </w:numPr>
              <w:suppressLineNumbers w:val="0"/>
              <w:spacing w:before="0" w:beforeAutospacing="0" w:after="0" w:afterAutospacing="0" w:line="240" w:lineRule="auto"/>
              <w:ind w:left="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（3）类似项目类型</w:t>
            </w:r>
          </w:p>
          <w:p w14:paraId="3C391BA0">
            <w:pPr>
              <w:keepNext w:val="0"/>
              <w:keepLines w:val="0"/>
              <w:numPr>
                <w:ilvl w:val="0"/>
                <w:numId w:val="0"/>
              </w:numPr>
              <w:suppressLineNumbers w:val="0"/>
              <w:spacing w:before="0" w:beforeAutospacing="0" w:after="0" w:afterAutospacing="0" w:line="240" w:lineRule="auto"/>
              <w:ind w:left="420" w:leftChars="200" w:right="0"/>
              <w:jc w:val="left"/>
              <w:rPr>
                <w:rFonts w:hint="eastAsia" w:ascii="宋体" w:hAnsi="宋体" w:cs="宋体"/>
                <w:color w:val="auto"/>
                <w:highlight w:val="none"/>
              </w:rPr>
            </w:pP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A类</w:t>
            </w:r>
          </w:p>
          <w:p w14:paraId="2066CDAD">
            <w:pPr>
              <w:keepNext w:val="0"/>
              <w:keepLines w:val="0"/>
              <w:numPr>
                <w:ilvl w:val="0"/>
                <w:numId w:val="0"/>
              </w:numPr>
              <w:suppressLineNumbers w:val="0"/>
              <w:spacing w:before="0" w:beforeAutospacing="0" w:after="0" w:afterAutospacing="0" w:line="240" w:lineRule="auto"/>
              <w:ind w:left="420" w:leftChars="200" w:right="0"/>
              <w:jc w:val="left"/>
              <w:rPr>
                <w:rFonts w:hint="eastAsia" w:ascii="宋体" w:hAnsi="宋体" w:cs="宋体"/>
                <w:color w:val="auto"/>
                <w:highlight w:val="none"/>
              </w:rPr>
            </w:pP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A+B类</w:t>
            </w:r>
          </w:p>
          <w:p w14:paraId="1C248A79">
            <w:pPr>
              <w:keepNext w:val="0"/>
              <w:keepLines w:val="0"/>
              <w:numPr>
                <w:ilvl w:val="0"/>
                <w:numId w:val="0"/>
              </w:numPr>
              <w:suppressLineNumbers w:val="0"/>
              <w:spacing w:before="0" w:beforeAutospacing="0" w:after="0" w:afterAutospacing="0" w:line="240" w:lineRule="auto"/>
              <w:ind w:left="0" w:right="0"/>
              <w:jc w:val="left"/>
              <w:rPr>
                <w:rFonts w:hint="default"/>
                <w:color w:val="auto"/>
                <w:highlight w:val="none"/>
              </w:rPr>
            </w:pPr>
            <w:r>
              <w:rPr>
                <w:rFonts w:hint="eastAsia" w:ascii="宋体" w:hAnsi="宋体" w:eastAsia="宋体" w:cs="宋体"/>
                <w:color w:val="auto"/>
                <w:highlight w:val="none"/>
                <w:lang w:val="en-US" w:eastAsia="zh-CN"/>
              </w:rPr>
              <w:t>（4）其他：</w:t>
            </w:r>
            <w:r>
              <w:rPr>
                <w:rFonts w:hint="eastAsia" w:ascii="宋体" w:hAnsi="宋体" w:eastAsia="宋体" w:cs="宋体"/>
                <w:color w:val="auto"/>
                <w:highlight w:val="none"/>
                <w:u w:val="single"/>
                <w:lang w:val="en-US" w:eastAsia="zh-CN"/>
              </w:rPr>
              <w:t>/</w:t>
            </w:r>
          </w:p>
        </w:tc>
      </w:tr>
      <w:tr w14:paraId="1EA7F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2AB3E6D6">
            <w:pPr>
              <w:keepNext w:val="0"/>
              <w:keepLines w:val="0"/>
              <w:suppressLineNumbers w:val="0"/>
              <w:spacing w:before="0" w:beforeAutospacing="0" w:after="0" w:afterAutospacing="0" w:line="240" w:lineRule="auto"/>
              <w:ind w:left="0" w:right="0"/>
              <w:jc w:val="center"/>
              <w:rPr>
                <w:rFonts w:hint="eastAsia"/>
                <w:color w:val="auto"/>
                <w:szCs w:val="21"/>
                <w:highlight w:val="none"/>
              </w:rPr>
            </w:pPr>
            <w:r>
              <w:rPr>
                <w:rFonts w:hint="eastAsia"/>
                <w:color w:val="auto"/>
                <w:szCs w:val="21"/>
                <w:highlight w:val="none"/>
              </w:rPr>
              <w:t>1</w:t>
            </w:r>
            <w:r>
              <w:rPr>
                <w:rFonts w:hint="default"/>
                <w:color w:val="auto"/>
                <w:szCs w:val="21"/>
                <w:highlight w:val="none"/>
              </w:rPr>
              <w:t>0.1.</w:t>
            </w:r>
            <w:r>
              <w:rPr>
                <w:rFonts w:hint="eastAsia"/>
                <w:color w:val="auto"/>
                <w:szCs w:val="21"/>
                <w:highlight w:val="none"/>
                <w:lang w:val="en-US" w:eastAsia="zh-CN"/>
              </w:rPr>
              <w:t>2</w:t>
            </w:r>
          </w:p>
        </w:tc>
        <w:tc>
          <w:tcPr>
            <w:tcW w:w="2262" w:type="dxa"/>
            <w:vAlign w:val="center"/>
          </w:tcPr>
          <w:p w14:paraId="44078D8B">
            <w:pPr>
              <w:keepNext w:val="0"/>
              <w:keepLines w:val="0"/>
              <w:suppressLineNumbers w:val="0"/>
              <w:spacing w:before="0" w:beforeAutospacing="0" w:after="0" w:afterAutospacing="0" w:line="240" w:lineRule="auto"/>
              <w:ind w:left="0" w:right="0"/>
              <w:jc w:val="center"/>
              <w:rPr>
                <w:rFonts w:hint="default"/>
                <w:color w:val="auto"/>
                <w:szCs w:val="21"/>
                <w:highlight w:val="none"/>
              </w:rPr>
            </w:pPr>
            <w:r>
              <w:rPr>
                <w:rFonts w:hint="eastAsia"/>
                <w:color w:val="auto"/>
                <w:highlight w:val="none"/>
              </w:rPr>
              <w:t>盖章</w:t>
            </w:r>
          </w:p>
        </w:tc>
        <w:tc>
          <w:tcPr>
            <w:tcW w:w="5295" w:type="dxa"/>
            <w:vAlign w:val="center"/>
          </w:tcPr>
          <w:p w14:paraId="6F714636">
            <w:pPr>
              <w:keepNext w:val="0"/>
              <w:keepLines w:val="0"/>
              <w:suppressLineNumbers w:val="0"/>
              <w:spacing w:before="0" w:beforeAutospacing="0" w:after="0" w:afterAutospacing="0" w:line="240" w:lineRule="auto"/>
              <w:ind w:left="0" w:right="0"/>
              <w:rPr>
                <w:rFonts w:hint="default"/>
                <w:color w:val="auto"/>
                <w:sz w:val="32"/>
                <w:szCs w:val="32"/>
                <w:highlight w:val="none"/>
              </w:rPr>
            </w:pPr>
            <w:r>
              <w:rPr>
                <w:rFonts w:hint="eastAsia"/>
                <w:color w:val="auto"/>
                <w:szCs w:val="21"/>
                <w:highlight w:val="none"/>
              </w:rPr>
              <w:t>盖单位章及签章（个人）均为电子签名法所指的电子签名，即表示数据电文中以电子形式所含、所附用于识别签名单位和签名人身份并表明签名单位和签名人认可其中内容的数据。</w:t>
            </w:r>
          </w:p>
        </w:tc>
      </w:tr>
      <w:tr w14:paraId="36B61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03CF2342">
            <w:pPr>
              <w:keepNext w:val="0"/>
              <w:keepLines w:val="0"/>
              <w:suppressLineNumbers w:val="0"/>
              <w:spacing w:before="0" w:beforeAutospacing="0" w:after="0" w:afterAutospacing="0" w:line="240" w:lineRule="auto"/>
              <w:ind w:left="0" w:right="0"/>
              <w:jc w:val="center"/>
              <w:rPr>
                <w:rFonts w:hint="eastAsia"/>
                <w:color w:val="auto"/>
                <w:szCs w:val="21"/>
                <w:highlight w:val="none"/>
              </w:rPr>
            </w:pPr>
            <w:r>
              <w:rPr>
                <w:rFonts w:hint="eastAsia"/>
                <w:color w:val="auto"/>
                <w:szCs w:val="21"/>
                <w:highlight w:val="none"/>
              </w:rPr>
              <w:t>1</w:t>
            </w:r>
            <w:r>
              <w:rPr>
                <w:rFonts w:hint="default"/>
                <w:color w:val="auto"/>
                <w:szCs w:val="21"/>
                <w:highlight w:val="none"/>
              </w:rPr>
              <w:t>0.1.</w:t>
            </w:r>
            <w:r>
              <w:rPr>
                <w:rFonts w:hint="eastAsia"/>
                <w:color w:val="auto"/>
                <w:szCs w:val="21"/>
                <w:highlight w:val="none"/>
                <w:lang w:val="en-US" w:eastAsia="zh-CN"/>
              </w:rPr>
              <w:t>3</w:t>
            </w:r>
          </w:p>
        </w:tc>
        <w:tc>
          <w:tcPr>
            <w:tcW w:w="2262" w:type="dxa"/>
            <w:vAlign w:val="center"/>
          </w:tcPr>
          <w:p w14:paraId="0EA5CC25">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获奖表彰时间</w:t>
            </w:r>
          </w:p>
        </w:tc>
        <w:tc>
          <w:tcPr>
            <w:tcW w:w="5295" w:type="dxa"/>
            <w:vAlign w:val="center"/>
          </w:tcPr>
          <w:p w14:paraId="04F98623">
            <w:pPr>
              <w:keepNext w:val="0"/>
              <w:keepLines w:val="0"/>
              <w:suppressLineNumbers w:val="0"/>
              <w:spacing w:before="0" w:beforeAutospacing="0" w:after="0" w:afterAutospacing="0" w:line="240" w:lineRule="auto"/>
              <w:ind w:left="0" w:right="0"/>
              <w:jc w:val="left"/>
              <w:rPr>
                <w:rFonts w:hint="default"/>
                <w:color w:val="auto"/>
                <w:szCs w:val="21"/>
                <w:highlight w:val="none"/>
              </w:rPr>
            </w:pPr>
            <w:r>
              <w:rPr>
                <w:rFonts w:hint="eastAsia"/>
                <w:color w:val="auto"/>
                <w:szCs w:val="21"/>
                <w:highlight w:val="none"/>
              </w:rPr>
              <w:t>以表彰文件、获奖证书的颁发时间为准。</w:t>
            </w:r>
          </w:p>
        </w:tc>
      </w:tr>
      <w:tr w14:paraId="1A50B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857" w:type="dxa"/>
            <w:vAlign w:val="center"/>
          </w:tcPr>
          <w:p w14:paraId="32039A6E">
            <w:pPr>
              <w:keepNext w:val="0"/>
              <w:keepLines w:val="0"/>
              <w:suppressLineNumbers w:val="0"/>
              <w:spacing w:before="0" w:beforeAutospacing="0" w:after="0" w:afterAutospacing="0" w:line="240" w:lineRule="auto"/>
              <w:ind w:left="0" w:right="0"/>
              <w:jc w:val="center"/>
              <w:rPr>
                <w:rFonts w:hint="eastAsia"/>
                <w:color w:val="auto"/>
                <w:szCs w:val="21"/>
                <w:highlight w:val="none"/>
              </w:rPr>
            </w:pPr>
            <w:r>
              <w:rPr>
                <w:rFonts w:hint="default"/>
                <w:color w:val="auto"/>
                <w:szCs w:val="21"/>
                <w:highlight w:val="none"/>
              </w:rPr>
              <w:t>10.1.</w:t>
            </w:r>
            <w:r>
              <w:rPr>
                <w:rFonts w:hint="eastAsia"/>
                <w:color w:val="auto"/>
                <w:szCs w:val="21"/>
                <w:highlight w:val="none"/>
                <w:lang w:val="en-US" w:eastAsia="zh-CN"/>
              </w:rPr>
              <w:t>4</w:t>
            </w:r>
          </w:p>
        </w:tc>
        <w:tc>
          <w:tcPr>
            <w:tcW w:w="2262" w:type="dxa"/>
            <w:vAlign w:val="center"/>
          </w:tcPr>
          <w:p w14:paraId="428BD0EA">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不</w:t>
            </w:r>
            <w:r>
              <w:rPr>
                <w:rFonts w:hint="eastAsia"/>
                <w:color w:val="auto"/>
                <w:highlight w:val="none"/>
                <w:lang w:eastAsia="zh-CN"/>
              </w:rPr>
              <w:t>良</w:t>
            </w:r>
            <w:r>
              <w:rPr>
                <w:rFonts w:hint="eastAsia"/>
                <w:color w:val="auto"/>
                <w:highlight w:val="none"/>
              </w:rPr>
              <w:t>行为</w:t>
            </w:r>
          </w:p>
        </w:tc>
        <w:tc>
          <w:tcPr>
            <w:tcW w:w="5295" w:type="dxa"/>
            <w:vAlign w:val="center"/>
          </w:tcPr>
          <w:p w14:paraId="17102A3B">
            <w:pPr>
              <w:keepNext w:val="0"/>
              <w:keepLines w:val="0"/>
              <w:suppressLineNumbers w:val="0"/>
              <w:spacing w:before="0" w:beforeAutospacing="0" w:after="0" w:afterAutospacing="0" w:line="240" w:lineRule="auto"/>
              <w:ind w:left="0" w:right="0"/>
              <w:jc w:val="left"/>
              <w:rPr>
                <w:rFonts w:hint="default"/>
                <w:color w:val="auto"/>
                <w:highlight w:val="none"/>
              </w:rPr>
            </w:pPr>
            <w:r>
              <w:rPr>
                <w:rFonts w:hint="eastAsia"/>
                <w:color w:val="auto"/>
                <w:highlight w:val="none"/>
              </w:rPr>
              <w:t>（1）指投标人须知第1.4.3（10）至（17）</w:t>
            </w:r>
            <w:r>
              <w:rPr>
                <w:rFonts w:hint="eastAsia"/>
                <w:color w:val="auto"/>
                <w:highlight w:val="none"/>
                <w:lang w:val="en-US" w:eastAsia="zh-CN"/>
              </w:rPr>
              <w:t>条</w:t>
            </w:r>
            <w:r>
              <w:rPr>
                <w:rFonts w:hint="eastAsia"/>
                <w:color w:val="auto"/>
                <w:highlight w:val="none"/>
              </w:rPr>
              <w:t>目规定的情形。</w:t>
            </w:r>
          </w:p>
          <w:p w14:paraId="4181759E">
            <w:pPr>
              <w:keepNext w:val="0"/>
              <w:keepLines w:val="0"/>
              <w:suppressLineNumbers w:val="0"/>
              <w:spacing w:before="0" w:beforeAutospacing="0" w:after="0" w:afterAutospacing="0" w:line="240" w:lineRule="auto"/>
              <w:ind w:left="0" w:right="0"/>
              <w:jc w:val="left"/>
              <w:rPr>
                <w:rFonts w:hint="default"/>
                <w:color w:val="auto"/>
                <w:highlight w:val="none"/>
              </w:rPr>
            </w:pPr>
            <w:r>
              <w:rPr>
                <w:rFonts w:hint="eastAsia"/>
                <w:color w:val="auto"/>
                <w:highlight w:val="none"/>
              </w:rPr>
              <w:t>（2）投标人须知第1.4.3（13）</w:t>
            </w:r>
            <w:r>
              <w:rPr>
                <w:rFonts w:hint="eastAsia"/>
                <w:color w:val="auto"/>
                <w:highlight w:val="none"/>
                <w:lang w:val="en-US" w:eastAsia="zh-CN"/>
              </w:rPr>
              <w:t>条</w:t>
            </w:r>
            <w:r>
              <w:rPr>
                <w:rFonts w:hint="eastAsia"/>
                <w:color w:val="auto"/>
                <w:highlight w:val="none"/>
              </w:rPr>
              <w:t>目规定的在最近三年内有骗取中标或严重违约或重大工程质量问题的时间以相关行业主管部门行政处罚决定时间或司法机关出具的法律文书时间为准。</w:t>
            </w:r>
          </w:p>
          <w:p w14:paraId="2F567CE9">
            <w:pPr>
              <w:keepNext w:val="0"/>
              <w:keepLines w:val="0"/>
              <w:suppressLineNumbers w:val="0"/>
              <w:spacing w:before="0" w:beforeAutospacing="0" w:after="0" w:afterAutospacing="0" w:line="240" w:lineRule="auto"/>
              <w:ind w:left="0" w:right="0"/>
              <w:jc w:val="left"/>
              <w:rPr>
                <w:rFonts w:hint="default"/>
                <w:color w:val="auto"/>
                <w:highlight w:val="none"/>
              </w:rPr>
            </w:pPr>
            <w:r>
              <w:rPr>
                <w:rFonts w:hint="eastAsia"/>
                <w:color w:val="auto"/>
                <w:highlight w:val="none"/>
              </w:rPr>
              <w:t>特别说明：同一标段项目出现两个（含）以上不同处罚时间（或法律文书时间）均应满足时间要求。</w:t>
            </w:r>
          </w:p>
        </w:tc>
      </w:tr>
      <w:tr w14:paraId="450DB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857" w:type="dxa"/>
            <w:vAlign w:val="center"/>
          </w:tcPr>
          <w:p w14:paraId="7671B4B5">
            <w:pPr>
              <w:keepNext w:val="0"/>
              <w:keepLines w:val="0"/>
              <w:suppressLineNumbers w:val="0"/>
              <w:spacing w:before="0" w:beforeAutospacing="0" w:after="0" w:afterAutospacing="0" w:line="240" w:lineRule="auto"/>
              <w:ind w:left="0" w:right="0"/>
              <w:jc w:val="center"/>
              <w:rPr>
                <w:rFonts w:hint="eastAsia"/>
                <w:color w:val="auto"/>
                <w:szCs w:val="21"/>
                <w:highlight w:val="none"/>
              </w:rPr>
            </w:pPr>
            <w:r>
              <w:rPr>
                <w:rFonts w:hint="eastAsia"/>
                <w:color w:val="auto"/>
                <w:szCs w:val="21"/>
                <w:highlight w:val="none"/>
              </w:rPr>
              <w:t>1</w:t>
            </w:r>
            <w:r>
              <w:rPr>
                <w:rFonts w:hint="default"/>
                <w:color w:val="auto"/>
                <w:szCs w:val="21"/>
                <w:highlight w:val="none"/>
              </w:rPr>
              <w:t>0.1.</w:t>
            </w:r>
            <w:r>
              <w:rPr>
                <w:rFonts w:hint="eastAsia"/>
                <w:color w:val="auto"/>
                <w:szCs w:val="21"/>
                <w:highlight w:val="none"/>
                <w:lang w:val="en-US" w:eastAsia="zh-CN"/>
              </w:rPr>
              <w:t>5</w:t>
            </w:r>
          </w:p>
        </w:tc>
        <w:tc>
          <w:tcPr>
            <w:tcW w:w="2262" w:type="dxa"/>
            <w:vAlign w:val="center"/>
          </w:tcPr>
          <w:p w14:paraId="150EFCED">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现金</w:t>
            </w:r>
          </w:p>
        </w:tc>
        <w:tc>
          <w:tcPr>
            <w:tcW w:w="5295" w:type="dxa"/>
            <w:vAlign w:val="center"/>
          </w:tcPr>
          <w:p w14:paraId="73D8C377">
            <w:pPr>
              <w:keepNext w:val="0"/>
              <w:keepLines w:val="0"/>
              <w:suppressLineNumbers w:val="0"/>
              <w:spacing w:before="0" w:beforeAutospacing="0" w:after="0" w:afterAutospacing="0" w:line="240" w:lineRule="auto"/>
              <w:ind w:left="0" w:right="0"/>
              <w:jc w:val="left"/>
              <w:rPr>
                <w:rFonts w:hint="default"/>
                <w:color w:val="auto"/>
                <w:highlight w:val="none"/>
              </w:rPr>
            </w:pPr>
            <w:r>
              <w:rPr>
                <w:rFonts w:hint="eastAsia"/>
                <w:color w:val="auto"/>
                <w:highlight w:val="none"/>
              </w:rPr>
              <w:t>投标保证金、履约</w:t>
            </w:r>
            <w:r>
              <w:rPr>
                <w:rFonts w:hint="default"/>
                <w:color w:val="auto"/>
                <w:szCs w:val="21"/>
                <w:highlight w:val="none"/>
              </w:rPr>
              <w:t>保证金</w:t>
            </w:r>
            <w:r>
              <w:rPr>
                <w:rFonts w:hint="eastAsia"/>
                <w:color w:val="auto"/>
                <w:highlight w:val="none"/>
              </w:rPr>
              <w:t>现金缴纳方式指通过电汇、支票等广义现金方式缴纳而非现金钞票。</w:t>
            </w:r>
          </w:p>
        </w:tc>
      </w:tr>
      <w:tr w14:paraId="32891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857" w:type="dxa"/>
            <w:vAlign w:val="center"/>
          </w:tcPr>
          <w:p w14:paraId="43EC1025">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10.</w:t>
            </w:r>
            <w:r>
              <w:rPr>
                <w:rFonts w:hint="default"/>
                <w:color w:val="auto"/>
                <w:highlight w:val="none"/>
              </w:rPr>
              <w:t>2</w:t>
            </w:r>
          </w:p>
        </w:tc>
        <w:tc>
          <w:tcPr>
            <w:tcW w:w="2262" w:type="dxa"/>
            <w:vAlign w:val="center"/>
          </w:tcPr>
          <w:p w14:paraId="20DDF55D">
            <w:pPr>
              <w:keepNext w:val="0"/>
              <w:keepLines w:val="0"/>
              <w:suppressLineNumbers w:val="0"/>
              <w:spacing w:before="0" w:beforeAutospacing="0" w:after="0" w:afterAutospacing="0" w:line="240" w:lineRule="auto"/>
              <w:ind w:left="0" w:right="0"/>
              <w:jc w:val="center"/>
              <w:rPr>
                <w:rFonts w:hint="default" w:ascii="宋体" w:hAnsi="宋体"/>
                <w:color w:val="auto"/>
                <w:szCs w:val="21"/>
                <w:highlight w:val="none"/>
              </w:rPr>
            </w:pPr>
            <w:r>
              <w:rPr>
                <w:rFonts w:hint="eastAsia" w:ascii="宋体" w:hAnsi="宋体"/>
                <w:color w:val="auto"/>
                <w:szCs w:val="21"/>
                <w:highlight w:val="none"/>
              </w:rPr>
              <w:t>中标后须提交的</w:t>
            </w:r>
          </w:p>
          <w:p w14:paraId="03E16074">
            <w:pPr>
              <w:keepNext w:val="0"/>
              <w:keepLines w:val="0"/>
              <w:suppressLineNumbers w:val="0"/>
              <w:spacing w:before="0" w:beforeAutospacing="0" w:after="0" w:afterAutospacing="0" w:line="240" w:lineRule="auto"/>
              <w:ind w:left="0" w:right="0"/>
              <w:jc w:val="center"/>
              <w:rPr>
                <w:rFonts w:hint="default" w:ascii="宋体" w:hAnsi="宋体"/>
                <w:color w:val="auto"/>
                <w:szCs w:val="21"/>
                <w:highlight w:val="none"/>
              </w:rPr>
            </w:pPr>
            <w:r>
              <w:rPr>
                <w:rFonts w:hint="eastAsia" w:ascii="宋体" w:hAnsi="宋体"/>
                <w:color w:val="auto"/>
                <w:szCs w:val="21"/>
                <w:highlight w:val="none"/>
              </w:rPr>
              <w:t>纸质投标</w:t>
            </w:r>
            <w:r>
              <w:rPr>
                <w:rFonts w:hint="eastAsia"/>
                <w:color w:val="auto"/>
                <w:highlight w:val="none"/>
              </w:rPr>
              <w:t>文件</w:t>
            </w:r>
          </w:p>
        </w:tc>
        <w:tc>
          <w:tcPr>
            <w:tcW w:w="5295" w:type="dxa"/>
            <w:vAlign w:val="center"/>
          </w:tcPr>
          <w:p w14:paraId="52ABD9CF">
            <w:pPr>
              <w:keepNext w:val="0"/>
              <w:keepLines w:val="0"/>
              <w:suppressLineNumbers w:val="0"/>
              <w:spacing w:before="0" w:beforeAutospacing="0" w:after="0" w:afterAutospacing="0" w:line="240" w:lineRule="auto"/>
              <w:ind w:left="0" w:right="0"/>
              <w:jc w:val="left"/>
              <w:rPr>
                <w:rFonts w:hint="default" w:ascii="宋体" w:hAnsi="宋体"/>
                <w:color w:val="auto"/>
                <w:szCs w:val="21"/>
                <w:highlight w:val="none"/>
                <w:u w:val="single"/>
              </w:rPr>
            </w:pPr>
            <w:r>
              <w:rPr>
                <w:rFonts w:hint="eastAsia" w:ascii="宋体" w:hAnsi="宋体"/>
                <w:color w:val="auto"/>
                <w:szCs w:val="21"/>
                <w:highlight w:val="none"/>
              </w:rPr>
              <w:t>份数：</w:t>
            </w:r>
            <w:r>
              <w:rPr>
                <w:rFonts w:hint="eastAsia" w:ascii="宋体" w:hAnsi="宋体"/>
                <w:color w:val="auto"/>
                <w:szCs w:val="21"/>
                <w:highlight w:val="none"/>
                <w:u w:val="single"/>
                <w:lang w:eastAsia="zh-CN"/>
              </w:rPr>
              <w:t>3</w:t>
            </w:r>
            <w:r>
              <w:rPr>
                <w:rFonts w:hint="eastAsia" w:ascii="宋体" w:hAnsi="宋体"/>
                <w:color w:val="auto"/>
                <w:szCs w:val="21"/>
                <w:highlight w:val="none"/>
              </w:rPr>
              <w:t>份，中标人提交的纸质投标文件应当与投标时的电子投标文件内容一致。</w:t>
            </w:r>
          </w:p>
        </w:tc>
      </w:tr>
      <w:tr w14:paraId="20BBF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jc w:val="center"/>
        </w:trPr>
        <w:tc>
          <w:tcPr>
            <w:tcW w:w="857" w:type="dxa"/>
            <w:vAlign w:val="center"/>
          </w:tcPr>
          <w:p w14:paraId="4E539E4A">
            <w:pPr>
              <w:keepNext w:val="0"/>
              <w:keepLines w:val="0"/>
              <w:suppressLineNumbers w:val="0"/>
              <w:spacing w:before="0" w:beforeAutospacing="0" w:after="0" w:afterAutospacing="0" w:line="240" w:lineRule="auto"/>
              <w:ind w:left="0" w:right="0"/>
              <w:jc w:val="center"/>
              <w:rPr>
                <w:rFonts w:hint="eastAsia"/>
                <w:color w:val="auto"/>
                <w:highlight w:val="none"/>
              </w:rPr>
            </w:pPr>
            <w:r>
              <w:rPr>
                <w:rFonts w:hint="eastAsia"/>
                <w:color w:val="auto"/>
                <w:highlight w:val="none"/>
              </w:rPr>
              <w:t>10.</w:t>
            </w:r>
            <w:r>
              <w:rPr>
                <w:rFonts w:hint="eastAsia"/>
                <w:color w:val="auto"/>
                <w:highlight w:val="none"/>
                <w:lang w:val="en-US" w:eastAsia="zh-CN"/>
              </w:rPr>
              <w:t>6</w:t>
            </w:r>
          </w:p>
        </w:tc>
        <w:tc>
          <w:tcPr>
            <w:tcW w:w="2262" w:type="dxa"/>
            <w:vAlign w:val="center"/>
          </w:tcPr>
          <w:p w14:paraId="0890DB32">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招标人补充的其他</w:t>
            </w:r>
          </w:p>
          <w:p w14:paraId="0734F36A">
            <w:pPr>
              <w:keepNext w:val="0"/>
              <w:keepLines w:val="0"/>
              <w:suppressLineNumbers w:val="0"/>
              <w:spacing w:before="0" w:beforeAutospacing="0" w:after="0" w:afterAutospacing="0" w:line="240" w:lineRule="auto"/>
              <w:ind w:left="0" w:right="0"/>
              <w:jc w:val="center"/>
              <w:rPr>
                <w:rFonts w:hint="default"/>
                <w:color w:val="auto"/>
                <w:highlight w:val="none"/>
              </w:rPr>
            </w:pPr>
            <w:r>
              <w:rPr>
                <w:rFonts w:hint="eastAsia"/>
                <w:color w:val="auto"/>
                <w:highlight w:val="none"/>
              </w:rPr>
              <w:t>内容</w:t>
            </w:r>
          </w:p>
        </w:tc>
        <w:tc>
          <w:tcPr>
            <w:tcW w:w="5295" w:type="dxa"/>
            <w:vAlign w:val="center"/>
          </w:tcPr>
          <w:p w14:paraId="4E0E41DE">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color w:val="auto"/>
                <w:highlight w:val="none"/>
                <w:lang w:eastAsia="zh-CN"/>
              </w:rPr>
            </w:pPr>
            <w:r>
              <w:rPr>
                <w:rFonts w:hint="eastAsia"/>
                <w:color w:val="auto"/>
                <w:highlight w:val="none"/>
                <w:lang w:eastAsia="zh-CN"/>
              </w:rPr>
              <w:t>已发布招标公告的内容与招标文件内容不一致之处，以招标文件为准。</w:t>
            </w:r>
            <w:r>
              <w:rPr>
                <w:rFonts w:hint="eastAsia"/>
                <w:color w:val="auto"/>
                <w:highlight w:val="none"/>
                <w:lang w:eastAsia="zh-CN"/>
              </w:rPr>
              <w:br w:type="textWrapping"/>
            </w:r>
            <w:r>
              <w:rPr>
                <w:rFonts w:hint="eastAsia"/>
                <w:color w:val="auto"/>
                <w:highlight w:val="none"/>
                <w:lang w:eastAsia="zh-CN"/>
              </w:rPr>
              <w:t>二、代理服务费：</w:t>
            </w:r>
            <w:r>
              <w:rPr>
                <w:rFonts w:hint="eastAsia"/>
                <w:color w:val="auto"/>
                <w:highlight w:val="none"/>
                <w:lang w:val="en-US" w:eastAsia="zh-CN"/>
              </w:rPr>
              <w:t>参照《招标代理服务收费管理暂行办法》（计价格〔2002〕1980号）和发改办价格〔2003〕857号文件规定的标准取费90%向中标（成交）投标单位收取，不足6000元的按照6000元收取。</w:t>
            </w:r>
            <w:r>
              <w:rPr>
                <w:rFonts w:hint="eastAsia"/>
                <w:color w:val="auto"/>
                <w:highlight w:val="none"/>
                <w:lang w:eastAsia="zh-CN"/>
              </w:rPr>
              <w:br w:type="textWrapping"/>
            </w:r>
            <w:r>
              <w:rPr>
                <w:rFonts w:hint="eastAsia"/>
                <w:color w:val="auto"/>
                <w:highlight w:val="none"/>
                <w:lang w:eastAsia="zh-CN"/>
              </w:rPr>
              <w:t>三、根据辽宁省住房和城乡建设厅“关于进一步落实招投标各方主体及从业人员实名制的通知 ”，开标前投标人须自行进行二次刷卡（即实名认证），确保项目经理、项目授权委托人二次刷卡通过，项目经理、项目授权委托人须均为已认证状态。</w:t>
            </w:r>
            <w:r>
              <w:rPr>
                <w:rFonts w:hint="eastAsia"/>
                <w:color w:val="auto"/>
                <w:highlight w:val="none"/>
                <w:lang w:eastAsia="zh-CN"/>
              </w:rPr>
              <w:br w:type="textWrapping"/>
            </w:r>
            <w:r>
              <w:rPr>
                <w:rFonts w:hint="eastAsia"/>
                <w:color w:val="auto"/>
                <w:highlight w:val="none"/>
                <w:lang w:eastAsia="zh-CN"/>
              </w:rPr>
              <w:t>四、缴纳中标服务费方式：实名电汇。</w:t>
            </w:r>
            <w:r>
              <w:rPr>
                <w:rFonts w:hint="eastAsia"/>
                <w:color w:val="auto"/>
                <w:highlight w:val="none"/>
                <w:lang w:eastAsia="zh-CN"/>
              </w:rPr>
              <w:br w:type="textWrapping"/>
            </w:r>
            <w:r>
              <w:rPr>
                <w:rFonts w:hint="eastAsia"/>
                <w:color w:val="auto"/>
                <w:highlight w:val="none"/>
                <w:lang w:eastAsia="zh-CN"/>
              </w:rPr>
              <w:t>缴纳中标服务费账号：</w:t>
            </w:r>
            <w:r>
              <w:rPr>
                <w:rFonts w:hint="eastAsia"/>
                <w:color w:val="auto"/>
                <w:highlight w:val="none"/>
                <w:lang w:eastAsia="zh-CN"/>
              </w:rPr>
              <w:br w:type="textWrapping"/>
            </w:r>
            <w:r>
              <w:rPr>
                <w:rFonts w:hint="eastAsia"/>
                <w:color w:val="auto"/>
                <w:highlight w:val="none"/>
                <w:lang w:eastAsia="zh-CN"/>
              </w:rPr>
              <w:t>开户名：辽宁汇诚工程管理咨询有限公司</w:t>
            </w:r>
            <w:r>
              <w:rPr>
                <w:rFonts w:hint="eastAsia"/>
                <w:color w:val="auto"/>
                <w:highlight w:val="none"/>
                <w:lang w:eastAsia="zh-CN"/>
              </w:rPr>
              <w:br w:type="textWrapping"/>
            </w:r>
            <w:r>
              <w:rPr>
                <w:rFonts w:hint="eastAsia"/>
                <w:color w:val="auto"/>
                <w:highlight w:val="none"/>
                <w:lang w:eastAsia="zh-CN"/>
              </w:rPr>
              <w:t>开户银行：中信银行沈阳沈新路支行</w:t>
            </w:r>
            <w:r>
              <w:rPr>
                <w:rFonts w:hint="eastAsia"/>
                <w:color w:val="auto"/>
                <w:highlight w:val="none"/>
                <w:lang w:eastAsia="zh-CN"/>
              </w:rPr>
              <w:br w:type="textWrapping"/>
            </w:r>
            <w:r>
              <w:rPr>
                <w:rFonts w:hint="eastAsia"/>
                <w:color w:val="auto"/>
                <w:highlight w:val="none"/>
                <w:lang w:eastAsia="zh-CN"/>
              </w:rPr>
              <w:t xml:space="preserve">账号：8112 9010 1250 0706 511 </w:t>
            </w:r>
            <w:r>
              <w:rPr>
                <w:rFonts w:hint="eastAsia"/>
                <w:color w:val="auto"/>
                <w:highlight w:val="none"/>
                <w:lang w:eastAsia="zh-CN"/>
              </w:rPr>
              <w:br w:type="textWrapping"/>
            </w:r>
            <w:r>
              <w:rPr>
                <w:rFonts w:hint="eastAsia"/>
                <w:color w:val="auto"/>
                <w:highlight w:val="none"/>
                <w:lang w:eastAsia="zh-CN"/>
              </w:rPr>
              <w:t>五、注意事项：</w:t>
            </w:r>
            <w:r>
              <w:rPr>
                <w:rFonts w:hint="eastAsia"/>
                <w:color w:val="auto"/>
                <w:highlight w:val="none"/>
                <w:lang w:eastAsia="zh-CN"/>
              </w:rPr>
              <w:br w:type="textWrapping"/>
            </w:r>
            <w:r>
              <w:rPr>
                <w:rFonts w:hint="eastAsia"/>
                <w:color w:val="auto"/>
                <w:highlight w:val="none"/>
                <w:lang w:eastAsia="zh-CN"/>
              </w:rPr>
              <w:t>1、投标人须随时关注辽宁建设工程信息网发布的通知（补遗文件、补充通知、招标控制价等信息），招标代理机构不再另行通知。</w:t>
            </w:r>
            <w:r>
              <w:rPr>
                <w:rFonts w:hint="eastAsia"/>
                <w:color w:val="auto"/>
                <w:highlight w:val="none"/>
                <w:lang w:eastAsia="zh-CN"/>
              </w:rPr>
              <w:br w:type="textWrapping"/>
            </w:r>
            <w:r>
              <w:rPr>
                <w:rFonts w:hint="eastAsia"/>
                <w:color w:val="auto"/>
                <w:highlight w:val="none"/>
                <w:lang w:eastAsia="zh-CN"/>
              </w:rPr>
              <w:t>2、投标单位如有疑问， 以邮件形式发送至招标代理机构（lnysyzb@163.com），预留联系人、联系电话、单位名称。</w:t>
            </w:r>
            <w:r>
              <w:rPr>
                <w:rFonts w:hint="eastAsia"/>
                <w:color w:val="auto"/>
                <w:highlight w:val="none"/>
                <w:lang w:eastAsia="zh-CN"/>
              </w:rPr>
              <w:br w:type="textWrapping"/>
            </w:r>
            <w:r>
              <w:rPr>
                <w:rFonts w:hint="eastAsia"/>
                <w:b/>
                <w:bCs/>
                <w:color w:val="auto"/>
                <w:highlight w:val="none"/>
                <w:lang w:eastAsia="zh-CN"/>
              </w:rPr>
              <w:t>六、</w:t>
            </w:r>
            <w:r>
              <w:rPr>
                <w:rFonts w:hint="eastAsia"/>
                <w:b/>
                <w:bCs/>
                <w:color w:val="auto"/>
                <w:highlight w:val="none"/>
                <w:lang w:val="en-US" w:eastAsia="zh-CN"/>
              </w:rPr>
              <w:t>付款方式</w:t>
            </w:r>
          </w:p>
          <w:p w14:paraId="188CFFD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宋体" w:hAnsi="宋体" w:eastAsia="宋体"/>
                <w:b w:val="0"/>
                <w:bCs w:val="0"/>
                <w:color w:val="auto"/>
                <w:highlight w:val="none"/>
                <w:u w:val="none"/>
                <w:lang w:val="en-US" w:eastAsia="zh-CN"/>
              </w:rPr>
            </w:pPr>
            <w:r>
              <w:rPr>
                <w:rFonts w:hint="default" w:ascii="宋体" w:hAnsi="宋体" w:eastAsia="宋体"/>
                <w:b w:val="0"/>
                <w:bCs w:val="0"/>
                <w:color w:val="auto"/>
                <w:highlight w:val="none"/>
                <w:u w:val="none"/>
                <w:lang w:val="en-US" w:eastAsia="zh-CN"/>
              </w:rPr>
              <w:t>①预付款：</w:t>
            </w:r>
          </w:p>
          <w:p w14:paraId="0CE41F3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宋体" w:hAnsi="宋体" w:eastAsia="宋体"/>
                <w:b w:val="0"/>
                <w:bCs w:val="0"/>
                <w:color w:val="auto"/>
                <w:highlight w:val="none"/>
                <w:u w:val="none"/>
                <w:lang w:val="en-US" w:eastAsia="zh-CN"/>
              </w:rPr>
            </w:pPr>
            <w:r>
              <w:rPr>
                <w:rFonts w:hint="default" w:ascii="宋体" w:hAnsi="宋体" w:eastAsia="宋体"/>
                <w:b w:val="0"/>
                <w:bCs w:val="0"/>
                <w:color w:val="auto"/>
                <w:highlight w:val="none"/>
                <w:u w:val="none"/>
                <w:lang w:val="en-US" w:eastAsia="zh-CN"/>
              </w:rPr>
              <w:t>支付比例或金额：预付款为合同金额的30%。</w:t>
            </w:r>
          </w:p>
          <w:p w14:paraId="13411D6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宋体" w:hAnsi="宋体" w:eastAsia="宋体"/>
                <w:b w:val="0"/>
                <w:bCs w:val="0"/>
                <w:color w:val="auto"/>
                <w:highlight w:val="none"/>
                <w:u w:val="none"/>
                <w:lang w:val="en-US" w:eastAsia="zh-CN"/>
              </w:rPr>
            </w:pPr>
            <w:r>
              <w:rPr>
                <w:rFonts w:hint="default" w:ascii="宋体" w:hAnsi="宋体" w:eastAsia="宋体"/>
                <w:b w:val="0"/>
                <w:bCs w:val="0"/>
                <w:color w:val="auto"/>
                <w:highlight w:val="none"/>
                <w:u w:val="none"/>
                <w:lang w:val="en-US" w:eastAsia="zh-CN"/>
              </w:rPr>
              <w:t>预付款支付期限：在投标人进场前的7天内支付预付款。</w:t>
            </w:r>
          </w:p>
          <w:p w14:paraId="5305231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宋体" w:hAnsi="宋体" w:eastAsia="宋体"/>
                <w:b w:val="0"/>
                <w:bCs w:val="0"/>
                <w:color w:val="auto"/>
                <w:highlight w:val="none"/>
                <w:u w:val="none"/>
                <w:lang w:val="en-US" w:eastAsia="zh-CN"/>
              </w:rPr>
            </w:pPr>
            <w:r>
              <w:rPr>
                <w:rFonts w:hint="default" w:ascii="宋体" w:hAnsi="宋体" w:eastAsia="宋体"/>
                <w:b w:val="0"/>
                <w:bCs w:val="0"/>
                <w:color w:val="auto"/>
                <w:highlight w:val="none"/>
                <w:u w:val="none"/>
                <w:lang w:val="en-US" w:eastAsia="zh-CN"/>
              </w:rPr>
              <w:t>预付款扣回的方式：预付款在工程进度款中抵扣</w:t>
            </w:r>
            <w:r>
              <w:rPr>
                <w:rFonts w:hint="eastAsia" w:ascii="宋体" w:hAnsi="宋体" w:eastAsia="宋体"/>
                <w:b w:val="0"/>
                <w:bCs w:val="0"/>
                <w:color w:val="auto"/>
                <w:highlight w:val="none"/>
                <w:u w:val="none"/>
                <w:lang w:val="en-US" w:eastAsia="zh-CN"/>
              </w:rPr>
              <w:t>。</w:t>
            </w:r>
          </w:p>
          <w:p w14:paraId="58E1C25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宋体" w:hAnsi="宋体" w:eastAsia="宋体"/>
                <w:b w:val="0"/>
                <w:bCs w:val="0"/>
                <w:color w:val="auto"/>
                <w:highlight w:val="none"/>
                <w:u w:val="none"/>
                <w:lang w:val="en-US" w:eastAsia="zh-CN"/>
              </w:rPr>
            </w:pPr>
            <w:r>
              <w:rPr>
                <w:rFonts w:hint="default" w:ascii="宋体" w:hAnsi="宋体" w:eastAsia="宋体"/>
                <w:b w:val="0"/>
                <w:bCs w:val="0"/>
                <w:color w:val="auto"/>
                <w:highlight w:val="none"/>
                <w:u w:val="none"/>
                <w:lang w:val="en-US" w:eastAsia="zh-CN"/>
              </w:rPr>
              <w:t>②进度款：</w:t>
            </w:r>
          </w:p>
          <w:p w14:paraId="0D48AF2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宋体" w:hAnsi="宋体" w:eastAsia="宋体"/>
                <w:b w:val="0"/>
                <w:bCs w:val="0"/>
                <w:color w:val="auto"/>
                <w:highlight w:val="none"/>
                <w:u w:val="none"/>
                <w:lang w:val="en-US" w:eastAsia="zh-CN"/>
              </w:rPr>
            </w:pPr>
            <w:r>
              <w:rPr>
                <w:rFonts w:hint="default" w:ascii="宋体" w:hAnsi="宋体" w:eastAsia="宋体"/>
                <w:b w:val="0"/>
                <w:bCs w:val="0"/>
                <w:color w:val="auto"/>
                <w:highlight w:val="none"/>
                <w:u w:val="none"/>
                <w:lang w:val="en-US" w:eastAsia="zh-CN"/>
              </w:rPr>
              <w:t>按合同约定和工程形象进度付款，预付款在工程进度款中抵扣；</w:t>
            </w:r>
          </w:p>
          <w:p w14:paraId="2101E82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宋体" w:hAnsi="宋体" w:eastAsia="宋体"/>
                <w:b w:val="0"/>
                <w:bCs w:val="0"/>
                <w:color w:val="auto"/>
                <w:highlight w:val="none"/>
                <w:u w:val="none"/>
                <w:lang w:val="en-US" w:eastAsia="zh-CN"/>
              </w:rPr>
            </w:pPr>
            <w:r>
              <w:rPr>
                <w:rFonts w:hint="default" w:ascii="宋体" w:hAnsi="宋体" w:eastAsia="宋体"/>
                <w:b w:val="0"/>
                <w:bCs w:val="0"/>
                <w:color w:val="auto"/>
                <w:highlight w:val="none"/>
                <w:u w:val="none"/>
                <w:lang w:val="en-US" w:eastAsia="zh-CN"/>
              </w:rPr>
              <w:t>③竣工验收合格后、项目竣工结算审核前，支付至合同金额的80%；</w:t>
            </w:r>
          </w:p>
          <w:p w14:paraId="15978C6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textAlignment w:val="auto"/>
              <w:rPr>
                <w:rFonts w:hint="default" w:ascii="宋体" w:hAnsi="宋体" w:eastAsia="宋体"/>
                <w:b w:val="0"/>
                <w:bCs w:val="0"/>
                <w:color w:val="auto"/>
                <w:highlight w:val="none"/>
                <w:u w:val="none"/>
                <w:lang w:val="en-US" w:eastAsia="zh-CN"/>
              </w:rPr>
            </w:pPr>
            <w:r>
              <w:rPr>
                <w:rFonts w:hint="default" w:ascii="宋体" w:hAnsi="宋体" w:eastAsia="宋体"/>
                <w:b w:val="0"/>
                <w:bCs w:val="0"/>
                <w:color w:val="auto"/>
                <w:highlight w:val="none"/>
                <w:u w:val="none"/>
                <w:lang w:val="en-US" w:eastAsia="zh-CN"/>
              </w:rPr>
              <w:t>④上级部门委托中介机构审核后</w:t>
            </w:r>
            <w:r>
              <w:rPr>
                <w:rFonts w:hint="eastAsia" w:ascii="宋体" w:hAnsi="宋体"/>
                <w:b w:val="0"/>
                <w:bCs w:val="0"/>
                <w:color w:val="auto"/>
                <w:highlight w:val="none"/>
                <w:u w:val="none"/>
                <w:lang w:val="en-US" w:eastAsia="zh-CN"/>
              </w:rPr>
              <w:t>，</w:t>
            </w:r>
            <w:r>
              <w:rPr>
                <w:rFonts w:hint="default" w:ascii="宋体" w:hAnsi="宋体" w:eastAsia="宋体"/>
                <w:b w:val="0"/>
                <w:bCs w:val="0"/>
                <w:color w:val="auto"/>
                <w:highlight w:val="none"/>
                <w:u w:val="none"/>
                <w:lang w:val="en-US" w:eastAsia="zh-CN"/>
              </w:rPr>
              <w:t>按照结算金额预留质保金即结算金额的3%后支付尾款。</w:t>
            </w:r>
          </w:p>
          <w:p w14:paraId="08ADC2F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宋体" w:hAnsi="宋体" w:eastAsia="宋体"/>
                <w:color w:val="auto"/>
                <w:highlight w:val="none"/>
                <w:u w:val="single"/>
                <w:lang w:val="en-US" w:eastAsia="zh-CN"/>
              </w:rPr>
            </w:pPr>
            <w:r>
              <w:rPr>
                <w:rFonts w:hint="eastAsia" w:ascii="宋体" w:hAnsi="宋体" w:eastAsia="宋体"/>
                <w:b/>
                <w:bCs/>
                <w:color w:val="auto"/>
                <w:highlight w:val="none"/>
                <w:u w:val="none"/>
                <w:lang w:val="en-US" w:eastAsia="zh-CN"/>
              </w:rPr>
              <w:t>七、</w:t>
            </w:r>
            <w:r>
              <w:rPr>
                <w:rFonts w:hint="default" w:ascii="宋体" w:hAnsi="宋体" w:eastAsia="宋体"/>
                <w:b/>
                <w:bCs/>
                <w:color w:val="auto"/>
                <w:highlight w:val="none"/>
                <w:u w:val="none"/>
                <w:lang w:val="en-US" w:eastAsia="zh-CN"/>
              </w:rPr>
              <w:t>质保金：</w:t>
            </w:r>
            <w:r>
              <w:rPr>
                <w:rFonts w:hint="default" w:ascii="宋体" w:hAnsi="宋体" w:eastAsia="宋体"/>
                <w:color w:val="auto"/>
                <w:highlight w:val="none"/>
                <w:u w:val="none"/>
                <w:lang w:val="en-US" w:eastAsia="zh-CN"/>
              </w:rPr>
              <w:t>结算工程款的</w:t>
            </w:r>
            <w:r>
              <w:rPr>
                <w:rFonts w:hint="eastAsia" w:ascii="宋体" w:hAnsi="宋体" w:eastAsia="宋体"/>
                <w:color w:val="auto"/>
                <w:highlight w:val="none"/>
                <w:u w:val="none"/>
                <w:lang w:val="en-US" w:eastAsia="zh-CN"/>
              </w:rPr>
              <w:t>3</w:t>
            </w:r>
            <w:r>
              <w:rPr>
                <w:rFonts w:hint="default" w:ascii="宋体" w:hAnsi="宋体" w:eastAsia="宋体"/>
                <w:color w:val="auto"/>
                <w:highlight w:val="none"/>
                <w:u w:val="none"/>
                <w:lang w:val="en-US" w:eastAsia="zh-CN"/>
              </w:rPr>
              <w:t>%</w:t>
            </w:r>
          </w:p>
          <w:p w14:paraId="1C9C292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color w:val="auto"/>
                <w:highlight w:val="none"/>
                <w:lang w:val="en-US" w:eastAsia="zh-CN"/>
              </w:rPr>
            </w:pPr>
            <w:r>
              <w:rPr>
                <w:rFonts w:hint="eastAsia"/>
                <w:b/>
                <w:bCs/>
                <w:color w:val="auto"/>
                <w:highlight w:val="none"/>
                <w:lang w:val="en-US" w:eastAsia="zh-CN"/>
              </w:rPr>
              <w:t>注：</w:t>
            </w:r>
            <w:r>
              <w:rPr>
                <w:rFonts w:hint="eastAsia" w:ascii="宋体" w:hAnsi="宋体" w:eastAsia="宋体"/>
                <w:b/>
                <w:bCs/>
                <w:color w:val="auto"/>
                <w:highlight w:val="none"/>
                <w:u w:val="none"/>
                <w:lang w:val="en-US" w:eastAsia="zh-CN"/>
              </w:rPr>
              <w:t>质量保证金的扣留采取方式：</w:t>
            </w:r>
            <w:r>
              <w:rPr>
                <w:rFonts w:hint="eastAsia" w:ascii="宋体" w:hAnsi="宋体"/>
                <w:b w:val="0"/>
                <w:bCs w:val="0"/>
                <w:color w:val="auto"/>
                <w:highlight w:val="none"/>
                <w:u w:val="none"/>
                <w:lang w:val="en-US" w:eastAsia="zh-CN"/>
              </w:rPr>
              <w:t>工程质量保证金为结算工程款的3%，在工程竣工结算时一次性扣留。</w:t>
            </w:r>
            <w:r>
              <w:rPr>
                <w:rFonts w:hint="eastAsia"/>
                <w:color w:val="auto"/>
                <w:highlight w:val="none"/>
                <w:lang w:eastAsia="zh-CN"/>
              </w:rPr>
              <w:br w:type="textWrapping"/>
            </w:r>
            <w:r>
              <w:rPr>
                <w:rFonts w:hint="eastAsia"/>
                <w:b/>
                <w:bCs/>
                <w:color w:val="auto"/>
                <w:highlight w:val="none"/>
                <w:lang w:val="en-US" w:eastAsia="zh-CN"/>
              </w:rPr>
              <w:t>八、质量保修期</w:t>
            </w:r>
            <w:r>
              <w:rPr>
                <w:rFonts w:hint="eastAsia"/>
                <w:color w:val="auto"/>
                <w:highlight w:val="none"/>
                <w:lang w:val="en-US" w:eastAsia="zh-CN"/>
              </w:rPr>
              <w:t>：装修工程2年，防水工程5年，电气、给排水工程2年，暖通空调工程2年，质保期自竣工验收合格之日起计算。质保期内出现质量问题，承包人应在接到通知后48小时内到场维修，费用由承包人承担。</w:t>
            </w:r>
          </w:p>
          <w:p w14:paraId="10F2238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t>九、缺陷责任期：2年</w:t>
            </w:r>
          </w:p>
          <w:p w14:paraId="6425612C">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theme="minorBidi"/>
                <w:b/>
                <w:bCs/>
                <w:color w:val="auto"/>
                <w:kern w:val="2"/>
                <w:sz w:val="21"/>
                <w:szCs w:val="24"/>
                <w:highlight w:val="none"/>
                <w:u w:val="none"/>
                <w:lang w:val="en-US" w:eastAsia="zh-CN" w:bidi="ar-SA"/>
              </w:rPr>
            </w:pPr>
            <w:r>
              <w:rPr>
                <w:rFonts w:hint="eastAsia"/>
                <w:b/>
                <w:bCs/>
                <w:color w:val="auto"/>
                <w:highlight w:val="none"/>
                <w:lang w:val="en-US" w:eastAsia="zh-CN"/>
              </w:rPr>
              <w:t>十、</w:t>
            </w:r>
            <w:r>
              <w:rPr>
                <w:rFonts w:hint="eastAsia" w:ascii="宋体" w:hAnsi="宋体" w:eastAsia="宋体" w:cstheme="minorBidi"/>
                <w:b/>
                <w:bCs/>
                <w:color w:val="auto"/>
                <w:kern w:val="2"/>
                <w:sz w:val="21"/>
                <w:szCs w:val="24"/>
                <w:highlight w:val="none"/>
                <w:u w:val="none"/>
                <w:lang w:val="en-US" w:eastAsia="zh-CN" w:bidi="ar-SA"/>
              </w:rPr>
              <w:t>合同方式</w:t>
            </w:r>
          </w:p>
          <w:p w14:paraId="1E62632F">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hint="default"/>
                <w:color w:val="auto"/>
                <w:highlight w:val="none"/>
                <w:lang w:val="en-US" w:eastAsia="zh-CN"/>
              </w:rPr>
            </w:pPr>
            <w:r>
              <w:rPr>
                <w:rFonts w:hint="eastAsia" w:ascii="宋体" w:hAnsi="宋体" w:eastAsia="宋体" w:cstheme="minorBidi"/>
                <w:b w:val="0"/>
                <w:bCs w:val="0"/>
                <w:color w:val="auto"/>
                <w:kern w:val="2"/>
                <w:sz w:val="21"/>
                <w:szCs w:val="24"/>
                <w:highlight w:val="none"/>
                <w:u w:val="none"/>
                <w:lang w:val="en-US" w:eastAsia="zh-CN" w:bidi="ar-SA"/>
              </w:rPr>
              <w:t>本项目实行工程量清单计价，采用固定综合单价合同，中标的综合单价即为合同单价。投标人所填写的固定单价在合同实施期间，不因市场变化因素而变动；结算总金额依据竣工结算资料以及约定结算原则，经第三方造价咨询单位最终审定后确定。</w:t>
            </w:r>
          </w:p>
          <w:p w14:paraId="2EB9CEF2">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theme="minorBidi"/>
                <w:b/>
                <w:bCs/>
                <w:color w:val="auto"/>
                <w:kern w:val="2"/>
                <w:sz w:val="21"/>
                <w:szCs w:val="24"/>
                <w:highlight w:val="none"/>
                <w:u w:val="none"/>
                <w:lang w:val="en-US" w:eastAsia="zh-CN" w:bidi="ar-SA"/>
              </w:rPr>
            </w:pPr>
            <w:r>
              <w:rPr>
                <w:rFonts w:hint="eastAsia"/>
                <w:b/>
                <w:bCs/>
                <w:color w:val="auto"/>
                <w:highlight w:val="none"/>
                <w:lang w:val="en-US" w:eastAsia="zh-CN"/>
              </w:rPr>
              <w:t>十一、</w:t>
            </w:r>
            <w:r>
              <w:rPr>
                <w:rFonts w:hint="eastAsia" w:ascii="宋体" w:hAnsi="宋体" w:eastAsia="宋体" w:cstheme="minorBidi"/>
                <w:b/>
                <w:bCs/>
                <w:color w:val="auto"/>
                <w:kern w:val="2"/>
                <w:sz w:val="21"/>
                <w:szCs w:val="24"/>
                <w:highlight w:val="none"/>
                <w:u w:val="none"/>
                <w:lang w:val="en-US" w:eastAsia="zh-CN" w:bidi="ar-SA"/>
              </w:rPr>
              <w:t>违约责任</w:t>
            </w:r>
          </w:p>
          <w:p w14:paraId="0F1AC1FC">
            <w:pPr>
              <w:pStyle w:val="7"/>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theme="minorBidi"/>
                <w:b w:val="0"/>
                <w:bCs w:val="0"/>
                <w:color w:val="auto"/>
                <w:kern w:val="2"/>
                <w:sz w:val="21"/>
                <w:szCs w:val="24"/>
                <w:highlight w:val="none"/>
                <w:u w:val="none"/>
                <w:lang w:val="en-US" w:eastAsia="zh-CN" w:bidi="ar-SA"/>
              </w:rPr>
            </w:pPr>
            <w:r>
              <w:rPr>
                <w:rFonts w:hint="eastAsia" w:ascii="宋体" w:hAnsi="宋体" w:eastAsia="宋体" w:cstheme="minorBidi"/>
                <w:b w:val="0"/>
                <w:bCs w:val="0"/>
                <w:color w:val="auto"/>
                <w:kern w:val="2"/>
                <w:sz w:val="21"/>
                <w:szCs w:val="24"/>
                <w:highlight w:val="none"/>
                <w:u w:val="none"/>
                <w:lang w:val="en-US" w:eastAsia="zh-CN" w:bidi="ar-SA"/>
              </w:rPr>
              <w:t>（1）合同生效后，中标人因自身原因要求终止或解除合同，中标人应双倍返还招标人已支付的定金或中标人按照专用合同条款约定向招标人支付违约金。</w:t>
            </w:r>
          </w:p>
          <w:p w14:paraId="4660B935">
            <w:pPr>
              <w:pStyle w:val="7"/>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theme="minorBidi"/>
                <w:b w:val="0"/>
                <w:bCs w:val="0"/>
                <w:color w:val="auto"/>
                <w:kern w:val="2"/>
                <w:sz w:val="21"/>
                <w:szCs w:val="24"/>
                <w:highlight w:val="none"/>
                <w:u w:val="none"/>
                <w:lang w:val="en-US" w:eastAsia="zh-CN" w:bidi="ar-SA"/>
              </w:rPr>
            </w:pPr>
            <w:r>
              <w:rPr>
                <w:rFonts w:hint="eastAsia" w:ascii="宋体" w:hAnsi="宋体" w:eastAsia="宋体" w:cstheme="minorBidi"/>
                <w:b w:val="0"/>
                <w:bCs w:val="0"/>
                <w:color w:val="auto"/>
                <w:kern w:val="2"/>
                <w:sz w:val="21"/>
                <w:szCs w:val="24"/>
                <w:highlight w:val="none"/>
                <w:u w:val="none"/>
                <w:lang w:val="en-US" w:eastAsia="zh-CN" w:bidi="ar-SA"/>
              </w:rPr>
              <w:t>（2）因中标人原因造成工期延误的，应按专用合同条款约定向招标人支付违约金。</w:t>
            </w:r>
          </w:p>
          <w:p w14:paraId="0DE5EBEE">
            <w:pPr>
              <w:pStyle w:val="7"/>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theme="minorBidi"/>
                <w:b w:val="0"/>
                <w:bCs w:val="0"/>
                <w:color w:val="auto"/>
                <w:kern w:val="2"/>
                <w:sz w:val="21"/>
                <w:szCs w:val="24"/>
                <w:highlight w:val="none"/>
                <w:u w:val="none"/>
                <w:lang w:val="en-US" w:eastAsia="zh-CN" w:bidi="ar-SA"/>
              </w:rPr>
            </w:pPr>
            <w:r>
              <w:rPr>
                <w:rFonts w:hint="eastAsia" w:ascii="宋体" w:hAnsi="宋体" w:eastAsia="宋体" w:cstheme="minorBidi"/>
                <w:b w:val="0"/>
                <w:bCs w:val="0"/>
                <w:color w:val="auto"/>
                <w:kern w:val="2"/>
                <w:sz w:val="21"/>
                <w:szCs w:val="24"/>
                <w:highlight w:val="none"/>
                <w:u w:val="none"/>
                <w:lang w:val="en-US" w:eastAsia="zh-CN" w:bidi="ar-SA"/>
              </w:rPr>
              <w:t>（3）因中标人原因造成成果资料质量达不到合同约定的质量标准，中标人应负责无偿给予补充完善使其达到质量合格。因中标人原因导致工程质量安全事故或其他事故时，中标人除负责采取补救措施外，应通过向招标人承担赔偿责任或根据直接经济损失程度按专用合同条款约定向招标人支付赔偿金。</w:t>
            </w:r>
          </w:p>
          <w:p w14:paraId="388E43A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eastAsia" w:ascii="宋体" w:hAnsi="宋体" w:eastAsia="宋体" w:cstheme="minorBidi"/>
                <w:b w:val="0"/>
                <w:bCs w:val="0"/>
                <w:color w:val="auto"/>
                <w:kern w:val="2"/>
                <w:sz w:val="21"/>
                <w:szCs w:val="24"/>
                <w:highlight w:val="none"/>
                <w:u w:val="none"/>
                <w:lang w:val="en-US" w:eastAsia="zh-CN" w:bidi="ar-SA"/>
              </w:rPr>
              <w:t>（4）中标人发生其他违约情形时，中标人应承担违约责任并赔偿因其违约给招标人造成的损失，双方可在专用合同条款内约定中标人赔偿招标人损失的计算方法和赔偿金额。</w:t>
            </w:r>
          </w:p>
          <w:p w14:paraId="4D35831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textAlignment w:val="auto"/>
              <w:rPr>
                <w:rFonts w:hint="eastAsia" w:ascii="宋体" w:hAnsi="宋体" w:eastAsia="宋体" w:cstheme="minorBidi"/>
                <w:b/>
                <w:bCs/>
                <w:color w:val="auto"/>
                <w:kern w:val="2"/>
                <w:sz w:val="21"/>
                <w:szCs w:val="24"/>
                <w:highlight w:val="none"/>
                <w:u w:val="none"/>
                <w:lang w:val="en-US" w:eastAsia="zh-CN" w:bidi="ar-SA"/>
              </w:rPr>
            </w:pPr>
            <w:r>
              <w:rPr>
                <w:rFonts w:hint="eastAsia" w:ascii="宋体" w:hAnsi="宋体" w:eastAsia="宋体" w:cstheme="minorBidi"/>
                <w:b/>
                <w:bCs/>
                <w:color w:val="auto"/>
                <w:kern w:val="2"/>
                <w:sz w:val="21"/>
                <w:szCs w:val="24"/>
                <w:highlight w:val="none"/>
                <w:u w:val="none"/>
                <w:lang w:val="en-US" w:eastAsia="zh-CN" w:bidi="ar-SA"/>
              </w:rPr>
              <w:t>十二、承包方式</w:t>
            </w:r>
          </w:p>
          <w:p w14:paraId="32877B7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420" w:firstLineChars="200"/>
              <w:textAlignment w:val="auto"/>
              <w:rPr>
                <w:rFonts w:hint="default"/>
                <w:color w:val="auto"/>
                <w:highlight w:val="none"/>
                <w:lang w:val="en-US" w:eastAsia="zh-CN"/>
              </w:rPr>
            </w:pPr>
            <w:r>
              <w:rPr>
                <w:rFonts w:hint="eastAsia" w:ascii="宋体" w:hAnsi="宋体" w:eastAsia="宋体" w:cstheme="minorBidi"/>
                <w:b w:val="0"/>
                <w:bCs w:val="0"/>
                <w:color w:val="auto"/>
                <w:kern w:val="2"/>
                <w:sz w:val="21"/>
                <w:szCs w:val="24"/>
                <w:highlight w:val="none"/>
                <w:u w:val="none"/>
                <w:lang w:val="en-US" w:eastAsia="zh-CN" w:bidi="ar-SA"/>
              </w:rPr>
              <w:t>本工程承包方式为包工包料，承包单位采购的材料、设备，需经招标人认可批准并经监理单位认证后方可采购和使用。投标时选用的材料如不符合工程规范和设计要求，施工时必须予以更换，但材料价格及涉及</w:t>
            </w:r>
            <w:r>
              <w:rPr>
                <w:rFonts w:hint="eastAsia" w:ascii="宋体" w:hAnsi="宋体" w:cstheme="minorBidi"/>
                <w:b w:val="0"/>
                <w:bCs w:val="0"/>
                <w:color w:val="auto"/>
                <w:kern w:val="2"/>
                <w:sz w:val="21"/>
                <w:szCs w:val="24"/>
                <w:highlight w:val="none"/>
                <w:u w:val="none"/>
                <w:lang w:val="en-US" w:eastAsia="zh-CN" w:bidi="ar-SA"/>
              </w:rPr>
              <w:t>的其他费用</w:t>
            </w:r>
            <w:r>
              <w:rPr>
                <w:rFonts w:hint="eastAsia" w:ascii="宋体" w:hAnsi="宋体" w:eastAsia="宋体" w:cstheme="minorBidi"/>
                <w:b w:val="0"/>
                <w:bCs w:val="0"/>
                <w:color w:val="auto"/>
                <w:kern w:val="2"/>
                <w:sz w:val="21"/>
                <w:szCs w:val="24"/>
                <w:highlight w:val="none"/>
                <w:u w:val="none"/>
                <w:lang w:val="en-US" w:eastAsia="zh-CN" w:bidi="ar-SA"/>
              </w:rPr>
              <w:t>均不</w:t>
            </w:r>
            <w:r>
              <w:rPr>
                <w:rFonts w:hint="eastAsia" w:ascii="宋体" w:hAnsi="宋体" w:cstheme="minorBidi"/>
                <w:b w:val="0"/>
                <w:bCs w:val="0"/>
                <w:color w:val="auto"/>
                <w:kern w:val="2"/>
                <w:sz w:val="21"/>
                <w:szCs w:val="24"/>
                <w:highlight w:val="none"/>
                <w:u w:val="none"/>
                <w:lang w:val="en-US" w:eastAsia="zh-CN" w:bidi="ar-SA"/>
              </w:rPr>
              <w:t>作</w:t>
            </w:r>
            <w:r>
              <w:rPr>
                <w:rFonts w:hint="eastAsia" w:ascii="宋体" w:hAnsi="宋体" w:eastAsia="宋体" w:cstheme="minorBidi"/>
                <w:b w:val="0"/>
                <w:bCs w:val="0"/>
                <w:color w:val="auto"/>
                <w:kern w:val="2"/>
                <w:sz w:val="21"/>
                <w:szCs w:val="24"/>
                <w:highlight w:val="none"/>
                <w:u w:val="none"/>
                <w:lang w:val="en-US" w:eastAsia="zh-CN" w:bidi="ar-SA"/>
              </w:rPr>
              <w:t>调整。</w:t>
            </w:r>
          </w:p>
          <w:p w14:paraId="2C458C6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textAlignment w:val="auto"/>
              <w:rPr>
                <w:rFonts w:hint="eastAsia"/>
                <w:b/>
                <w:bCs/>
                <w:color w:val="auto"/>
                <w:highlight w:val="none"/>
                <w:lang w:val="en-US" w:eastAsia="zh-CN"/>
              </w:rPr>
            </w:pPr>
            <w:r>
              <w:rPr>
                <w:rFonts w:hint="eastAsia"/>
                <w:b/>
                <w:bCs/>
                <w:color w:val="auto"/>
                <w:highlight w:val="none"/>
                <w:lang w:val="en-US" w:eastAsia="zh-CN"/>
              </w:rPr>
              <w:t>十三、结算要求</w:t>
            </w:r>
          </w:p>
          <w:p w14:paraId="55B7C4C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textAlignment w:val="auto"/>
              <w:rPr>
                <w:rFonts w:hint="eastAsia"/>
                <w:color w:val="auto"/>
                <w:highlight w:val="none"/>
                <w:lang w:val="en-US" w:eastAsia="zh-CN"/>
              </w:rPr>
            </w:pPr>
            <w:r>
              <w:rPr>
                <w:rFonts w:hint="eastAsia"/>
                <w:color w:val="auto"/>
                <w:highlight w:val="none"/>
                <w:lang w:val="en-US" w:eastAsia="zh-CN"/>
              </w:rPr>
              <w:t>（1）投标人所报综合单价为固定综合单价，综合单价由人工费、材料费、施工机具使用费、管理费、利润等组成，包括相应清单项目约定或合理范围的风险费，以及不可或缺的辅助工作所需的费用。</w:t>
            </w:r>
          </w:p>
          <w:p w14:paraId="219E16B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textAlignment w:val="auto"/>
              <w:rPr>
                <w:rFonts w:hint="eastAsia"/>
                <w:color w:val="auto"/>
                <w:highlight w:val="none"/>
                <w:lang w:val="en-US" w:eastAsia="zh-CN"/>
              </w:rPr>
            </w:pPr>
            <w:r>
              <w:rPr>
                <w:rFonts w:hint="eastAsia"/>
                <w:color w:val="auto"/>
                <w:highlight w:val="none"/>
                <w:lang w:val="en-US" w:eastAsia="zh-CN"/>
              </w:rPr>
              <w:t>（2）综合单价竣工结算时不得调整。综合单价不因下列因素（不限于）变化而调整（合同专用条款有特殊约定的除外）：如劳务和（或）材料价格的变化、工程变更、工程项目及工程量的增减以及其他事项等。施工过程中因变更施工工艺及优化施工方案增加的材料损耗应综合考虑到综合单价中，结算时不因材料损耗增加综合单价，亦不因材料变化增加损耗而变更综合单价。</w:t>
            </w:r>
          </w:p>
          <w:p w14:paraId="221C64D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textAlignment w:val="auto"/>
              <w:rPr>
                <w:rFonts w:hint="eastAsia"/>
                <w:color w:val="auto"/>
                <w:highlight w:val="none"/>
                <w:lang w:val="en-US" w:eastAsia="zh-CN"/>
              </w:rPr>
            </w:pPr>
            <w:r>
              <w:rPr>
                <w:rFonts w:hint="eastAsia"/>
                <w:color w:val="auto"/>
                <w:highlight w:val="none"/>
                <w:lang w:val="en-US" w:eastAsia="zh-CN"/>
              </w:rPr>
              <w:t>（3）招标清单漏项或新增价格确定原则，发生工程变更、新增工程、工程索赔包含不限于变更单、洽商单、工作联系单等，分部分项工程量清单漏项等，由此引起新的工程清单项目，其对应的综合单价按以下方式确定：</w:t>
            </w:r>
          </w:p>
          <w:p w14:paraId="5FF2900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textAlignment w:val="auto"/>
              <w:rPr>
                <w:rFonts w:hint="eastAsia"/>
                <w:color w:val="auto"/>
                <w:highlight w:val="none"/>
                <w:lang w:val="en-US" w:eastAsia="zh-CN"/>
              </w:rPr>
            </w:pPr>
            <w:r>
              <w:rPr>
                <w:rFonts w:hint="eastAsia"/>
                <w:color w:val="auto"/>
                <w:highlight w:val="none"/>
                <w:lang w:val="en-US" w:eastAsia="zh-CN"/>
              </w:rPr>
              <w:t>1）合同中已有适用的综合单价，按合同中已有的综合单价确认 ；</w:t>
            </w:r>
          </w:p>
          <w:p w14:paraId="7BB0351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textAlignment w:val="auto"/>
              <w:rPr>
                <w:rFonts w:hint="eastAsia"/>
                <w:color w:val="auto"/>
                <w:highlight w:val="none"/>
                <w:lang w:val="en-US" w:eastAsia="zh-CN"/>
              </w:rPr>
            </w:pPr>
            <w:r>
              <w:rPr>
                <w:rFonts w:hint="eastAsia"/>
                <w:color w:val="auto"/>
                <w:highlight w:val="none"/>
                <w:lang w:val="en-US" w:eastAsia="zh-CN"/>
              </w:rPr>
              <w:t>2）合同中有类似的综合单价，参照类似的综合单价确定 ；</w:t>
            </w:r>
          </w:p>
          <w:p w14:paraId="30DDE11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textAlignment w:val="auto"/>
              <w:rPr>
                <w:rFonts w:hint="eastAsia"/>
                <w:color w:val="auto"/>
                <w:highlight w:val="none"/>
                <w:lang w:val="en-US" w:eastAsia="zh-CN"/>
              </w:rPr>
            </w:pPr>
            <w:r>
              <w:rPr>
                <w:rFonts w:hint="eastAsia"/>
                <w:color w:val="auto"/>
                <w:highlight w:val="none"/>
                <w:lang w:val="en-US" w:eastAsia="zh-CN"/>
              </w:rPr>
              <w:t>3）合同中没有适用或类似的综合单价，采用24年辽宁定额计价重新组价，相关单价和费率按如下原则进行确认：</w:t>
            </w:r>
          </w:p>
          <w:p w14:paraId="6484DAE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textAlignment w:val="auto"/>
              <w:rPr>
                <w:rFonts w:hint="eastAsia"/>
                <w:color w:val="auto"/>
                <w:highlight w:val="none"/>
                <w:lang w:val="en-US" w:eastAsia="zh-CN"/>
              </w:rPr>
            </w:pPr>
            <w:r>
              <w:rPr>
                <w:rFonts w:hint="eastAsia"/>
                <w:color w:val="auto"/>
                <w:highlight w:val="none"/>
                <w:lang w:val="en-US" w:eastAsia="zh-CN"/>
              </w:rPr>
              <w:t xml:space="preserve">①人工费、材料费、机械使用费按对应分部工程投标综合单价中的相应单价执行； </w:t>
            </w:r>
          </w:p>
          <w:p w14:paraId="0185EAA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textAlignment w:val="auto"/>
              <w:rPr>
                <w:rFonts w:hint="eastAsia"/>
                <w:color w:val="auto"/>
                <w:highlight w:val="none"/>
                <w:lang w:val="en-US" w:eastAsia="zh-CN"/>
              </w:rPr>
            </w:pPr>
            <w:r>
              <w:rPr>
                <w:rFonts w:hint="eastAsia"/>
                <w:color w:val="auto"/>
                <w:highlight w:val="none"/>
                <w:lang w:val="en-US" w:eastAsia="zh-CN"/>
              </w:rPr>
              <w:t>②管理费和利润，按对应分部工程投标报价中费率系数执行；</w:t>
            </w:r>
          </w:p>
          <w:p w14:paraId="1A5F57F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textAlignment w:val="auto"/>
              <w:rPr>
                <w:rFonts w:hint="eastAsia"/>
                <w:color w:val="auto"/>
                <w:highlight w:val="none"/>
                <w:lang w:val="en-US" w:eastAsia="zh-CN"/>
              </w:rPr>
            </w:pPr>
            <w:r>
              <w:rPr>
                <w:rFonts w:hint="eastAsia"/>
                <w:color w:val="auto"/>
                <w:highlight w:val="none"/>
                <w:lang w:val="en-US" w:eastAsia="zh-CN"/>
              </w:rPr>
              <w:t>③如同一分部工程投标人工单价。同一材料的材料单价、同一机械的机械台班单价及管理费率、利润率不同时，取最低者；</w:t>
            </w:r>
          </w:p>
          <w:p w14:paraId="5575214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textAlignment w:val="auto"/>
              <w:rPr>
                <w:rFonts w:hint="eastAsia"/>
                <w:color w:val="auto"/>
                <w:highlight w:val="none"/>
                <w:lang w:val="en-US" w:eastAsia="zh-CN"/>
              </w:rPr>
            </w:pPr>
            <w:r>
              <w:rPr>
                <w:rFonts w:hint="eastAsia"/>
                <w:color w:val="auto"/>
                <w:highlight w:val="none"/>
                <w:lang w:val="en-US" w:eastAsia="zh-CN"/>
              </w:rPr>
              <w:t>④投标报价中没有的材料，按材料进场当期的《辽宁工程造价信息》执行；</w:t>
            </w:r>
          </w:p>
          <w:p w14:paraId="36F88A4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textAlignment w:val="auto"/>
              <w:rPr>
                <w:rFonts w:hint="eastAsia"/>
                <w:color w:val="auto"/>
                <w:highlight w:val="none"/>
                <w:lang w:val="en-US" w:eastAsia="zh-CN"/>
              </w:rPr>
            </w:pPr>
            <w:r>
              <w:rPr>
                <w:rFonts w:hint="eastAsia"/>
                <w:color w:val="auto"/>
                <w:highlight w:val="none"/>
                <w:lang w:val="en-US" w:eastAsia="zh-CN"/>
              </w:rPr>
              <w:t>⑤投标报价及《辽宁工程造价信息》均没有的材料，以市场询价为准。</w:t>
            </w:r>
          </w:p>
          <w:p w14:paraId="6461F9D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textAlignment w:val="auto"/>
              <w:rPr>
                <w:rFonts w:hint="eastAsia"/>
                <w:color w:val="auto"/>
                <w:highlight w:val="none"/>
                <w:lang w:val="en-US" w:eastAsia="zh-CN"/>
              </w:rPr>
            </w:pPr>
            <w:r>
              <w:rPr>
                <w:rFonts w:hint="eastAsia"/>
                <w:color w:val="auto"/>
                <w:highlight w:val="none"/>
                <w:lang w:val="en-US" w:eastAsia="zh-CN"/>
              </w:rPr>
              <w:t>（4）合同新增单价需定额计价的，参考如下原则：</w:t>
            </w:r>
          </w:p>
          <w:p w14:paraId="36F3475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textAlignment w:val="auto"/>
              <w:rPr>
                <w:rFonts w:hint="eastAsia"/>
                <w:color w:val="auto"/>
                <w:highlight w:val="none"/>
                <w:lang w:val="en-US" w:eastAsia="zh-CN"/>
              </w:rPr>
            </w:pPr>
            <w:r>
              <w:rPr>
                <w:rFonts w:hint="eastAsia"/>
                <w:color w:val="auto"/>
                <w:highlight w:val="none"/>
                <w:lang w:val="en-US" w:eastAsia="zh-CN"/>
              </w:rPr>
              <w:t>主材及设备价格执行施工期间的《辽宁省建设工程信息价》（营口市）材料信息价，其他材料依据定额计价不予调整。若《辽宁省建设工程信息价》（营口市）的材料信息价（主材）上没有对应的材料或材料信息价中材料价格明显低于市场价格中标人按照信息价无法采购到的材料，由中标人提报，按照市场价格经招标人、监理人、造价咨询机构、中标人共同询价确认后执行；针对招标人、中标人双方未能达成一致价格的材料及设备，且第三方造价咨询机构确认的价格中标人未能予以认同的，则招标人有权指定材料的档次和投标单位，中标人应照此采购。中标人不得以未认价为由延误工期，因中标人行为造成的损失均由中标人自行承担，招标人损失的应当承担赔偿责任。中标人不得以未认价为由拒绝履行招标范围内施工内容，若发生此种情况，招标人有权对本部分工程另行发包并不承担任何违约责任，中标人应无条件管理并配合第三方单位。招标人有权委托第三方审核单位对另行发包工程进行审核，并按照审核后工程结算金额120%从中标人合同价中扣除。</w:t>
            </w:r>
          </w:p>
          <w:p w14:paraId="045761A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textAlignment w:val="auto"/>
              <w:rPr>
                <w:rFonts w:hint="eastAsia"/>
                <w:color w:val="auto"/>
                <w:highlight w:val="none"/>
                <w:lang w:val="en-US" w:eastAsia="zh-CN"/>
              </w:rPr>
            </w:pPr>
            <w:r>
              <w:rPr>
                <w:rFonts w:hint="eastAsia"/>
                <w:color w:val="auto"/>
                <w:highlight w:val="none"/>
                <w:lang w:val="en-US" w:eastAsia="zh-CN"/>
              </w:rPr>
              <w:t>（5）最终施工费=发包人指定的终审造价咨询机构出具的审核报告中的审定金额</w:t>
            </w:r>
          </w:p>
          <w:p w14:paraId="06258FE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textAlignment w:val="auto"/>
              <w:rPr>
                <w:rFonts w:hint="eastAsia"/>
                <w:color w:val="auto"/>
                <w:highlight w:val="none"/>
                <w:lang w:val="en-US" w:eastAsia="zh-CN"/>
              </w:rPr>
            </w:pPr>
            <w:r>
              <w:rPr>
                <w:rFonts w:hint="eastAsia"/>
                <w:color w:val="auto"/>
                <w:highlight w:val="none"/>
                <w:lang w:val="en-US" w:eastAsia="zh-CN"/>
              </w:rPr>
              <w:t>（6）按照《建设工程工程量清单计价标准》（GB/T50500-2024）及现行《辽宁省建设工程计价依据》（2024年）等配套文件对承包人竣工图纸、经发包人及监理人确认后的施工组织设计、施工方案等所有施工范围计量，采取清单计价模式进行据实结算。</w:t>
            </w:r>
          </w:p>
          <w:p w14:paraId="2719206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textAlignment w:val="auto"/>
              <w:rPr>
                <w:rFonts w:hint="eastAsia"/>
                <w:color w:val="auto"/>
                <w:highlight w:val="none"/>
                <w:lang w:val="en-US" w:eastAsia="zh-CN"/>
              </w:rPr>
            </w:pPr>
            <w:r>
              <w:rPr>
                <w:rFonts w:hint="eastAsia"/>
                <w:color w:val="auto"/>
                <w:highlight w:val="none"/>
                <w:lang w:val="en-US" w:eastAsia="zh-CN"/>
              </w:rPr>
              <w:t>（7）施工现场出现赶工、窝工等特殊情况造成的人工和机械降效，不额外给予费用补偿。</w:t>
            </w:r>
          </w:p>
          <w:p w14:paraId="48DBC9C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textAlignment w:val="auto"/>
              <w:rPr>
                <w:rFonts w:hint="eastAsia"/>
                <w:color w:val="auto"/>
                <w:highlight w:val="none"/>
                <w:lang w:val="en-US" w:eastAsia="zh-CN"/>
              </w:rPr>
            </w:pPr>
            <w:r>
              <w:rPr>
                <w:rFonts w:hint="eastAsia"/>
                <w:color w:val="auto"/>
                <w:highlight w:val="none"/>
                <w:lang w:val="en-US" w:eastAsia="zh-CN"/>
              </w:rPr>
              <w:t>（8）现场施工时所用的电费和水费，设表计量，由中标人负责缴费。</w:t>
            </w:r>
          </w:p>
          <w:p w14:paraId="4146326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textAlignment w:val="auto"/>
              <w:rPr>
                <w:rFonts w:hint="eastAsia"/>
                <w:color w:val="auto"/>
                <w:highlight w:val="none"/>
                <w:lang w:val="en-US" w:eastAsia="zh-CN"/>
              </w:rPr>
            </w:pPr>
            <w:r>
              <w:rPr>
                <w:rFonts w:hint="eastAsia"/>
                <w:color w:val="auto"/>
                <w:highlight w:val="none"/>
                <w:lang w:val="en-US" w:eastAsia="zh-CN"/>
              </w:rPr>
              <w:t>（9）项目施工中，中标人不能因其他因素未经招标人批准，私自停工，如因私自停工所造成的损失，由投标人承担并处以罚金。</w:t>
            </w:r>
          </w:p>
          <w:p w14:paraId="1F2EF9B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textAlignment w:val="auto"/>
              <w:rPr>
                <w:rFonts w:hint="eastAsia"/>
                <w:color w:val="auto"/>
                <w:highlight w:val="none"/>
                <w:lang w:val="en-US" w:eastAsia="zh-CN"/>
              </w:rPr>
            </w:pPr>
            <w:r>
              <w:rPr>
                <w:rFonts w:hint="eastAsia"/>
                <w:color w:val="auto"/>
                <w:highlight w:val="none"/>
                <w:lang w:val="en-US" w:eastAsia="zh-CN"/>
              </w:rPr>
              <w:t>（10）现场临时设施工程周转类材料的周转及摊销次数，按照定额中相同、相似材料的相关规定计取，若无相同或相似材料，则按照相同类别工程定额的相关规定计取。</w:t>
            </w:r>
          </w:p>
          <w:p w14:paraId="5F4943D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textAlignment w:val="auto"/>
              <w:rPr>
                <w:rFonts w:hint="eastAsia"/>
                <w:color w:val="auto"/>
                <w:highlight w:val="none"/>
                <w:lang w:val="en-US" w:eastAsia="zh-CN"/>
              </w:rPr>
            </w:pPr>
            <w:r>
              <w:rPr>
                <w:rFonts w:hint="eastAsia"/>
                <w:color w:val="auto"/>
                <w:highlight w:val="none"/>
                <w:lang w:val="en-US" w:eastAsia="zh-CN"/>
              </w:rPr>
              <w:t>（11）现场办公区、生活区、作业场等临时设施若涉及多次搬迁，仅计取一次周转材料费用。</w:t>
            </w:r>
          </w:p>
          <w:p w14:paraId="7A3B05B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textAlignment w:val="auto"/>
              <w:rPr>
                <w:rFonts w:hint="eastAsia"/>
                <w:color w:val="auto"/>
                <w:highlight w:val="none"/>
                <w:lang w:val="en-US" w:eastAsia="zh-CN"/>
              </w:rPr>
            </w:pPr>
            <w:r>
              <w:rPr>
                <w:rFonts w:hint="eastAsia"/>
                <w:color w:val="auto"/>
                <w:highlight w:val="none"/>
                <w:lang w:val="en-US" w:eastAsia="zh-CN"/>
              </w:rPr>
              <w:t>（12）措施费中的污水处理费按项包干，若实际施工挂表计量低于此项金额，则按照实际费用计取。</w:t>
            </w:r>
          </w:p>
          <w:p w14:paraId="46BC0313">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ascii="宋体" w:hAnsi="宋体" w:eastAsia="宋体" w:cstheme="minorBidi"/>
                <w:b/>
                <w:bCs/>
                <w:color w:val="auto"/>
                <w:kern w:val="2"/>
                <w:sz w:val="21"/>
                <w:szCs w:val="24"/>
                <w:highlight w:val="none"/>
                <w:u w:val="none"/>
                <w:lang w:val="en-US" w:eastAsia="zh-CN" w:bidi="ar-SA"/>
              </w:rPr>
            </w:pPr>
            <w:r>
              <w:rPr>
                <w:rFonts w:hint="eastAsia"/>
                <w:b/>
                <w:bCs/>
                <w:color w:val="auto"/>
                <w:highlight w:val="none"/>
                <w:lang w:val="en-US" w:eastAsia="zh-CN"/>
              </w:rPr>
              <w:t>十四、</w:t>
            </w:r>
            <w:r>
              <w:rPr>
                <w:rFonts w:hint="default" w:ascii="宋体" w:hAnsi="宋体" w:eastAsia="宋体" w:cstheme="minorBidi"/>
                <w:b/>
                <w:bCs/>
                <w:color w:val="auto"/>
                <w:kern w:val="2"/>
                <w:sz w:val="21"/>
                <w:szCs w:val="24"/>
                <w:highlight w:val="none"/>
                <w:u w:val="none"/>
                <w:lang w:val="en-US" w:eastAsia="zh-CN" w:bidi="ar-SA"/>
              </w:rPr>
              <w:t>农民工保证金</w:t>
            </w:r>
          </w:p>
          <w:p w14:paraId="77D00D71">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eastAsia" w:ascii="宋体" w:hAnsi="宋体" w:eastAsia="宋体" w:cstheme="minorBidi"/>
                <w:b w:val="0"/>
                <w:bCs w:val="0"/>
                <w:color w:val="auto"/>
                <w:kern w:val="2"/>
                <w:sz w:val="21"/>
                <w:szCs w:val="24"/>
                <w:highlight w:val="none"/>
                <w:u w:val="none"/>
                <w:lang w:val="en-US" w:eastAsia="zh-CN" w:bidi="ar-SA"/>
              </w:rPr>
              <w:t>（1）</w:t>
            </w:r>
            <w:r>
              <w:rPr>
                <w:rFonts w:hint="default" w:ascii="宋体" w:hAnsi="宋体" w:eastAsia="宋体" w:cstheme="minorBidi"/>
                <w:b w:val="0"/>
                <w:bCs w:val="0"/>
                <w:color w:val="auto"/>
                <w:kern w:val="2"/>
                <w:sz w:val="21"/>
                <w:szCs w:val="24"/>
                <w:highlight w:val="none"/>
                <w:u w:val="none"/>
                <w:lang w:val="en-US" w:eastAsia="zh-CN" w:bidi="ar-SA"/>
              </w:rPr>
              <w:t>中标人对所承包工程项目的农民工工资支付负总责，不得以工程款未到位等为由克扣或拖欠农民工工资，不得将合同应收工程款等经营风险转嫁给农民工。</w:t>
            </w:r>
          </w:p>
          <w:p w14:paraId="62A9AB4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textAlignment w:val="auto"/>
              <w:rPr>
                <w:rFonts w:hint="default"/>
                <w:color w:val="auto"/>
                <w:highlight w:val="none"/>
                <w:lang w:val="en-US" w:eastAsia="zh-CN"/>
              </w:rPr>
            </w:pPr>
            <w:r>
              <w:rPr>
                <w:rFonts w:hint="eastAsia" w:ascii="宋体" w:hAnsi="宋体" w:eastAsia="宋体" w:cstheme="minorBidi"/>
                <w:b w:val="0"/>
                <w:bCs w:val="0"/>
                <w:color w:val="auto"/>
                <w:kern w:val="2"/>
                <w:sz w:val="21"/>
                <w:szCs w:val="24"/>
                <w:highlight w:val="none"/>
                <w:u w:val="none"/>
                <w:lang w:val="en-US" w:eastAsia="zh-CN" w:bidi="ar-SA"/>
              </w:rPr>
              <w:t>（2）</w:t>
            </w:r>
            <w:r>
              <w:rPr>
                <w:rFonts w:hint="default" w:ascii="宋体" w:hAnsi="宋体" w:eastAsia="宋体" w:cstheme="minorBidi"/>
                <w:b w:val="0"/>
                <w:bCs w:val="0"/>
                <w:color w:val="auto"/>
                <w:kern w:val="2"/>
                <w:sz w:val="21"/>
                <w:szCs w:val="24"/>
                <w:highlight w:val="none"/>
                <w:u w:val="none"/>
                <w:lang w:val="en-US" w:eastAsia="zh-CN" w:bidi="ar-SA"/>
              </w:rPr>
              <w:t>中标人应根据按照《辽宁省工程建设领域农民工工资专用账户管理暂行办法实施细则》相关规定执行，切实保障农民工权益。</w:t>
            </w:r>
          </w:p>
          <w:p w14:paraId="22566829">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ascii="宋体" w:hAnsi="宋体" w:eastAsia="宋体" w:cstheme="minorBidi"/>
                <w:b/>
                <w:bCs/>
                <w:color w:val="auto"/>
                <w:kern w:val="2"/>
                <w:sz w:val="21"/>
                <w:szCs w:val="24"/>
                <w:highlight w:val="none"/>
                <w:u w:val="none"/>
                <w:lang w:val="en-US" w:eastAsia="zh-CN" w:bidi="ar-SA"/>
              </w:rPr>
            </w:pPr>
            <w:r>
              <w:rPr>
                <w:rFonts w:hint="eastAsia"/>
                <w:b/>
                <w:bCs/>
                <w:color w:val="auto"/>
                <w:highlight w:val="none"/>
                <w:lang w:val="en-US" w:eastAsia="zh-CN"/>
              </w:rPr>
              <w:t>十五、</w:t>
            </w:r>
            <w:r>
              <w:rPr>
                <w:rFonts w:hint="default" w:ascii="宋体" w:hAnsi="宋体" w:eastAsia="宋体" w:cstheme="minorBidi"/>
                <w:b/>
                <w:bCs/>
                <w:color w:val="auto"/>
                <w:kern w:val="2"/>
                <w:sz w:val="21"/>
                <w:szCs w:val="24"/>
                <w:highlight w:val="none"/>
                <w:u w:val="none"/>
                <w:lang w:val="en-US" w:eastAsia="zh-CN" w:bidi="ar-SA"/>
              </w:rPr>
              <w:t>工程保险</w:t>
            </w:r>
          </w:p>
          <w:p w14:paraId="7E38640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420" w:firstLineChars="200"/>
              <w:textAlignment w:val="auto"/>
              <w:rPr>
                <w:rFonts w:hint="eastAsia"/>
                <w:color w:val="auto"/>
                <w:highlight w:val="none"/>
              </w:rPr>
            </w:pPr>
            <w:r>
              <w:rPr>
                <w:rFonts w:hint="default" w:ascii="宋体" w:hAnsi="宋体" w:eastAsia="宋体" w:cstheme="minorBidi"/>
                <w:b w:val="0"/>
                <w:bCs w:val="0"/>
                <w:color w:val="auto"/>
                <w:kern w:val="2"/>
                <w:sz w:val="21"/>
                <w:szCs w:val="24"/>
                <w:highlight w:val="none"/>
                <w:u w:val="none"/>
                <w:lang w:val="en-US" w:eastAsia="zh-CN" w:bidi="ar-SA"/>
              </w:rPr>
              <w:t>中标人应充分考虑施工过程中可能出现的风险因素，为本合同工程的永久工程、临时工程和设备及已运至施工工地用于永久工程的材料和设备投保；为因工程意外事故造成的、依法应由被保险人负责的工地上及毗邻地区的第三者人身伤亡、疾病或财产损失投保。保险费由中标人承担并支付，并包含在所报的单价或总额价中，不单独报价。</w:t>
            </w:r>
            <w:r>
              <w:rPr>
                <w:rFonts w:hint="eastAsia"/>
                <w:color w:val="auto"/>
                <w:highlight w:val="none"/>
                <w:lang w:eastAsia="zh-CN"/>
              </w:rPr>
              <w:br w:type="textWrapping"/>
            </w:r>
            <w:r>
              <w:rPr>
                <w:rFonts w:hint="eastAsia"/>
                <w:b/>
                <w:bCs/>
                <w:color w:val="auto"/>
                <w:highlight w:val="none"/>
                <w:lang w:eastAsia="zh-CN"/>
              </w:rPr>
              <w:t>特别提示（此处仅为提示）</w:t>
            </w:r>
            <w:r>
              <w:rPr>
                <w:rFonts w:hint="eastAsia"/>
                <w:color w:val="auto"/>
                <w:highlight w:val="none"/>
                <w:lang w:eastAsia="zh-CN"/>
              </w:rPr>
              <w:t>：评分办法形式评审标准中要求“法定代表人或授权委托人实名认证”，投标人在制作投标文件的时候，格式中如只能挑选“（一）法定代表人身份证明或者（二）授权委托书”中的一项，为避免造成废标，建议未挑选的放入其他材料中。</w:t>
            </w:r>
          </w:p>
        </w:tc>
      </w:tr>
    </w:tbl>
    <w:p w14:paraId="36D2077E">
      <w:pPr>
        <w:rPr>
          <w:rFonts w:hint="eastAsia"/>
          <w:color w:val="auto"/>
          <w:highlight w:val="none"/>
        </w:rPr>
      </w:pPr>
      <w:r>
        <w:rPr>
          <w:rFonts w:hint="eastAsia"/>
          <w:color w:val="auto"/>
          <w:highlight w:val="none"/>
        </w:rPr>
        <w:br w:type="page"/>
      </w:r>
    </w:p>
    <w:bookmarkEnd w:id="9"/>
    <w:bookmarkEnd w:id="10"/>
    <w:p w14:paraId="6362601C">
      <w:pPr>
        <w:pStyle w:val="25"/>
        <w:spacing w:line="360" w:lineRule="exact"/>
        <w:rPr>
          <w:color w:val="auto"/>
          <w:highlight w:val="none"/>
        </w:rPr>
      </w:pPr>
      <w:bookmarkStart w:id="16" w:name="_Toc7366"/>
      <w:bookmarkStart w:id="17" w:name="_Toc166326840"/>
      <w:r>
        <w:rPr>
          <w:rFonts w:hint="eastAsia"/>
          <w:color w:val="auto"/>
          <w:highlight w:val="none"/>
        </w:rPr>
        <w:t>投标人须知正文部分</w:t>
      </w:r>
      <w:bookmarkEnd w:id="16"/>
      <w:bookmarkEnd w:id="17"/>
    </w:p>
    <w:p w14:paraId="6C03B589">
      <w:pPr>
        <w:pStyle w:val="25"/>
        <w:spacing w:line="360" w:lineRule="exact"/>
        <w:rPr>
          <w:color w:val="auto"/>
          <w:highlight w:val="none"/>
        </w:rPr>
      </w:pPr>
      <w:bookmarkStart w:id="18" w:name="_Toc20909"/>
      <w:bookmarkStart w:id="19" w:name="_Toc179632546"/>
      <w:bookmarkStart w:id="20" w:name="_Toc144974497"/>
      <w:bookmarkStart w:id="21" w:name="_Toc166326841"/>
      <w:bookmarkStart w:id="22" w:name="_Toc152042305"/>
      <w:bookmarkStart w:id="23" w:name="_Toc152045529"/>
      <w:r>
        <w:rPr>
          <w:rFonts w:hint="eastAsia"/>
          <w:color w:val="auto"/>
          <w:highlight w:val="none"/>
        </w:rPr>
        <w:t>1. 总则</w:t>
      </w:r>
      <w:bookmarkEnd w:id="18"/>
      <w:bookmarkEnd w:id="19"/>
      <w:bookmarkEnd w:id="20"/>
      <w:bookmarkEnd w:id="21"/>
      <w:bookmarkEnd w:id="22"/>
      <w:bookmarkEnd w:id="23"/>
    </w:p>
    <w:p w14:paraId="6C0BD911">
      <w:pPr>
        <w:pStyle w:val="27"/>
        <w:spacing w:line="360" w:lineRule="exact"/>
        <w:rPr>
          <w:color w:val="auto"/>
          <w:highlight w:val="none"/>
        </w:rPr>
      </w:pPr>
      <w:bookmarkStart w:id="24" w:name="_Toc179632547"/>
      <w:bookmarkStart w:id="25" w:name="_Toc23395"/>
      <w:bookmarkStart w:id="26" w:name="_Toc152045530"/>
      <w:bookmarkStart w:id="27" w:name="_Toc152042306"/>
      <w:bookmarkStart w:id="28" w:name="_Toc166326842"/>
      <w:bookmarkStart w:id="29" w:name="_Toc144974498"/>
      <w:r>
        <w:rPr>
          <w:rFonts w:hint="eastAsia"/>
          <w:color w:val="auto"/>
          <w:highlight w:val="none"/>
        </w:rPr>
        <w:t>1.1 项目概况</w:t>
      </w:r>
      <w:bookmarkEnd w:id="24"/>
      <w:bookmarkEnd w:id="25"/>
      <w:bookmarkEnd w:id="26"/>
      <w:bookmarkEnd w:id="27"/>
      <w:bookmarkEnd w:id="28"/>
      <w:bookmarkEnd w:id="29"/>
    </w:p>
    <w:p w14:paraId="1AC41811">
      <w:pPr>
        <w:spacing w:line="360" w:lineRule="exact"/>
        <w:ind w:firstLine="420" w:firstLineChars="200"/>
        <w:rPr>
          <w:color w:val="auto"/>
          <w:highlight w:val="none"/>
        </w:rPr>
      </w:pPr>
      <w:r>
        <w:rPr>
          <w:rFonts w:hint="eastAsia"/>
          <w:color w:val="auto"/>
          <w:highlight w:val="none"/>
        </w:rPr>
        <w:t>1.1.1根据《中华人民共和国招标投标法》等有关</w:t>
      </w:r>
      <w:r>
        <w:rPr>
          <w:rFonts w:hint="eastAsia"/>
          <w:color w:val="auto"/>
          <w:highlight w:val="none"/>
          <w:lang w:eastAsia="zh-CN"/>
        </w:rPr>
        <w:t>法律法规</w:t>
      </w:r>
      <w:r>
        <w:rPr>
          <w:rFonts w:hint="eastAsia"/>
          <w:color w:val="auto"/>
          <w:highlight w:val="none"/>
        </w:rPr>
        <w:t>和规章的规定，本招标项目已具备招标条件，现对本标段施工进行招标。</w:t>
      </w:r>
    </w:p>
    <w:p w14:paraId="47D52DF1">
      <w:pPr>
        <w:spacing w:line="360" w:lineRule="exact"/>
        <w:ind w:firstLine="420" w:firstLineChars="200"/>
        <w:rPr>
          <w:color w:val="auto"/>
          <w:highlight w:val="none"/>
        </w:rPr>
      </w:pPr>
      <w:r>
        <w:rPr>
          <w:rFonts w:hint="eastAsia"/>
          <w:color w:val="auto"/>
          <w:highlight w:val="none"/>
        </w:rPr>
        <w:t>1.1.2 本招标项目招标人：见投标人须知前附表。</w:t>
      </w:r>
    </w:p>
    <w:p w14:paraId="46599322">
      <w:pPr>
        <w:spacing w:line="360" w:lineRule="exact"/>
        <w:ind w:firstLine="420" w:firstLineChars="200"/>
        <w:rPr>
          <w:color w:val="auto"/>
          <w:highlight w:val="none"/>
        </w:rPr>
      </w:pPr>
      <w:r>
        <w:rPr>
          <w:rFonts w:hint="eastAsia"/>
          <w:color w:val="auto"/>
          <w:highlight w:val="none"/>
        </w:rPr>
        <w:t>1.1.3 本标段招标代理机构：见投标人须知前附表。</w:t>
      </w:r>
    </w:p>
    <w:p w14:paraId="7E85F60D">
      <w:pPr>
        <w:spacing w:line="360" w:lineRule="exact"/>
        <w:ind w:firstLine="420" w:firstLineChars="200"/>
        <w:rPr>
          <w:color w:val="auto"/>
          <w:highlight w:val="none"/>
        </w:rPr>
      </w:pPr>
      <w:r>
        <w:rPr>
          <w:rFonts w:hint="eastAsia"/>
          <w:color w:val="auto"/>
          <w:highlight w:val="none"/>
        </w:rPr>
        <w:t>1.1.4 本标段项目名称：见投标人须知前附表。</w:t>
      </w:r>
    </w:p>
    <w:p w14:paraId="0C479B8F">
      <w:pPr>
        <w:spacing w:line="360" w:lineRule="exact"/>
        <w:ind w:firstLine="420" w:firstLineChars="200"/>
        <w:rPr>
          <w:color w:val="auto"/>
          <w:highlight w:val="none"/>
        </w:rPr>
      </w:pPr>
      <w:r>
        <w:rPr>
          <w:rFonts w:hint="eastAsia"/>
          <w:color w:val="auto"/>
          <w:highlight w:val="none"/>
        </w:rPr>
        <w:t>1.1.5 本标段建设地点：见投标人须知前附表。</w:t>
      </w:r>
    </w:p>
    <w:p w14:paraId="5197C855">
      <w:pPr>
        <w:spacing w:line="360" w:lineRule="exact"/>
        <w:ind w:firstLine="420" w:firstLineChars="200"/>
        <w:rPr>
          <w:color w:val="auto"/>
          <w:highlight w:val="none"/>
        </w:rPr>
      </w:pPr>
      <w:bookmarkStart w:id="30" w:name="_Hlk165114484"/>
      <w:bookmarkStart w:id="31" w:name="_Hlk165117315"/>
      <w:r>
        <w:rPr>
          <w:rFonts w:hint="eastAsia"/>
          <w:color w:val="auto"/>
          <w:highlight w:val="none"/>
        </w:rPr>
        <w:t>1.1.6 本招标项目投资估算：见投标人须知前附表。</w:t>
      </w:r>
      <w:bookmarkEnd w:id="30"/>
    </w:p>
    <w:bookmarkEnd w:id="31"/>
    <w:p w14:paraId="6299E09E">
      <w:pPr>
        <w:spacing w:line="360" w:lineRule="exact"/>
        <w:ind w:firstLine="420" w:firstLineChars="200"/>
        <w:rPr>
          <w:color w:val="auto"/>
          <w:highlight w:val="none"/>
        </w:rPr>
      </w:pPr>
      <w:bookmarkStart w:id="32" w:name="_Hlk144976007"/>
      <w:r>
        <w:rPr>
          <w:rFonts w:hint="eastAsia"/>
          <w:color w:val="auto"/>
          <w:highlight w:val="none"/>
        </w:rPr>
        <w:t>1.1.7 本标段采用的电子交易系统名称：见投标人须知前附表。</w:t>
      </w:r>
      <w:bookmarkEnd w:id="32"/>
    </w:p>
    <w:p w14:paraId="2896B95D">
      <w:pPr>
        <w:pStyle w:val="27"/>
        <w:spacing w:line="360" w:lineRule="exact"/>
        <w:rPr>
          <w:color w:val="auto"/>
          <w:highlight w:val="none"/>
        </w:rPr>
      </w:pPr>
      <w:bookmarkStart w:id="33" w:name="_Toc166326843"/>
      <w:bookmarkStart w:id="34" w:name="_Toc144974499"/>
      <w:bookmarkStart w:id="35" w:name="_Toc152045531"/>
      <w:bookmarkStart w:id="36" w:name="_Toc2483"/>
      <w:bookmarkStart w:id="37" w:name="_Toc179632548"/>
      <w:bookmarkStart w:id="38" w:name="_Toc152042307"/>
      <w:r>
        <w:rPr>
          <w:rFonts w:hint="eastAsia"/>
          <w:color w:val="auto"/>
          <w:highlight w:val="none"/>
        </w:rPr>
        <w:t>1.2 资金来源和落实情况</w:t>
      </w:r>
      <w:bookmarkEnd w:id="33"/>
      <w:bookmarkEnd w:id="34"/>
      <w:bookmarkEnd w:id="35"/>
      <w:bookmarkEnd w:id="36"/>
      <w:bookmarkEnd w:id="37"/>
      <w:bookmarkEnd w:id="38"/>
    </w:p>
    <w:p w14:paraId="593DC9C0">
      <w:pPr>
        <w:spacing w:line="360" w:lineRule="exact"/>
        <w:ind w:firstLine="420" w:firstLineChars="200"/>
        <w:rPr>
          <w:color w:val="auto"/>
          <w:highlight w:val="none"/>
        </w:rPr>
      </w:pPr>
      <w:r>
        <w:rPr>
          <w:rFonts w:hint="eastAsia"/>
          <w:color w:val="auto"/>
          <w:highlight w:val="none"/>
        </w:rPr>
        <w:t xml:space="preserve">1.2.1 </w:t>
      </w:r>
      <w:bookmarkStart w:id="39" w:name="_Hlk165117758"/>
      <w:r>
        <w:rPr>
          <w:rFonts w:hint="eastAsia"/>
          <w:color w:val="auto"/>
          <w:highlight w:val="none"/>
        </w:rPr>
        <w:t>本招标项目的</w:t>
      </w:r>
      <w:bookmarkEnd w:id="39"/>
      <w:r>
        <w:rPr>
          <w:rFonts w:hint="eastAsia"/>
          <w:color w:val="auto"/>
          <w:highlight w:val="none"/>
        </w:rPr>
        <w:t>资金来源：见投标人须知前附表。</w:t>
      </w:r>
    </w:p>
    <w:p w14:paraId="1FD18147">
      <w:pPr>
        <w:spacing w:line="360" w:lineRule="exact"/>
        <w:ind w:firstLine="420" w:firstLineChars="200"/>
        <w:rPr>
          <w:color w:val="auto"/>
          <w:highlight w:val="none"/>
        </w:rPr>
      </w:pPr>
      <w:r>
        <w:rPr>
          <w:color w:val="auto"/>
          <w:highlight w:val="none"/>
        </w:rPr>
        <w:t>1.2.2</w:t>
      </w:r>
      <w:r>
        <w:rPr>
          <w:rFonts w:hint="eastAsia"/>
          <w:color w:val="auto"/>
          <w:highlight w:val="none"/>
        </w:rPr>
        <w:t xml:space="preserve"> 本招标项目的出资比例：见投标人须知前附表。</w:t>
      </w:r>
    </w:p>
    <w:p w14:paraId="3C8D9107">
      <w:pPr>
        <w:spacing w:line="360" w:lineRule="exact"/>
        <w:ind w:firstLine="420" w:firstLineChars="200"/>
        <w:rPr>
          <w:color w:val="auto"/>
          <w:highlight w:val="none"/>
        </w:rPr>
      </w:pPr>
      <w:bookmarkStart w:id="40" w:name="_Hlk165114533"/>
      <w:bookmarkStart w:id="41" w:name="_Hlk165114515"/>
      <w:r>
        <w:rPr>
          <w:rFonts w:hint="eastAsia"/>
          <w:color w:val="auto"/>
          <w:highlight w:val="none"/>
        </w:rPr>
        <w:t>1.2.</w:t>
      </w:r>
      <w:r>
        <w:rPr>
          <w:color w:val="auto"/>
          <w:highlight w:val="none"/>
        </w:rPr>
        <w:t>3</w:t>
      </w:r>
      <w:bookmarkStart w:id="42" w:name="_Hlk165114740"/>
      <w:r>
        <w:rPr>
          <w:rFonts w:hint="eastAsia"/>
          <w:color w:val="auto"/>
          <w:highlight w:val="none"/>
        </w:rPr>
        <w:t xml:space="preserve"> 本</w:t>
      </w:r>
      <w:bookmarkStart w:id="43" w:name="_Hlk165116025"/>
      <w:r>
        <w:rPr>
          <w:rFonts w:hint="eastAsia"/>
          <w:color w:val="auto"/>
          <w:highlight w:val="none"/>
        </w:rPr>
        <w:t>标段合同估算价：见投标人须知前附表。</w:t>
      </w:r>
      <w:bookmarkEnd w:id="40"/>
      <w:bookmarkEnd w:id="42"/>
      <w:bookmarkEnd w:id="43"/>
    </w:p>
    <w:bookmarkEnd w:id="41"/>
    <w:p w14:paraId="13CDF54D">
      <w:pPr>
        <w:spacing w:line="360" w:lineRule="exact"/>
        <w:ind w:firstLine="420" w:firstLineChars="200"/>
        <w:rPr>
          <w:color w:val="auto"/>
          <w:highlight w:val="none"/>
        </w:rPr>
      </w:pPr>
      <w:r>
        <w:rPr>
          <w:rFonts w:hint="eastAsia"/>
          <w:color w:val="auto"/>
          <w:highlight w:val="none"/>
        </w:rPr>
        <w:t>1.2.</w:t>
      </w:r>
      <w:r>
        <w:rPr>
          <w:color w:val="auto"/>
          <w:highlight w:val="none"/>
        </w:rPr>
        <w:t>4</w:t>
      </w:r>
      <w:r>
        <w:rPr>
          <w:rFonts w:hint="eastAsia"/>
          <w:color w:val="auto"/>
          <w:highlight w:val="none"/>
        </w:rPr>
        <w:t xml:space="preserve"> 本标段资金落实情况：见投标人须知前附表。</w:t>
      </w:r>
    </w:p>
    <w:p w14:paraId="37F97746">
      <w:pPr>
        <w:pStyle w:val="27"/>
        <w:spacing w:line="360" w:lineRule="exact"/>
        <w:rPr>
          <w:color w:val="auto"/>
          <w:highlight w:val="none"/>
        </w:rPr>
      </w:pPr>
      <w:bookmarkStart w:id="44" w:name="_Toc152045532"/>
      <w:bookmarkStart w:id="45" w:name="_Toc166326844"/>
      <w:bookmarkStart w:id="46" w:name="_Toc152042308"/>
      <w:bookmarkStart w:id="47" w:name="_Toc179632549"/>
      <w:bookmarkStart w:id="48" w:name="_Toc144974500"/>
      <w:bookmarkStart w:id="49" w:name="_Toc3671"/>
      <w:r>
        <w:rPr>
          <w:rFonts w:hint="eastAsia"/>
          <w:color w:val="auto"/>
          <w:highlight w:val="none"/>
        </w:rPr>
        <w:t>1.3 招标范围、计划工期和质量要求</w:t>
      </w:r>
      <w:bookmarkEnd w:id="44"/>
      <w:bookmarkEnd w:id="45"/>
      <w:bookmarkEnd w:id="46"/>
      <w:bookmarkEnd w:id="47"/>
      <w:bookmarkEnd w:id="48"/>
      <w:bookmarkEnd w:id="49"/>
    </w:p>
    <w:p w14:paraId="7C854AA0">
      <w:pPr>
        <w:spacing w:line="360" w:lineRule="exact"/>
        <w:ind w:firstLine="420" w:firstLineChars="200"/>
        <w:rPr>
          <w:color w:val="auto"/>
          <w:highlight w:val="none"/>
        </w:rPr>
      </w:pPr>
      <w:r>
        <w:rPr>
          <w:rFonts w:hint="eastAsia"/>
          <w:color w:val="auto"/>
          <w:highlight w:val="none"/>
        </w:rPr>
        <w:t>1.3.1 本次招标范围：见投标人须知前附表。</w:t>
      </w:r>
    </w:p>
    <w:p w14:paraId="19036762">
      <w:pPr>
        <w:spacing w:line="360" w:lineRule="exact"/>
        <w:ind w:firstLine="420" w:firstLineChars="200"/>
        <w:rPr>
          <w:color w:val="auto"/>
          <w:highlight w:val="none"/>
        </w:rPr>
      </w:pPr>
      <w:r>
        <w:rPr>
          <w:rFonts w:hint="eastAsia"/>
          <w:color w:val="auto"/>
          <w:highlight w:val="none"/>
        </w:rPr>
        <w:t>1.3.2 本标段的计划工期：见投标人须知前附表。</w:t>
      </w:r>
    </w:p>
    <w:p w14:paraId="715F7C7B">
      <w:pPr>
        <w:spacing w:line="360" w:lineRule="exact"/>
        <w:ind w:firstLine="420" w:firstLineChars="200"/>
        <w:rPr>
          <w:color w:val="auto"/>
          <w:highlight w:val="none"/>
        </w:rPr>
      </w:pPr>
      <w:r>
        <w:rPr>
          <w:rFonts w:hint="eastAsia"/>
          <w:color w:val="auto"/>
          <w:highlight w:val="none"/>
        </w:rPr>
        <w:t>1.3.3 本标段的质量要求：见投标人须知前附表。</w:t>
      </w:r>
    </w:p>
    <w:p w14:paraId="3A484C91">
      <w:pPr>
        <w:pStyle w:val="27"/>
        <w:spacing w:line="360" w:lineRule="exact"/>
        <w:rPr>
          <w:color w:val="auto"/>
          <w:highlight w:val="none"/>
        </w:rPr>
      </w:pPr>
      <w:bookmarkStart w:id="50" w:name="_Toc166326845"/>
      <w:bookmarkStart w:id="51" w:name="_Toc15326"/>
      <w:bookmarkStart w:id="52" w:name="_Toc152042310"/>
      <w:bookmarkStart w:id="53" w:name="_Toc144974502"/>
      <w:bookmarkStart w:id="54" w:name="_Toc152045534"/>
      <w:bookmarkStart w:id="55" w:name="_Toc179632551"/>
      <w:r>
        <w:rPr>
          <w:rFonts w:hint="eastAsia"/>
          <w:color w:val="auto"/>
          <w:highlight w:val="none"/>
        </w:rPr>
        <w:t>1.4 投标人资格要求</w:t>
      </w:r>
      <w:bookmarkEnd w:id="50"/>
      <w:bookmarkEnd w:id="51"/>
      <w:bookmarkEnd w:id="52"/>
      <w:bookmarkEnd w:id="53"/>
      <w:bookmarkEnd w:id="54"/>
      <w:bookmarkEnd w:id="55"/>
    </w:p>
    <w:p w14:paraId="62247173">
      <w:pPr>
        <w:spacing w:line="360" w:lineRule="exact"/>
        <w:ind w:firstLine="420" w:firstLineChars="200"/>
        <w:rPr>
          <w:color w:val="auto"/>
          <w:highlight w:val="none"/>
        </w:rPr>
      </w:pPr>
      <w:r>
        <w:rPr>
          <w:rFonts w:hint="eastAsia"/>
          <w:color w:val="auto"/>
          <w:highlight w:val="none"/>
        </w:rPr>
        <w:t>1.4.1投标人应具备承担本标段施工的资质条件、能力和信誉。</w:t>
      </w:r>
    </w:p>
    <w:p w14:paraId="3B2439E0">
      <w:pPr>
        <w:spacing w:line="360" w:lineRule="exact"/>
        <w:ind w:firstLine="718" w:firstLineChars="342"/>
        <w:rPr>
          <w:color w:val="auto"/>
          <w:highlight w:val="none"/>
        </w:rPr>
      </w:pPr>
      <w:r>
        <w:rPr>
          <w:rFonts w:hint="eastAsia"/>
          <w:color w:val="auto"/>
          <w:highlight w:val="none"/>
        </w:rPr>
        <w:t>（1）资质条件：见投标人须知前附表；</w:t>
      </w:r>
    </w:p>
    <w:p w14:paraId="5ED936A4">
      <w:pPr>
        <w:spacing w:line="360" w:lineRule="exact"/>
        <w:ind w:firstLine="718" w:firstLineChars="342"/>
        <w:rPr>
          <w:color w:val="auto"/>
          <w:highlight w:val="none"/>
        </w:rPr>
      </w:pPr>
      <w:r>
        <w:rPr>
          <w:rFonts w:hint="eastAsia"/>
          <w:color w:val="auto"/>
          <w:highlight w:val="none"/>
        </w:rPr>
        <w:t>（2）财务要求：见投标人须知前附表（如有）；</w:t>
      </w:r>
    </w:p>
    <w:p w14:paraId="073A21B4">
      <w:pPr>
        <w:spacing w:line="360" w:lineRule="exact"/>
        <w:ind w:firstLine="718" w:firstLineChars="342"/>
        <w:rPr>
          <w:color w:val="auto"/>
          <w:highlight w:val="none"/>
        </w:rPr>
      </w:pPr>
      <w:r>
        <w:rPr>
          <w:rFonts w:hint="eastAsia"/>
          <w:color w:val="auto"/>
          <w:highlight w:val="none"/>
        </w:rPr>
        <w:t>（3）业绩要求：见投标人须知前附表（如有）；</w:t>
      </w:r>
    </w:p>
    <w:p w14:paraId="333D1F50">
      <w:pPr>
        <w:spacing w:line="360" w:lineRule="exact"/>
        <w:ind w:firstLine="718" w:firstLineChars="342"/>
        <w:rPr>
          <w:color w:val="auto"/>
          <w:highlight w:val="none"/>
        </w:rPr>
      </w:pPr>
      <w:r>
        <w:rPr>
          <w:rFonts w:hint="eastAsia"/>
          <w:color w:val="auto"/>
          <w:highlight w:val="none"/>
        </w:rPr>
        <w:t>（4）信誉要求：见投标人须知前附表；</w:t>
      </w:r>
    </w:p>
    <w:p w14:paraId="5708C568">
      <w:pPr>
        <w:spacing w:line="360" w:lineRule="exact"/>
        <w:ind w:firstLine="718" w:firstLineChars="342"/>
        <w:rPr>
          <w:color w:val="auto"/>
          <w:highlight w:val="none"/>
        </w:rPr>
      </w:pPr>
      <w:r>
        <w:rPr>
          <w:rFonts w:hint="eastAsia"/>
          <w:color w:val="auto"/>
          <w:highlight w:val="none"/>
        </w:rPr>
        <w:t>（5）项目经理资格：见投标人须知前附表；</w:t>
      </w:r>
    </w:p>
    <w:p w14:paraId="376922EF">
      <w:pPr>
        <w:spacing w:line="360" w:lineRule="exact"/>
        <w:ind w:firstLine="718" w:firstLineChars="342"/>
        <w:rPr>
          <w:color w:val="auto"/>
          <w:highlight w:val="none"/>
        </w:rPr>
      </w:pPr>
      <w:r>
        <w:rPr>
          <w:rFonts w:hint="eastAsia"/>
          <w:color w:val="auto"/>
          <w:highlight w:val="none"/>
        </w:rPr>
        <w:t>（6）项目管理机构主要人员要求：见投标人须知前附表；</w:t>
      </w:r>
    </w:p>
    <w:p w14:paraId="33007FD4">
      <w:pPr>
        <w:spacing w:line="360" w:lineRule="exact"/>
        <w:ind w:firstLine="718" w:firstLineChars="342"/>
        <w:rPr>
          <w:color w:val="auto"/>
          <w:highlight w:val="none"/>
        </w:rPr>
      </w:pPr>
      <w:r>
        <w:rPr>
          <w:rFonts w:hint="eastAsia"/>
          <w:color w:val="auto"/>
          <w:highlight w:val="none"/>
        </w:rPr>
        <w:t>（7）其他要求：见投标人须知前附表。</w:t>
      </w:r>
    </w:p>
    <w:p w14:paraId="442987D4">
      <w:pPr>
        <w:spacing w:line="360" w:lineRule="exact"/>
        <w:ind w:firstLine="420" w:firstLineChars="200"/>
        <w:rPr>
          <w:color w:val="auto"/>
          <w:highlight w:val="none"/>
        </w:rPr>
      </w:pPr>
      <w:r>
        <w:rPr>
          <w:rFonts w:hint="eastAsia"/>
          <w:color w:val="auto"/>
          <w:highlight w:val="none"/>
        </w:rPr>
        <w:t xml:space="preserve">1.4.2 投标人须知前附表规定接受联合体投标的，除应符合本章第1.4.1项和投标人须知前附表的要求外，还应遵守以下规定： </w:t>
      </w:r>
    </w:p>
    <w:p w14:paraId="15A3D02C">
      <w:pPr>
        <w:spacing w:line="360" w:lineRule="exact"/>
        <w:ind w:firstLine="718" w:firstLineChars="342"/>
        <w:rPr>
          <w:color w:val="auto"/>
          <w:highlight w:val="none"/>
        </w:rPr>
      </w:pPr>
      <w:r>
        <w:rPr>
          <w:rFonts w:hint="eastAsia"/>
          <w:color w:val="auto"/>
          <w:highlight w:val="none"/>
        </w:rPr>
        <w:t>（1）联合体各方应按招标文件提供的格式签订联合体协议书，明确联合体牵头人和各方权利义务；</w:t>
      </w:r>
    </w:p>
    <w:p w14:paraId="4549EBAE">
      <w:pPr>
        <w:spacing w:line="360" w:lineRule="exact"/>
        <w:ind w:firstLine="718" w:firstLineChars="342"/>
        <w:rPr>
          <w:color w:val="auto"/>
          <w:highlight w:val="none"/>
        </w:rPr>
      </w:pPr>
      <w:r>
        <w:rPr>
          <w:rFonts w:hint="eastAsia"/>
          <w:color w:val="auto"/>
          <w:highlight w:val="none"/>
        </w:rPr>
        <w:t xml:space="preserve">（2）由同一专业的单位组成的联合体，按照资质等级较低的单位确定资质等级； </w:t>
      </w:r>
    </w:p>
    <w:p w14:paraId="4CC5FEDF">
      <w:pPr>
        <w:spacing w:line="360" w:lineRule="exact"/>
        <w:ind w:firstLine="718" w:firstLineChars="342"/>
        <w:rPr>
          <w:color w:val="auto"/>
          <w:highlight w:val="none"/>
        </w:rPr>
      </w:pPr>
      <w:r>
        <w:rPr>
          <w:rFonts w:hint="eastAsia"/>
          <w:color w:val="auto"/>
          <w:highlight w:val="none"/>
        </w:rPr>
        <w:t>（3）联合体各方不得再以自己名义单独或参加其他联合体在同一标段中投标。</w:t>
      </w:r>
    </w:p>
    <w:p w14:paraId="083F34F9">
      <w:pPr>
        <w:spacing w:line="360" w:lineRule="exact"/>
        <w:ind w:firstLine="420" w:firstLineChars="200"/>
        <w:rPr>
          <w:color w:val="auto"/>
          <w:highlight w:val="none"/>
        </w:rPr>
      </w:pPr>
      <w:r>
        <w:rPr>
          <w:rFonts w:hint="eastAsia"/>
          <w:color w:val="auto"/>
          <w:highlight w:val="none"/>
        </w:rPr>
        <w:t>1.4.3 投标人不得存在下列情形之一：</w:t>
      </w:r>
    </w:p>
    <w:p w14:paraId="3155E53E">
      <w:pPr>
        <w:spacing w:line="360" w:lineRule="exact"/>
        <w:ind w:firstLine="718" w:firstLineChars="342"/>
        <w:rPr>
          <w:color w:val="auto"/>
          <w:highlight w:val="none"/>
        </w:rPr>
      </w:pPr>
      <w:r>
        <w:rPr>
          <w:rFonts w:hint="eastAsia"/>
          <w:color w:val="auto"/>
          <w:highlight w:val="none"/>
        </w:rPr>
        <w:t>（1）为招标人不具有独立法人资格的附属机构（单位）；</w:t>
      </w:r>
    </w:p>
    <w:p w14:paraId="76421456">
      <w:pPr>
        <w:spacing w:line="360" w:lineRule="exact"/>
        <w:ind w:firstLine="718" w:firstLineChars="342"/>
        <w:rPr>
          <w:color w:val="auto"/>
          <w:highlight w:val="none"/>
        </w:rPr>
      </w:pPr>
      <w:r>
        <w:rPr>
          <w:rFonts w:hint="eastAsia"/>
          <w:color w:val="auto"/>
          <w:highlight w:val="none"/>
        </w:rPr>
        <w:t xml:space="preserve">（2）为本标段前期准备提供设计或咨询服务的； </w:t>
      </w:r>
    </w:p>
    <w:p w14:paraId="5E634C41">
      <w:pPr>
        <w:spacing w:line="360" w:lineRule="exact"/>
        <w:ind w:firstLine="718" w:firstLineChars="342"/>
        <w:rPr>
          <w:color w:val="auto"/>
          <w:highlight w:val="none"/>
        </w:rPr>
      </w:pPr>
      <w:r>
        <w:rPr>
          <w:rFonts w:hint="eastAsia"/>
          <w:color w:val="auto"/>
          <w:highlight w:val="none"/>
        </w:rPr>
        <w:t>（3）为本标段的监理人；</w:t>
      </w:r>
    </w:p>
    <w:p w14:paraId="1F39A86D">
      <w:pPr>
        <w:spacing w:line="360" w:lineRule="exact"/>
        <w:ind w:firstLine="718" w:firstLineChars="342"/>
        <w:rPr>
          <w:color w:val="auto"/>
          <w:highlight w:val="none"/>
        </w:rPr>
      </w:pPr>
      <w:r>
        <w:rPr>
          <w:rFonts w:hint="eastAsia"/>
          <w:color w:val="auto"/>
          <w:highlight w:val="none"/>
        </w:rPr>
        <w:t>（4）为本标段的代建人；</w:t>
      </w:r>
    </w:p>
    <w:p w14:paraId="71DE126E">
      <w:pPr>
        <w:spacing w:line="360" w:lineRule="exact"/>
        <w:ind w:firstLine="718" w:firstLineChars="342"/>
        <w:rPr>
          <w:color w:val="auto"/>
          <w:highlight w:val="none"/>
        </w:rPr>
      </w:pPr>
      <w:r>
        <w:rPr>
          <w:rFonts w:hint="eastAsia"/>
          <w:color w:val="auto"/>
          <w:highlight w:val="none"/>
        </w:rPr>
        <w:t>（5）为本标段提供招标代理服务；</w:t>
      </w:r>
    </w:p>
    <w:p w14:paraId="1AF149C9">
      <w:pPr>
        <w:spacing w:line="360" w:lineRule="exact"/>
        <w:ind w:firstLine="718" w:firstLineChars="342"/>
        <w:rPr>
          <w:color w:val="auto"/>
          <w:highlight w:val="none"/>
        </w:rPr>
      </w:pPr>
      <w:r>
        <w:rPr>
          <w:rFonts w:hint="eastAsia"/>
          <w:color w:val="auto"/>
          <w:highlight w:val="none"/>
        </w:rPr>
        <w:t xml:space="preserve">（6）与本标段的监理人或代建人或招标代理机构同为一个法定代表人或单位负责人； </w:t>
      </w:r>
    </w:p>
    <w:p w14:paraId="630F543E">
      <w:pPr>
        <w:spacing w:line="360" w:lineRule="exact"/>
        <w:ind w:firstLine="718" w:firstLineChars="342"/>
        <w:rPr>
          <w:color w:val="auto"/>
          <w:highlight w:val="none"/>
        </w:rPr>
      </w:pPr>
      <w:r>
        <w:rPr>
          <w:rFonts w:hint="eastAsia"/>
          <w:color w:val="auto"/>
          <w:highlight w:val="none"/>
        </w:rPr>
        <w:t>（7）与本标段的监理人或代建人或招标代理机构相互控股或参股；</w:t>
      </w:r>
    </w:p>
    <w:p w14:paraId="0BC8C774">
      <w:pPr>
        <w:spacing w:line="360" w:lineRule="exact"/>
        <w:ind w:firstLine="718" w:firstLineChars="342"/>
        <w:rPr>
          <w:color w:val="auto"/>
          <w:highlight w:val="none"/>
        </w:rPr>
      </w:pPr>
      <w:r>
        <w:rPr>
          <w:rFonts w:hint="eastAsia"/>
          <w:color w:val="auto"/>
          <w:highlight w:val="none"/>
        </w:rPr>
        <w:t>（8）与本标段的监理人或代建人或招标代理机构的法定代表人或单位负责人相互任职或工作；</w:t>
      </w:r>
    </w:p>
    <w:p w14:paraId="506FFDD6">
      <w:pPr>
        <w:spacing w:line="360" w:lineRule="exact"/>
        <w:ind w:firstLine="718" w:firstLineChars="342"/>
        <w:rPr>
          <w:color w:val="auto"/>
          <w:highlight w:val="none"/>
        </w:rPr>
      </w:pPr>
      <w:r>
        <w:rPr>
          <w:rFonts w:hint="eastAsia"/>
          <w:color w:val="auto"/>
          <w:highlight w:val="none"/>
        </w:rPr>
        <w:t>（9）单位负责人为同一人或者存在控股、管理关系的不同单位，同时参加本标段投标的；</w:t>
      </w:r>
    </w:p>
    <w:p w14:paraId="340515F5">
      <w:pPr>
        <w:spacing w:line="360" w:lineRule="exact"/>
        <w:ind w:firstLine="718" w:firstLineChars="342"/>
        <w:rPr>
          <w:color w:val="auto"/>
          <w:highlight w:val="none"/>
        </w:rPr>
      </w:pPr>
      <w:r>
        <w:rPr>
          <w:rFonts w:hint="eastAsia"/>
          <w:color w:val="auto"/>
          <w:highlight w:val="none"/>
        </w:rPr>
        <w:t>（10）被依法暂停或取消投标资格（指被本招标项目所在地县级及以上住房城乡建设主管部门或其他行政主管部门暂停或取消投标资格或禁止进入该区域建设市场且处于有效期内）；</w:t>
      </w:r>
    </w:p>
    <w:p w14:paraId="167C1FF1">
      <w:pPr>
        <w:spacing w:line="360" w:lineRule="exact"/>
        <w:ind w:firstLine="718" w:firstLineChars="342"/>
        <w:rPr>
          <w:color w:val="auto"/>
          <w:highlight w:val="none"/>
        </w:rPr>
      </w:pPr>
      <w:r>
        <w:rPr>
          <w:rFonts w:hint="eastAsia"/>
          <w:color w:val="auto"/>
          <w:highlight w:val="none"/>
        </w:rPr>
        <w:t xml:space="preserve">（11）被责令停产停业、暂扣或者吊销许可证、暂扣或者吊销执照； </w:t>
      </w:r>
    </w:p>
    <w:p w14:paraId="32C2C1FB">
      <w:pPr>
        <w:spacing w:line="360" w:lineRule="exact"/>
        <w:ind w:firstLine="718" w:firstLineChars="342"/>
        <w:rPr>
          <w:color w:val="auto"/>
          <w:highlight w:val="none"/>
        </w:rPr>
      </w:pPr>
      <w:r>
        <w:rPr>
          <w:rFonts w:hint="eastAsia"/>
          <w:color w:val="auto"/>
          <w:highlight w:val="none"/>
        </w:rPr>
        <w:t>（12）进入清算程序，或被宣告破产，或其他丧失履约能力的情形；</w:t>
      </w:r>
    </w:p>
    <w:p w14:paraId="7998B853">
      <w:pPr>
        <w:spacing w:line="360" w:lineRule="exact"/>
        <w:ind w:firstLine="718" w:firstLineChars="342"/>
        <w:rPr>
          <w:color w:val="auto"/>
          <w:highlight w:val="none"/>
        </w:rPr>
      </w:pPr>
      <w:r>
        <w:rPr>
          <w:rFonts w:hint="eastAsia"/>
          <w:color w:val="auto"/>
          <w:highlight w:val="none"/>
        </w:rPr>
        <w:t>（13）在最近三年内有骗取中标或严重违约或重大工程质量问题的（以相关行业主管部门的行政处罚决定或司法机关出具的有关法律文书为准）；</w:t>
      </w:r>
    </w:p>
    <w:p w14:paraId="6A6F3190">
      <w:pPr>
        <w:spacing w:line="360" w:lineRule="exact"/>
        <w:ind w:firstLine="718" w:firstLineChars="342"/>
        <w:rPr>
          <w:color w:val="auto"/>
          <w:highlight w:val="none"/>
        </w:rPr>
      </w:pPr>
      <w:r>
        <w:rPr>
          <w:rFonts w:hint="eastAsia"/>
          <w:color w:val="auto"/>
          <w:highlight w:val="none"/>
        </w:rPr>
        <w:t>（14）在“国家企业信用信息公示系统”（www.gsxt.gov.cn）中被列入严重违法失信企业名单；</w:t>
      </w:r>
    </w:p>
    <w:p w14:paraId="5B40B762">
      <w:pPr>
        <w:spacing w:line="360" w:lineRule="exact"/>
        <w:ind w:firstLine="718" w:firstLineChars="342"/>
        <w:rPr>
          <w:color w:val="auto"/>
          <w:highlight w:val="none"/>
        </w:rPr>
      </w:pPr>
      <w:r>
        <w:rPr>
          <w:rFonts w:hint="eastAsia"/>
          <w:color w:val="auto"/>
          <w:highlight w:val="none"/>
        </w:rPr>
        <w:t>（15）在“信用中国”网站（www.creditchina.gov.cn）或“中国执行信息公开网”（http://zxgk.court.gov.cn/shixin/） 被列入失信被执行人名单；</w:t>
      </w:r>
    </w:p>
    <w:p w14:paraId="3454111C">
      <w:pPr>
        <w:spacing w:line="360" w:lineRule="exact"/>
        <w:ind w:firstLine="718" w:firstLineChars="342"/>
        <w:rPr>
          <w:color w:val="auto"/>
          <w:highlight w:val="none"/>
        </w:rPr>
      </w:pPr>
      <w:r>
        <w:rPr>
          <w:rFonts w:hint="eastAsia"/>
          <w:color w:val="auto"/>
          <w:highlight w:val="none"/>
        </w:rPr>
        <w:t>（16）在辽宁省建设工程招投标监督平台</w:t>
      </w:r>
      <w:r>
        <w:rPr>
          <w:rFonts w:hint="eastAsia"/>
          <w:color w:val="auto"/>
          <w:highlight w:val="none"/>
          <w:lang w:eastAsia="zh-CN"/>
        </w:rPr>
        <w:t>－</w:t>
      </w:r>
      <w:r>
        <w:rPr>
          <w:rFonts w:hint="eastAsia"/>
          <w:color w:val="auto"/>
          <w:highlight w:val="none"/>
        </w:rPr>
        <w:t>辽宁建设工程信息网上被列入不良行为记录且在公布期内的（指行业主管部门或其他行政主管部门在一定期限内依法取消参加依法必须进行招标的项目的投标资格）；</w:t>
      </w:r>
    </w:p>
    <w:p w14:paraId="2F66395E">
      <w:pPr>
        <w:spacing w:line="360" w:lineRule="exact"/>
        <w:ind w:firstLine="718" w:firstLineChars="342"/>
        <w:rPr>
          <w:color w:val="auto"/>
          <w:highlight w:val="none"/>
        </w:rPr>
      </w:pPr>
      <w:r>
        <w:rPr>
          <w:rFonts w:hint="eastAsia"/>
          <w:color w:val="auto"/>
          <w:highlight w:val="none"/>
        </w:rPr>
        <w:t>（17）法律法规规定的其他情形。</w:t>
      </w:r>
    </w:p>
    <w:p w14:paraId="2B5B47BF">
      <w:pPr>
        <w:pStyle w:val="27"/>
        <w:spacing w:line="360" w:lineRule="exact"/>
        <w:rPr>
          <w:color w:val="auto"/>
          <w:highlight w:val="none"/>
        </w:rPr>
      </w:pPr>
      <w:bookmarkStart w:id="56" w:name="_Toc152045535"/>
      <w:bookmarkStart w:id="57" w:name="_Toc144974503"/>
      <w:bookmarkStart w:id="58" w:name="_Toc179632552"/>
      <w:bookmarkStart w:id="59" w:name="_Toc166326846"/>
      <w:bookmarkStart w:id="60" w:name="_Toc613"/>
      <w:bookmarkStart w:id="61" w:name="_Toc152042311"/>
      <w:r>
        <w:rPr>
          <w:rFonts w:hint="eastAsia"/>
          <w:color w:val="auto"/>
          <w:highlight w:val="none"/>
        </w:rPr>
        <w:t>1.5 费用承担</w:t>
      </w:r>
      <w:bookmarkEnd w:id="56"/>
      <w:bookmarkEnd w:id="57"/>
      <w:bookmarkEnd w:id="58"/>
      <w:bookmarkEnd w:id="59"/>
      <w:bookmarkEnd w:id="60"/>
      <w:bookmarkEnd w:id="61"/>
    </w:p>
    <w:p w14:paraId="73EC55D9">
      <w:pPr>
        <w:spacing w:line="360" w:lineRule="exact"/>
        <w:ind w:firstLine="420" w:firstLineChars="200"/>
        <w:rPr>
          <w:color w:val="auto"/>
          <w:highlight w:val="none"/>
        </w:rPr>
      </w:pPr>
      <w:r>
        <w:rPr>
          <w:rFonts w:hint="eastAsia"/>
          <w:color w:val="auto"/>
          <w:highlight w:val="none"/>
        </w:rPr>
        <w:t>投标人准备和参加投标活动发生的费用自理。</w:t>
      </w:r>
    </w:p>
    <w:p w14:paraId="36D874F6">
      <w:pPr>
        <w:pStyle w:val="27"/>
        <w:spacing w:line="360" w:lineRule="exact"/>
        <w:rPr>
          <w:color w:val="auto"/>
          <w:highlight w:val="none"/>
        </w:rPr>
      </w:pPr>
      <w:bookmarkStart w:id="62" w:name="_Toc32047"/>
      <w:bookmarkStart w:id="63" w:name="_Toc179632553"/>
      <w:bookmarkStart w:id="64" w:name="_Toc152042312"/>
      <w:bookmarkStart w:id="65" w:name="_Toc144974504"/>
      <w:bookmarkStart w:id="66" w:name="_Toc166326847"/>
      <w:bookmarkStart w:id="67" w:name="_Toc152045536"/>
      <w:r>
        <w:rPr>
          <w:rFonts w:hint="eastAsia"/>
          <w:color w:val="auto"/>
          <w:highlight w:val="none"/>
        </w:rPr>
        <w:t>1.6 保密</w:t>
      </w:r>
      <w:bookmarkEnd w:id="62"/>
      <w:bookmarkEnd w:id="63"/>
      <w:bookmarkEnd w:id="64"/>
      <w:bookmarkEnd w:id="65"/>
      <w:bookmarkEnd w:id="66"/>
      <w:bookmarkEnd w:id="67"/>
    </w:p>
    <w:p w14:paraId="3A66C862">
      <w:pPr>
        <w:spacing w:line="360" w:lineRule="exact"/>
        <w:ind w:firstLine="420" w:firstLineChars="200"/>
        <w:rPr>
          <w:color w:val="auto"/>
          <w:highlight w:val="none"/>
        </w:rPr>
      </w:pPr>
      <w:r>
        <w:rPr>
          <w:rFonts w:hint="eastAsia"/>
          <w:color w:val="auto"/>
          <w:highlight w:val="none"/>
        </w:rPr>
        <w:t xml:space="preserve">参与招标投标活动的各方应对招标文件和投标文件中的商业和技术等秘密保密，违者应对由此造成的后果承担法律责任。 </w:t>
      </w:r>
    </w:p>
    <w:p w14:paraId="1B134648">
      <w:pPr>
        <w:pStyle w:val="27"/>
        <w:spacing w:line="360" w:lineRule="exact"/>
        <w:rPr>
          <w:color w:val="auto"/>
          <w:highlight w:val="none"/>
        </w:rPr>
      </w:pPr>
      <w:bookmarkStart w:id="68" w:name="_Toc144974505"/>
      <w:bookmarkStart w:id="69" w:name="_Toc152045537"/>
      <w:bookmarkStart w:id="70" w:name="_Toc11940"/>
      <w:bookmarkStart w:id="71" w:name="_Toc166326848"/>
      <w:bookmarkStart w:id="72" w:name="_Toc179632554"/>
      <w:bookmarkStart w:id="73" w:name="_Toc152042313"/>
      <w:r>
        <w:rPr>
          <w:rFonts w:hint="eastAsia"/>
          <w:color w:val="auto"/>
          <w:highlight w:val="none"/>
        </w:rPr>
        <w:t>1.7 语言</w:t>
      </w:r>
      <w:bookmarkEnd w:id="68"/>
      <w:r>
        <w:rPr>
          <w:rFonts w:hint="eastAsia"/>
          <w:color w:val="auto"/>
          <w:highlight w:val="none"/>
        </w:rPr>
        <w:t>文字</w:t>
      </w:r>
      <w:bookmarkEnd w:id="69"/>
      <w:bookmarkEnd w:id="70"/>
      <w:bookmarkEnd w:id="71"/>
      <w:bookmarkEnd w:id="72"/>
      <w:bookmarkEnd w:id="73"/>
    </w:p>
    <w:p w14:paraId="43E32AE2">
      <w:pPr>
        <w:spacing w:line="360" w:lineRule="exact"/>
        <w:ind w:firstLine="420" w:firstLineChars="200"/>
        <w:rPr>
          <w:color w:val="auto"/>
          <w:highlight w:val="none"/>
        </w:rPr>
      </w:pPr>
      <w:r>
        <w:rPr>
          <w:rFonts w:hint="eastAsia"/>
          <w:color w:val="auto"/>
          <w:highlight w:val="none"/>
        </w:rPr>
        <w:t>除专用术语外，与招标投标有关的语言均使用中文。必要时专用术语应附有中文注释。</w:t>
      </w:r>
    </w:p>
    <w:p w14:paraId="3EBB8A0A">
      <w:pPr>
        <w:pStyle w:val="27"/>
        <w:spacing w:line="360" w:lineRule="exact"/>
        <w:rPr>
          <w:color w:val="auto"/>
          <w:highlight w:val="none"/>
        </w:rPr>
      </w:pPr>
      <w:bookmarkStart w:id="74" w:name="_Toc152042314"/>
      <w:bookmarkStart w:id="75" w:name="_Toc19959"/>
      <w:bookmarkStart w:id="76" w:name="_Toc152045538"/>
      <w:bookmarkStart w:id="77" w:name="_Toc179632555"/>
      <w:bookmarkStart w:id="78" w:name="_Toc166326849"/>
      <w:bookmarkStart w:id="79" w:name="_Toc144974506"/>
      <w:r>
        <w:rPr>
          <w:rFonts w:hint="eastAsia"/>
          <w:color w:val="auto"/>
          <w:highlight w:val="none"/>
        </w:rPr>
        <w:t>1.8 计量单位</w:t>
      </w:r>
      <w:bookmarkEnd w:id="74"/>
      <w:bookmarkEnd w:id="75"/>
      <w:bookmarkEnd w:id="76"/>
      <w:bookmarkEnd w:id="77"/>
      <w:bookmarkEnd w:id="78"/>
      <w:bookmarkEnd w:id="79"/>
    </w:p>
    <w:p w14:paraId="0F182788">
      <w:pPr>
        <w:spacing w:line="360" w:lineRule="exact"/>
        <w:ind w:firstLine="420" w:firstLineChars="200"/>
        <w:rPr>
          <w:color w:val="auto"/>
          <w:highlight w:val="none"/>
        </w:rPr>
      </w:pPr>
      <w:r>
        <w:rPr>
          <w:rFonts w:hint="eastAsia"/>
          <w:color w:val="auto"/>
          <w:highlight w:val="none"/>
        </w:rPr>
        <w:t>所有计量均采用中华人民共和国法定计量单位。</w:t>
      </w:r>
    </w:p>
    <w:p w14:paraId="717F358C">
      <w:pPr>
        <w:pStyle w:val="27"/>
        <w:spacing w:line="360" w:lineRule="exact"/>
        <w:rPr>
          <w:color w:val="auto"/>
          <w:highlight w:val="none"/>
        </w:rPr>
      </w:pPr>
      <w:bookmarkStart w:id="80" w:name="_Toc152045539"/>
      <w:bookmarkStart w:id="81" w:name="_Toc179632556"/>
      <w:bookmarkStart w:id="82" w:name="_Toc18776"/>
      <w:bookmarkStart w:id="83" w:name="_Toc166326850"/>
      <w:bookmarkStart w:id="84" w:name="_Toc144974507"/>
      <w:bookmarkStart w:id="85" w:name="_Toc152042315"/>
      <w:r>
        <w:rPr>
          <w:rFonts w:hint="eastAsia"/>
          <w:color w:val="auto"/>
          <w:highlight w:val="none"/>
        </w:rPr>
        <w:t>1.9 踏勘现场</w:t>
      </w:r>
      <w:bookmarkEnd w:id="80"/>
      <w:bookmarkEnd w:id="81"/>
      <w:bookmarkEnd w:id="82"/>
      <w:bookmarkEnd w:id="83"/>
      <w:bookmarkEnd w:id="84"/>
      <w:bookmarkEnd w:id="85"/>
    </w:p>
    <w:p w14:paraId="32E03B29">
      <w:pPr>
        <w:spacing w:line="360" w:lineRule="exact"/>
        <w:ind w:firstLine="420" w:firstLineChars="200"/>
        <w:rPr>
          <w:color w:val="auto"/>
          <w:highlight w:val="none"/>
        </w:rPr>
      </w:pPr>
      <w:r>
        <w:rPr>
          <w:rFonts w:hint="eastAsia"/>
          <w:color w:val="auto"/>
          <w:highlight w:val="none"/>
        </w:rPr>
        <w:t xml:space="preserve">1.9.1 投标人须知前附表规定组织踏勘现场的，招标人按投标人须知前附表规定的时间、地点组织投标人踏勘项目现场。 </w:t>
      </w:r>
    </w:p>
    <w:p w14:paraId="72FFCEB4">
      <w:pPr>
        <w:spacing w:line="360" w:lineRule="exact"/>
        <w:ind w:firstLine="420" w:firstLineChars="200"/>
        <w:rPr>
          <w:color w:val="auto"/>
          <w:highlight w:val="none"/>
        </w:rPr>
      </w:pPr>
      <w:r>
        <w:rPr>
          <w:rFonts w:hint="eastAsia"/>
          <w:color w:val="auto"/>
          <w:highlight w:val="none"/>
        </w:rPr>
        <w:t>1.9.2 投标人踏勘现场发生的费用自理。</w:t>
      </w:r>
    </w:p>
    <w:p w14:paraId="7DEA9BCD">
      <w:pPr>
        <w:spacing w:line="360" w:lineRule="exact"/>
        <w:ind w:firstLine="420" w:firstLineChars="200"/>
        <w:rPr>
          <w:color w:val="auto"/>
          <w:highlight w:val="none"/>
        </w:rPr>
      </w:pPr>
      <w:r>
        <w:rPr>
          <w:rFonts w:hint="eastAsia"/>
          <w:color w:val="auto"/>
          <w:highlight w:val="none"/>
        </w:rPr>
        <w:t>1.9.3 除招标人的原因外，投标人自行负责在踏勘现场中所发生的人员伤亡和财产损失。</w:t>
      </w:r>
    </w:p>
    <w:p w14:paraId="7CA6725E">
      <w:pPr>
        <w:spacing w:line="360" w:lineRule="exact"/>
        <w:ind w:firstLine="420" w:firstLineChars="200"/>
        <w:rPr>
          <w:color w:val="auto"/>
          <w:highlight w:val="none"/>
        </w:rPr>
      </w:pPr>
      <w:r>
        <w:rPr>
          <w:rFonts w:hint="eastAsia"/>
          <w:color w:val="auto"/>
          <w:highlight w:val="none"/>
        </w:rPr>
        <w:t>1.9.4 招标人在踏勘现场中介绍的工程场地和相关的周边环境情况，供投标人在编制投标文件时参考，招标人不对投标人据此作出的判断和决策负责。</w:t>
      </w:r>
    </w:p>
    <w:p w14:paraId="0A47A423">
      <w:pPr>
        <w:pStyle w:val="27"/>
        <w:spacing w:line="360" w:lineRule="exact"/>
        <w:rPr>
          <w:color w:val="auto"/>
          <w:highlight w:val="none"/>
        </w:rPr>
      </w:pPr>
      <w:bookmarkStart w:id="86" w:name="_Toc144974508"/>
      <w:bookmarkStart w:id="87" w:name="_Toc179632557"/>
      <w:bookmarkStart w:id="88" w:name="_Toc152045540"/>
      <w:bookmarkStart w:id="89" w:name="_Toc11739"/>
      <w:bookmarkStart w:id="90" w:name="_Toc152042316"/>
      <w:bookmarkStart w:id="91" w:name="_Toc166326851"/>
      <w:r>
        <w:rPr>
          <w:rFonts w:hint="eastAsia"/>
          <w:color w:val="auto"/>
          <w:highlight w:val="none"/>
        </w:rPr>
        <w:t>1.10 投标预备会</w:t>
      </w:r>
      <w:bookmarkEnd w:id="86"/>
      <w:bookmarkEnd w:id="87"/>
      <w:bookmarkEnd w:id="88"/>
      <w:bookmarkEnd w:id="89"/>
      <w:bookmarkEnd w:id="90"/>
      <w:bookmarkEnd w:id="91"/>
    </w:p>
    <w:p w14:paraId="5410B5D2">
      <w:pPr>
        <w:spacing w:line="360" w:lineRule="exact"/>
        <w:ind w:firstLine="420" w:firstLineChars="200"/>
        <w:rPr>
          <w:color w:val="auto"/>
          <w:highlight w:val="none"/>
        </w:rPr>
      </w:pPr>
      <w:r>
        <w:rPr>
          <w:rFonts w:hint="eastAsia"/>
          <w:color w:val="auto"/>
          <w:highlight w:val="none"/>
        </w:rPr>
        <w:t>1.10.1 投标人须知前附表规定召开投标预备会的，招标人按投标人须知前附表规定的时间和地点召开投标预备会，澄清投标人提出的问题。</w:t>
      </w:r>
    </w:p>
    <w:p w14:paraId="4798F1EF">
      <w:pPr>
        <w:spacing w:line="360" w:lineRule="exact"/>
        <w:ind w:firstLine="420" w:firstLineChars="200"/>
        <w:rPr>
          <w:color w:val="auto"/>
          <w:highlight w:val="none"/>
        </w:rPr>
      </w:pPr>
      <w:r>
        <w:rPr>
          <w:rFonts w:hint="eastAsia"/>
          <w:color w:val="auto"/>
          <w:highlight w:val="none"/>
        </w:rPr>
        <w:t>1.10.2 在投标人须知前附表规定的时间前，投标人应通过电子交易系统以书面形式将提出的问题送达招标人，以便招标人在会议期间澄清。</w:t>
      </w:r>
    </w:p>
    <w:p w14:paraId="56BA3797">
      <w:pPr>
        <w:spacing w:line="360" w:lineRule="exact"/>
        <w:ind w:firstLine="420" w:firstLineChars="200"/>
        <w:rPr>
          <w:color w:val="auto"/>
          <w:highlight w:val="none"/>
        </w:rPr>
      </w:pPr>
      <w:r>
        <w:rPr>
          <w:rFonts w:hint="eastAsia"/>
          <w:color w:val="auto"/>
          <w:highlight w:val="none"/>
        </w:rPr>
        <w:t>1.10.3 投标预备会后，招标人在本章第2.2.2项规定的时间内，将对投标人所提问题的澄清，</w:t>
      </w:r>
      <w:bookmarkStart w:id="92" w:name="_Hlk144990476"/>
      <w:r>
        <w:rPr>
          <w:rFonts w:hint="eastAsia"/>
          <w:color w:val="auto"/>
          <w:highlight w:val="none"/>
        </w:rPr>
        <w:t>以书面形式通过法定公告公示信息发布媒介、电子交易系统（投标盲盒工具）等渠道通知所有下载招标文件的投标人。</w:t>
      </w:r>
      <w:bookmarkEnd w:id="92"/>
      <w:r>
        <w:rPr>
          <w:rFonts w:hint="eastAsia"/>
          <w:color w:val="auto"/>
          <w:highlight w:val="none"/>
        </w:rPr>
        <w:t>该澄清内容为招标文件的组成部分。</w:t>
      </w:r>
    </w:p>
    <w:p w14:paraId="30098A85">
      <w:pPr>
        <w:pStyle w:val="27"/>
        <w:spacing w:line="360" w:lineRule="exact"/>
        <w:rPr>
          <w:color w:val="auto"/>
          <w:highlight w:val="none"/>
        </w:rPr>
      </w:pPr>
      <w:bookmarkStart w:id="93" w:name="_Toc152042317"/>
      <w:bookmarkStart w:id="94" w:name="_Toc166326852"/>
      <w:bookmarkStart w:id="95" w:name="_Toc152045541"/>
      <w:bookmarkStart w:id="96" w:name="_Toc5201"/>
      <w:bookmarkStart w:id="97" w:name="_Toc179632558"/>
      <w:bookmarkStart w:id="98" w:name="_Toc144974509"/>
      <w:r>
        <w:rPr>
          <w:rFonts w:hint="eastAsia"/>
          <w:color w:val="auto"/>
          <w:highlight w:val="none"/>
        </w:rPr>
        <w:t>1.11 分包</w:t>
      </w:r>
      <w:bookmarkEnd w:id="93"/>
      <w:bookmarkEnd w:id="94"/>
      <w:bookmarkEnd w:id="95"/>
      <w:bookmarkEnd w:id="96"/>
      <w:bookmarkEnd w:id="97"/>
      <w:bookmarkEnd w:id="98"/>
    </w:p>
    <w:p w14:paraId="1F053BFD">
      <w:pPr>
        <w:spacing w:line="360" w:lineRule="exact"/>
        <w:ind w:firstLine="420" w:firstLineChars="200"/>
        <w:rPr>
          <w:color w:val="auto"/>
          <w:highlight w:val="none"/>
        </w:rPr>
      </w:pPr>
      <w:r>
        <w:rPr>
          <w:rFonts w:hint="eastAsia"/>
          <w:color w:val="auto"/>
          <w:highlight w:val="none"/>
        </w:rPr>
        <w:t>投标人拟在中标后将中标项目的部分非主体、非关键性工作进行分包的，应符合投标人须知前附表规定的分包内容、分包金额和接受分包的第三人资质要求等限制性条件。</w:t>
      </w:r>
    </w:p>
    <w:p w14:paraId="7CD3821A">
      <w:pPr>
        <w:pStyle w:val="27"/>
        <w:spacing w:line="360" w:lineRule="exact"/>
        <w:rPr>
          <w:color w:val="auto"/>
          <w:highlight w:val="none"/>
        </w:rPr>
      </w:pPr>
      <w:bookmarkStart w:id="99" w:name="_Toc7455"/>
      <w:bookmarkStart w:id="100" w:name="_Toc179632559"/>
      <w:bookmarkStart w:id="101" w:name="_Toc166326853"/>
      <w:r>
        <w:rPr>
          <w:rFonts w:hint="eastAsia"/>
          <w:color w:val="auto"/>
          <w:highlight w:val="none"/>
        </w:rPr>
        <w:t>1.12 偏离</w:t>
      </w:r>
      <w:bookmarkEnd w:id="99"/>
      <w:bookmarkEnd w:id="100"/>
      <w:bookmarkEnd w:id="101"/>
    </w:p>
    <w:p w14:paraId="1630324F">
      <w:pPr>
        <w:spacing w:line="360" w:lineRule="exact"/>
        <w:ind w:firstLine="420" w:firstLineChars="200"/>
        <w:rPr>
          <w:color w:val="auto"/>
          <w:highlight w:val="none"/>
        </w:rPr>
      </w:pPr>
      <w:r>
        <w:rPr>
          <w:rFonts w:hint="eastAsia"/>
          <w:color w:val="auto"/>
          <w:highlight w:val="none"/>
        </w:rPr>
        <w:t>投标人须知前附表允许投标文件偏离招标文件某些要求的，偏离应当符合招标文件规定的偏离范围和幅度。</w:t>
      </w:r>
    </w:p>
    <w:p w14:paraId="665B284F">
      <w:pPr>
        <w:pStyle w:val="25"/>
        <w:spacing w:line="360" w:lineRule="exact"/>
        <w:rPr>
          <w:color w:val="auto"/>
          <w:highlight w:val="none"/>
        </w:rPr>
      </w:pPr>
      <w:bookmarkStart w:id="102" w:name="_Toc9623"/>
      <w:bookmarkStart w:id="103" w:name="_Toc152042318"/>
      <w:bookmarkStart w:id="104" w:name="_Toc179632560"/>
      <w:bookmarkStart w:id="105" w:name="_Toc166326854"/>
      <w:bookmarkStart w:id="106" w:name="_Toc144974510"/>
      <w:bookmarkStart w:id="107" w:name="_Toc152045542"/>
      <w:r>
        <w:rPr>
          <w:rFonts w:hint="eastAsia"/>
          <w:color w:val="auto"/>
          <w:highlight w:val="none"/>
        </w:rPr>
        <w:t>2. 招标文件</w:t>
      </w:r>
      <w:bookmarkEnd w:id="102"/>
      <w:bookmarkEnd w:id="103"/>
      <w:bookmarkEnd w:id="104"/>
      <w:bookmarkEnd w:id="105"/>
      <w:bookmarkEnd w:id="106"/>
      <w:bookmarkEnd w:id="107"/>
    </w:p>
    <w:p w14:paraId="7B1E2EDE">
      <w:pPr>
        <w:pStyle w:val="27"/>
        <w:spacing w:line="360" w:lineRule="exact"/>
        <w:rPr>
          <w:color w:val="auto"/>
          <w:highlight w:val="none"/>
        </w:rPr>
      </w:pPr>
      <w:bookmarkStart w:id="108" w:name="_Toc166326855"/>
      <w:bookmarkStart w:id="109" w:name="_Toc152045543"/>
      <w:bookmarkStart w:id="110" w:name="_Toc152042319"/>
      <w:bookmarkStart w:id="111" w:name="_Toc23862"/>
      <w:bookmarkStart w:id="112" w:name="_Toc179632561"/>
      <w:bookmarkStart w:id="113" w:name="_Toc144974511"/>
      <w:r>
        <w:rPr>
          <w:rFonts w:hint="eastAsia"/>
          <w:color w:val="auto"/>
          <w:highlight w:val="none"/>
        </w:rPr>
        <w:t>2.1 招标文件的组成</w:t>
      </w:r>
      <w:bookmarkEnd w:id="108"/>
      <w:bookmarkEnd w:id="109"/>
      <w:bookmarkEnd w:id="110"/>
      <w:bookmarkEnd w:id="111"/>
      <w:bookmarkEnd w:id="112"/>
      <w:bookmarkEnd w:id="113"/>
    </w:p>
    <w:p w14:paraId="18F6D1F3">
      <w:pPr>
        <w:spacing w:line="360" w:lineRule="exact"/>
        <w:rPr>
          <w:color w:val="auto"/>
          <w:highlight w:val="none"/>
        </w:rPr>
      </w:pPr>
      <w:r>
        <w:rPr>
          <w:rFonts w:hint="eastAsia"/>
          <w:color w:val="auto"/>
          <w:highlight w:val="none"/>
        </w:rPr>
        <w:t xml:space="preserve">  2.1.1本招标文件包括：</w:t>
      </w:r>
    </w:p>
    <w:p w14:paraId="056376BC">
      <w:pPr>
        <w:spacing w:line="360" w:lineRule="exact"/>
        <w:ind w:firstLine="359" w:firstLineChars="171"/>
        <w:rPr>
          <w:color w:val="auto"/>
          <w:highlight w:val="none"/>
        </w:rPr>
      </w:pPr>
      <w:r>
        <w:rPr>
          <w:rFonts w:hint="eastAsia"/>
          <w:color w:val="auto"/>
          <w:highlight w:val="none"/>
        </w:rPr>
        <w:t>（1）招标公告（或投标邀请书）；</w:t>
      </w:r>
    </w:p>
    <w:p w14:paraId="3F5B8D75">
      <w:pPr>
        <w:spacing w:line="360" w:lineRule="exact"/>
        <w:ind w:firstLine="359" w:firstLineChars="171"/>
        <w:rPr>
          <w:color w:val="auto"/>
          <w:highlight w:val="none"/>
        </w:rPr>
      </w:pPr>
      <w:r>
        <w:rPr>
          <w:rFonts w:hint="eastAsia"/>
          <w:color w:val="auto"/>
          <w:highlight w:val="none"/>
        </w:rPr>
        <w:t>（2）投标人须知；</w:t>
      </w:r>
    </w:p>
    <w:p w14:paraId="39074C24">
      <w:pPr>
        <w:spacing w:line="360" w:lineRule="exact"/>
        <w:ind w:firstLine="359" w:firstLineChars="171"/>
        <w:rPr>
          <w:color w:val="auto"/>
          <w:highlight w:val="none"/>
        </w:rPr>
      </w:pPr>
      <w:r>
        <w:rPr>
          <w:rFonts w:hint="eastAsia"/>
          <w:color w:val="auto"/>
          <w:highlight w:val="none"/>
        </w:rPr>
        <w:t>（3）评标办法；</w:t>
      </w:r>
    </w:p>
    <w:p w14:paraId="60987046">
      <w:pPr>
        <w:spacing w:line="360" w:lineRule="exact"/>
        <w:ind w:firstLine="359" w:firstLineChars="171"/>
        <w:rPr>
          <w:color w:val="auto"/>
          <w:highlight w:val="none"/>
        </w:rPr>
      </w:pPr>
      <w:r>
        <w:rPr>
          <w:rFonts w:hint="eastAsia"/>
          <w:color w:val="auto"/>
          <w:highlight w:val="none"/>
        </w:rPr>
        <w:t>（4）合同条款及格式；</w:t>
      </w:r>
    </w:p>
    <w:p w14:paraId="108A94F6">
      <w:pPr>
        <w:spacing w:line="360" w:lineRule="exact"/>
        <w:ind w:firstLine="359" w:firstLineChars="171"/>
        <w:rPr>
          <w:color w:val="auto"/>
          <w:highlight w:val="none"/>
        </w:rPr>
      </w:pPr>
      <w:r>
        <w:rPr>
          <w:rFonts w:hint="eastAsia"/>
          <w:color w:val="auto"/>
          <w:highlight w:val="none"/>
        </w:rPr>
        <w:t xml:space="preserve">（5）工程量清单； </w:t>
      </w:r>
    </w:p>
    <w:p w14:paraId="12E0CE6A">
      <w:pPr>
        <w:spacing w:line="360" w:lineRule="exact"/>
        <w:ind w:firstLine="359" w:firstLineChars="171"/>
        <w:rPr>
          <w:color w:val="auto"/>
          <w:highlight w:val="none"/>
        </w:rPr>
      </w:pPr>
      <w:r>
        <w:rPr>
          <w:rFonts w:hint="eastAsia"/>
          <w:color w:val="auto"/>
          <w:highlight w:val="none"/>
        </w:rPr>
        <w:t xml:space="preserve">（6）图纸； </w:t>
      </w:r>
    </w:p>
    <w:p w14:paraId="63FFDDD6">
      <w:pPr>
        <w:spacing w:line="360" w:lineRule="exact"/>
        <w:ind w:firstLine="359" w:firstLineChars="171"/>
        <w:rPr>
          <w:color w:val="auto"/>
          <w:highlight w:val="none"/>
        </w:rPr>
      </w:pPr>
      <w:r>
        <w:rPr>
          <w:rFonts w:hint="eastAsia"/>
          <w:color w:val="auto"/>
          <w:highlight w:val="none"/>
        </w:rPr>
        <w:t xml:space="preserve">（7）技术标准和要求； </w:t>
      </w:r>
    </w:p>
    <w:p w14:paraId="775DE533">
      <w:pPr>
        <w:spacing w:line="360" w:lineRule="exact"/>
        <w:ind w:firstLine="359" w:firstLineChars="171"/>
        <w:rPr>
          <w:color w:val="auto"/>
          <w:highlight w:val="none"/>
        </w:rPr>
      </w:pPr>
      <w:r>
        <w:rPr>
          <w:rFonts w:hint="eastAsia"/>
          <w:color w:val="auto"/>
          <w:highlight w:val="none"/>
        </w:rPr>
        <w:t>（8）投标文件格式；</w:t>
      </w:r>
    </w:p>
    <w:p w14:paraId="5790D303">
      <w:pPr>
        <w:spacing w:line="360" w:lineRule="exact"/>
        <w:ind w:firstLine="359" w:firstLineChars="171"/>
        <w:rPr>
          <w:color w:val="auto"/>
          <w:highlight w:val="none"/>
        </w:rPr>
      </w:pPr>
      <w:r>
        <w:rPr>
          <w:rFonts w:hint="eastAsia"/>
          <w:color w:val="auto"/>
          <w:highlight w:val="none"/>
        </w:rPr>
        <w:t>（9）投标人须知前附表规定的其他材料。</w:t>
      </w:r>
    </w:p>
    <w:p w14:paraId="3A2F79DE">
      <w:pPr>
        <w:spacing w:line="360" w:lineRule="exact"/>
        <w:ind w:firstLine="420" w:firstLineChars="200"/>
        <w:rPr>
          <w:color w:val="auto"/>
          <w:highlight w:val="none"/>
        </w:rPr>
      </w:pPr>
      <w:r>
        <w:rPr>
          <w:rFonts w:hint="eastAsia"/>
          <w:color w:val="auto"/>
          <w:highlight w:val="none"/>
        </w:rPr>
        <w:t>根据本章第1.10款、</w:t>
      </w:r>
      <w:r>
        <w:rPr>
          <w:color w:val="auto"/>
          <w:highlight w:val="none"/>
        </w:rPr>
        <w:t>第2.2款和第2.3款</w:t>
      </w:r>
      <w:r>
        <w:rPr>
          <w:rFonts w:hint="eastAsia"/>
          <w:color w:val="auto"/>
          <w:highlight w:val="none"/>
        </w:rPr>
        <w:t>对招标文件所作的澄清、修改，构成招标文件的组成部分。</w:t>
      </w:r>
    </w:p>
    <w:p w14:paraId="76F61415">
      <w:pPr>
        <w:pStyle w:val="27"/>
        <w:spacing w:line="360" w:lineRule="exact"/>
        <w:rPr>
          <w:color w:val="auto"/>
          <w:highlight w:val="none"/>
        </w:rPr>
      </w:pPr>
      <w:bookmarkStart w:id="114" w:name="_Toc144974512"/>
      <w:bookmarkStart w:id="115" w:name="_Toc179632562"/>
      <w:bookmarkStart w:id="116" w:name="_Toc22065"/>
      <w:bookmarkStart w:id="117" w:name="_Toc152042320"/>
      <w:bookmarkStart w:id="118" w:name="_Toc166326856"/>
      <w:bookmarkStart w:id="119" w:name="_Toc152045544"/>
      <w:r>
        <w:rPr>
          <w:rFonts w:hint="eastAsia"/>
          <w:color w:val="auto"/>
          <w:highlight w:val="none"/>
        </w:rPr>
        <w:t>2.2 招标文件的澄清</w:t>
      </w:r>
      <w:bookmarkEnd w:id="114"/>
      <w:bookmarkEnd w:id="115"/>
      <w:bookmarkEnd w:id="116"/>
      <w:bookmarkEnd w:id="117"/>
      <w:bookmarkEnd w:id="118"/>
      <w:bookmarkEnd w:id="119"/>
    </w:p>
    <w:p w14:paraId="3313BD52">
      <w:pPr>
        <w:spacing w:line="360" w:lineRule="exact"/>
        <w:ind w:firstLine="420" w:firstLineChars="200"/>
        <w:rPr>
          <w:color w:val="auto"/>
          <w:highlight w:val="none"/>
        </w:rPr>
      </w:pPr>
      <w:r>
        <w:rPr>
          <w:rFonts w:hint="eastAsia"/>
          <w:color w:val="auto"/>
          <w:highlight w:val="none"/>
        </w:rPr>
        <w:t>2.2.1投标人应仔细阅读和检查招标文件的全部内容。</w:t>
      </w:r>
      <w:r>
        <w:rPr>
          <w:rFonts w:hint="eastAsia" w:ascii="宋体" w:hAnsi="宋体"/>
          <w:color w:val="auto"/>
          <w:szCs w:val="21"/>
          <w:highlight w:val="none"/>
        </w:rPr>
        <w:t>如发现缺页或附件不全，应及时向招标人提出，以便补齐。</w:t>
      </w:r>
      <w:bookmarkStart w:id="120" w:name="_Hlk144990577"/>
      <w:r>
        <w:rPr>
          <w:rFonts w:hint="eastAsia"/>
          <w:color w:val="auto"/>
          <w:highlight w:val="none"/>
        </w:rPr>
        <w:t>如有疑问，应在投标人须知前附表规定的时间前，通过法定公告公示信息发布媒介、电子交易系统（投标盲盒工具）等渠道以书面形式要求招标人对招标文件予以澄清。</w:t>
      </w:r>
      <w:bookmarkEnd w:id="120"/>
    </w:p>
    <w:p w14:paraId="19348B9E">
      <w:pPr>
        <w:spacing w:line="360" w:lineRule="exact"/>
        <w:ind w:firstLine="420" w:firstLineChars="200"/>
        <w:rPr>
          <w:color w:val="auto"/>
          <w:highlight w:val="none"/>
        </w:rPr>
      </w:pPr>
      <w:r>
        <w:rPr>
          <w:rFonts w:hint="eastAsia"/>
          <w:color w:val="auto"/>
          <w:highlight w:val="none"/>
        </w:rPr>
        <w:t xml:space="preserve">2.2.2 </w:t>
      </w:r>
      <w:r>
        <w:rPr>
          <w:color w:val="auto"/>
          <w:highlight w:val="none"/>
        </w:rPr>
        <w:t>招标人</w:t>
      </w:r>
      <w:r>
        <w:rPr>
          <w:rFonts w:hint="eastAsia"/>
          <w:color w:val="auto"/>
          <w:highlight w:val="none"/>
        </w:rPr>
        <w:t>对招标文件的澄清通过法定公告公示信息发布媒介、电子交易系统（投标盲盒工具）等渠道以书面形式发给所有下载招标文件的投标人，但不指明澄清问题的来源。如果澄清通知发出的时间距投标人须知前附表第4.2.1项规定的投标截止时间不足15日，并且澄清的内容确实影响投标文件编制的，应当相应延长投标截止时间。</w:t>
      </w:r>
    </w:p>
    <w:p w14:paraId="0C8E4DFE">
      <w:pPr>
        <w:spacing w:line="360" w:lineRule="exact"/>
        <w:ind w:firstLine="420" w:firstLineChars="200"/>
        <w:rPr>
          <w:color w:val="auto"/>
          <w:highlight w:val="none"/>
        </w:rPr>
      </w:pPr>
      <w:r>
        <w:rPr>
          <w:rFonts w:hint="eastAsia"/>
          <w:color w:val="auto"/>
          <w:highlight w:val="none"/>
        </w:rPr>
        <w:t>2.2.3</w:t>
      </w:r>
      <w:r>
        <w:rPr>
          <w:color w:val="auto"/>
          <w:highlight w:val="none"/>
        </w:rPr>
        <w:t>投标人应</w:t>
      </w:r>
      <w:r>
        <w:rPr>
          <w:rFonts w:hint="eastAsia"/>
          <w:color w:val="auto"/>
          <w:highlight w:val="none"/>
        </w:rPr>
        <w:t>实时自行关注法定公告公示信息发布媒介、电子交易系统（投标盲盒工具）等渠道</w:t>
      </w:r>
      <w:r>
        <w:rPr>
          <w:color w:val="auto"/>
          <w:highlight w:val="none"/>
        </w:rPr>
        <w:t>上</w:t>
      </w:r>
      <w:r>
        <w:rPr>
          <w:rFonts w:hint="eastAsia"/>
          <w:color w:val="auto"/>
          <w:highlight w:val="none"/>
        </w:rPr>
        <w:t>发出</w:t>
      </w:r>
      <w:r>
        <w:rPr>
          <w:color w:val="auto"/>
          <w:highlight w:val="none"/>
        </w:rPr>
        <w:t>的澄清通知，因投标人</w:t>
      </w:r>
      <w:r>
        <w:rPr>
          <w:rFonts w:hint="eastAsia"/>
          <w:color w:val="auto"/>
          <w:highlight w:val="none"/>
        </w:rPr>
        <w:t>自身</w:t>
      </w:r>
      <w:r>
        <w:rPr>
          <w:color w:val="auto"/>
          <w:highlight w:val="none"/>
        </w:rPr>
        <w:t>原因未及时获知澄清内容而导致的任何后果将由投标人自行承担。</w:t>
      </w:r>
    </w:p>
    <w:p w14:paraId="1CFB0A90">
      <w:pPr>
        <w:pStyle w:val="27"/>
        <w:spacing w:line="360" w:lineRule="exact"/>
        <w:rPr>
          <w:color w:val="auto"/>
          <w:highlight w:val="none"/>
        </w:rPr>
      </w:pPr>
      <w:bookmarkStart w:id="121" w:name="_Toc144974513"/>
      <w:bookmarkStart w:id="122" w:name="_Toc166326857"/>
      <w:bookmarkStart w:id="123" w:name="_Toc179632563"/>
      <w:bookmarkStart w:id="124" w:name="_Toc152042321"/>
      <w:bookmarkStart w:id="125" w:name="_Toc4841"/>
      <w:bookmarkStart w:id="126" w:name="_Toc152045545"/>
      <w:r>
        <w:rPr>
          <w:rFonts w:hint="eastAsia"/>
          <w:color w:val="auto"/>
          <w:highlight w:val="none"/>
        </w:rPr>
        <w:t>2.3 招标文件的修改</w:t>
      </w:r>
      <w:bookmarkEnd w:id="121"/>
      <w:bookmarkEnd w:id="122"/>
      <w:bookmarkEnd w:id="123"/>
      <w:bookmarkEnd w:id="124"/>
      <w:bookmarkEnd w:id="125"/>
      <w:bookmarkEnd w:id="126"/>
    </w:p>
    <w:p w14:paraId="6CB852A6">
      <w:pPr>
        <w:spacing w:line="360" w:lineRule="exact"/>
        <w:ind w:firstLine="420" w:firstLineChars="200"/>
        <w:rPr>
          <w:color w:val="auto"/>
          <w:highlight w:val="none"/>
        </w:rPr>
      </w:pPr>
      <w:r>
        <w:rPr>
          <w:rFonts w:hint="eastAsia"/>
          <w:color w:val="auto"/>
          <w:highlight w:val="none"/>
        </w:rPr>
        <w:t>2.3.1 招标人可以书面形式修改招标文件，并通过法定公告公示信息发布媒介、电子交易系统（投标盲盒工具）等渠道通知所有已下载招标文件的投标人。如果修改通知发出的时间距投标人须知前附表第4.2.1项规定的投标截止时间不足15日，并且修改的内容确实影响投标文件编制的，应当相应延长投标截止时间。</w:t>
      </w:r>
    </w:p>
    <w:p w14:paraId="09781D7D">
      <w:pPr>
        <w:spacing w:line="360" w:lineRule="exact"/>
        <w:ind w:firstLine="420" w:firstLineChars="200"/>
        <w:rPr>
          <w:color w:val="auto"/>
          <w:highlight w:val="none"/>
        </w:rPr>
      </w:pPr>
      <w:r>
        <w:rPr>
          <w:rFonts w:hint="eastAsia"/>
          <w:color w:val="auto"/>
          <w:highlight w:val="none"/>
        </w:rPr>
        <w:t>2.3.2</w:t>
      </w:r>
      <w:r>
        <w:rPr>
          <w:color w:val="auto"/>
          <w:highlight w:val="none"/>
        </w:rPr>
        <w:t>投标人应</w:t>
      </w:r>
      <w:r>
        <w:rPr>
          <w:rFonts w:hint="eastAsia"/>
          <w:color w:val="auto"/>
          <w:highlight w:val="none"/>
        </w:rPr>
        <w:t>实时自行关注法定公告公示信息发布媒介、电子交易系统（投标盲盒工具）等渠道</w:t>
      </w:r>
      <w:r>
        <w:rPr>
          <w:color w:val="auto"/>
          <w:highlight w:val="none"/>
        </w:rPr>
        <w:t>上</w:t>
      </w:r>
      <w:r>
        <w:rPr>
          <w:rFonts w:hint="eastAsia"/>
          <w:color w:val="auto"/>
          <w:highlight w:val="none"/>
        </w:rPr>
        <w:t>发出</w:t>
      </w:r>
      <w:r>
        <w:rPr>
          <w:color w:val="auto"/>
          <w:highlight w:val="none"/>
        </w:rPr>
        <w:t>的</w:t>
      </w:r>
      <w:r>
        <w:rPr>
          <w:rFonts w:hint="eastAsia"/>
          <w:color w:val="auto"/>
          <w:highlight w:val="none"/>
        </w:rPr>
        <w:t>修改</w:t>
      </w:r>
      <w:r>
        <w:rPr>
          <w:color w:val="auto"/>
          <w:highlight w:val="none"/>
        </w:rPr>
        <w:t>通知，因投标人</w:t>
      </w:r>
      <w:r>
        <w:rPr>
          <w:rFonts w:hint="eastAsia"/>
          <w:color w:val="auto"/>
          <w:highlight w:val="none"/>
        </w:rPr>
        <w:t>自身</w:t>
      </w:r>
      <w:r>
        <w:rPr>
          <w:color w:val="auto"/>
          <w:highlight w:val="none"/>
        </w:rPr>
        <w:t>原因未及时获知</w:t>
      </w:r>
      <w:r>
        <w:rPr>
          <w:rFonts w:hint="eastAsia"/>
          <w:color w:val="auto"/>
          <w:highlight w:val="none"/>
        </w:rPr>
        <w:t>修改</w:t>
      </w:r>
      <w:r>
        <w:rPr>
          <w:color w:val="auto"/>
          <w:highlight w:val="none"/>
        </w:rPr>
        <w:t>内容而导致的任何后果将由投标人自行承担。</w:t>
      </w:r>
    </w:p>
    <w:p w14:paraId="56D941E9">
      <w:pPr>
        <w:pStyle w:val="27"/>
        <w:spacing w:line="360" w:lineRule="exact"/>
        <w:rPr>
          <w:color w:val="auto"/>
          <w:highlight w:val="none"/>
        </w:rPr>
      </w:pPr>
      <w:bookmarkStart w:id="127" w:name="_Toc166326858"/>
      <w:bookmarkStart w:id="128" w:name="_Toc4154"/>
      <w:r>
        <w:rPr>
          <w:rFonts w:hint="eastAsia"/>
          <w:color w:val="auto"/>
          <w:highlight w:val="none"/>
        </w:rPr>
        <w:t>2.4 招标文件的异议</w:t>
      </w:r>
      <w:bookmarkEnd w:id="127"/>
      <w:bookmarkEnd w:id="128"/>
    </w:p>
    <w:p w14:paraId="17502AC7">
      <w:pPr>
        <w:spacing w:line="360" w:lineRule="exact"/>
        <w:ind w:firstLine="420" w:firstLineChars="200"/>
        <w:rPr>
          <w:color w:val="auto"/>
          <w:highlight w:val="none"/>
        </w:rPr>
      </w:pPr>
      <w:bookmarkStart w:id="129" w:name="_Toc144974514"/>
      <w:bookmarkStart w:id="130" w:name="_Toc152045546"/>
      <w:bookmarkStart w:id="131" w:name="_Toc152042322"/>
      <w:bookmarkStart w:id="132" w:name="_Toc166326859"/>
      <w:bookmarkStart w:id="133" w:name="_Toc179632564"/>
      <w:r>
        <w:rPr>
          <w:rFonts w:hint="eastAsia"/>
          <w:color w:val="auto"/>
          <w:highlight w:val="none"/>
        </w:rPr>
        <w:t>2.4.1投标人或者其他利害关系人对招标文件（包括对招标文件澄清和修改的内容）有异议的，应当在投标人须知前附表第4.2.1项规定的投标截止时间1</w:t>
      </w:r>
      <w:bookmarkStart w:id="2079" w:name="_GoBack"/>
      <w:r>
        <w:rPr>
          <w:rFonts w:hint="eastAsia"/>
          <w:color w:val="auto"/>
          <w:highlight w:val="none"/>
        </w:rPr>
        <w:t>0日</w:t>
      </w:r>
      <w:bookmarkEnd w:id="2079"/>
      <w:r>
        <w:rPr>
          <w:rFonts w:hint="eastAsia"/>
          <w:color w:val="auto"/>
          <w:highlight w:val="none"/>
        </w:rPr>
        <w:t>前提出。招标人自收到异议之日起3日内作出答复；作出答复前，招标人将暂停招标投标活动。逾期提出的，招标人可</w:t>
      </w:r>
      <w:r>
        <w:rPr>
          <w:color w:val="auto"/>
          <w:highlight w:val="none"/>
        </w:rPr>
        <w:t>不予受理</w:t>
      </w:r>
      <w:r>
        <w:rPr>
          <w:rFonts w:hint="eastAsia"/>
          <w:color w:val="auto"/>
          <w:highlight w:val="none"/>
        </w:rPr>
        <w:t>。异议与答复应通过电子招标投标系统（辽宁省工程建设项目招标投标异议投诉处理系统）以书面形式进行。</w:t>
      </w:r>
    </w:p>
    <w:p w14:paraId="43014979">
      <w:pPr>
        <w:spacing w:line="360" w:lineRule="exact"/>
        <w:ind w:firstLine="420" w:firstLineChars="200"/>
        <w:rPr>
          <w:color w:val="auto"/>
          <w:highlight w:val="none"/>
        </w:rPr>
      </w:pPr>
      <w:r>
        <w:rPr>
          <w:rFonts w:hint="eastAsia"/>
          <w:color w:val="auto"/>
          <w:highlight w:val="none"/>
        </w:rPr>
        <w:t>本条所称异议是指投标人或者其他利害关系人认为招标文件的内容违反法律、法规、规章的强制性规定，违反公平竞争原则，影响投标人投标而向招标人提出的质疑。未在法定时间期限内提出异议视为投标人权利灭失。</w:t>
      </w:r>
    </w:p>
    <w:p w14:paraId="0E6F29D5">
      <w:pPr>
        <w:spacing w:line="360" w:lineRule="exact"/>
        <w:ind w:firstLine="420" w:firstLineChars="200"/>
        <w:rPr>
          <w:color w:val="auto"/>
          <w:highlight w:val="none"/>
        </w:rPr>
      </w:pPr>
      <w:r>
        <w:rPr>
          <w:rFonts w:hint="eastAsia"/>
          <w:color w:val="auto"/>
          <w:highlight w:val="none"/>
        </w:rPr>
        <w:t>有关</w:t>
      </w:r>
      <w:r>
        <w:rPr>
          <w:color w:val="auto"/>
          <w:highlight w:val="none"/>
        </w:rPr>
        <w:t>异议受理</w:t>
      </w:r>
      <w:r>
        <w:rPr>
          <w:rFonts w:hint="eastAsia"/>
          <w:color w:val="auto"/>
          <w:highlight w:val="none"/>
        </w:rPr>
        <w:t>部门及联系方式见投标人须知前附表。</w:t>
      </w:r>
    </w:p>
    <w:p w14:paraId="7D20EFCB">
      <w:pPr>
        <w:spacing w:line="360" w:lineRule="exact"/>
        <w:ind w:firstLine="420" w:firstLineChars="200"/>
        <w:rPr>
          <w:color w:val="auto"/>
          <w:highlight w:val="none"/>
        </w:rPr>
      </w:pPr>
      <w:r>
        <w:rPr>
          <w:rFonts w:hint="eastAsia"/>
          <w:color w:val="auto"/>
          <w:highlight w:val="none"/>
        </w:rPr>
        <w:t>2.4.2招标人对异议的答复构成对招标文件澄清或者修改的，招标人将按照本章第2.2款、第2.3款规定办理。</w:t>
      </w:r>
    </w:p>
    <w:p w14:paraId="621AD353">
      <w:pPr>
        <w:pStyle w:val="25"/>
        <w:spacing w:line="360" w:lineRule="exact"/>
        <w:rPr>
          <w:color w:val="auto"/>
          <w:highlight w:val="none"/>
        </w:rPr>
      </w:pPr>
      <w:bookmarkStart w:id="134" w:name="_Toc16013"/>
      <w:r>
        <w:rPr>
          <w:rFonts w:hint="eastAsia"/>
          <w:color w:val="auto"/>
          <w:highlight w:val="none"/>
        </w:rPr>
        <w:t>3. 投标文件</w:t>
      </w:r>
      <w:bookmarkEnd w:id="129"/>
      <w:bookmarkEnd w:id="130"/>
      <w:bookmarkEnd w:id="131"/>
      <w:bookmarkEnd w:id="132"/>
      <w:bookmarkEnd w:id="133"/>
      <w:bookmarkEnd w:id="134"/>
    </w:p>
    <w:p w14:paraId="16755543">
      <w:pPr>
        <w:pStyle w:val="27"/>
        <w:spacing w:line="360" w:lineRule="exact"/>
        <w:rPr>
          <w:color w:val="auto"/>
          <w:highlight w:val="none"/>
        </w:rPr>
      </w:pPr>
      <w:bookmarkStart w:id="135" w:name="_Toc179632565"/>
      <w:bookmarkStart w:id="136" w:name="_Toc166326860"/>
      <w:bookmarkStart w:id="137" w:name="_Toc152045547"/>
      <w:bookmarkStart w:id="138" w:name="_Toc144974515"/>
      <w:bookmarkStart w:id="139" w:name="_Toc16046"/>
      <w:bookmarkStart w:id="140" w:name="_Toc152042323"/>
      <w:r>
        <w:rPr>
          <w:rFonts w:hint="eastAsia"/>
          <w:color w:val="auto"/>
          <w:highlight w:val="none"/>
        </w:rPr>
        <w:t>3.1 投标文件的组成</w:t>
      </w:r>
      <w:bookmarkEnd w:id="135"/>
      <w:bookmarkEnd w:id="136"/>
      <w:bookmarkEnd w:id="137"/>
      <w:bookmarkEnd w:id="138"/>
      <w:bookmarkEnd w:id="139"/>
      <w:bookmarkEnd w:id="140"/>
    </w:p>
    <w:p w14:paraId="56F6B25E">
      <w:pPr>
        <w:spacing w:line="360" w:lineRule="exact"/>
        <w:rPr>
          <w:color w:val="auto"/>
          <w:highlight w:val="none"/>
        </w:rPr>
      </w:pPr>
      <w:r>
        <w:rPr>
          <w:rFonts w:hint="eastAsia"/>
          <w:color w:val="auto"/>
          <w:highlight w:val="none"/>
        </w:rPr>
        <w:t xml:space="preserve">  3.1.1投标文件应包括下列内容：</w:t>
      </w:r>
    </w:p>
    <w:p w14:paraId="1AC31571">
      <w:pPr>
        <w:spacing w:line="360" w:lineRule="exact"/>
        <w:ind w:firstLine="359" w:firstLineChars="171"/>
        <w:rPr>
          <w:color w:val="auto"/>
          <w:highlight w:val="none"/>
        </w:rPr>
      </w:pPr>
      <w:r>
        <w:rPr>
          <w:rFonts w:hint="eastAsia"/>
          <w:color w:val="auto"/>
          <w:highlight w:val="none"/>
        </w:rPr>
        <w:t>（1）投标函及投标函附录等；</w:t>
      </w:r>
    </w:p>
    <w:p w14:paraId="6A894AC7">
      <w:pPr>
        <w:spacing w:line="360" w:lineRule="exact"/>
        <w:ind w:firstLine="359" w:firstLineChars="171"/>
        <w:rPr>
          <w:color w:val="auto"/>
          <w:highlight w:val="none"/>
        </w:rPr>
      </w:pPr>
      <w:r>
        <w:rPr>
          <w:rFonts w:hint="eastAsia"/>
          <w:color w:val="auto"/>
          <w:highlight w:val="none"/>
        </w:rPr>
        <w:t>（2）法定代表人身份证明；</w:t>
      </w:r>
    </w:p>
    <w:p w14:paraId="2128A669">
      <w:pPr>
        <w:spacing w:line="360" w:lineRule="exact"/>
        <w:ind w:firstLine="359" w:firstLineChars="171"/>
        <w:rPr>
          <w:color w:val="auto"/>
          <w:highlight w:val="none"/>
        </w:rPr>
      </w:pPr>
      <w:r>
        <w:rPr>
          <w:rFonts w:hint="eastAsia"/>
          <w:color w:val="auto"/>
          <w:highlight w:val="none"/>
        </w:rPr>
        <w:t>（2）授权委托书；</w:t>
      </w:r>
    </w:p>
    <w:p w14:paraId="478003FA">
      <w:pPr>
        <w:spacing w:line="360" w:lineRule="exact"/>
        <w:ind w:firstLine="359" w:firstLineChars="171"/>
        <w:rPr>
          <w:color w:val="auto"/>
          <w:highlight w:val="none"/>
        </w:rPr>
      </w:pPr>
      <w:r>
        <w:rPr>
          <w:rFonts w:hint="eastAsia"/>
          <w:color w:val="auto"/>
          <w:highlight w:val="none"/>
        </w:rPr>
        <w:t>（3）投标保证金；</w:t>
      </w:r>
    </w:p>
    <w:p w14:paraId="10245EEC">
      <w:pPr>
        <w:spacing w:line="360" w:lineRule="exact"/>
        <w:ind w:firstLine="359" w:firstLineChars="171"/>
        <w:rPr>
          <w:color w:val="auto"/>
          <w:highlight w:val="none"/>
        </w:rPr>
      </w:pPr>
      <w:r>
        <w:rPr>
          <w:rFonts w:hint="eastAsia"/>
          <w:color w:val="auto"/>
          <w:highlight w:val="none"/>
        </w:rPr>
        <w:t>（4）联合体协议书（如有）；</w:t>
      </w:r>
    </w:p>
    <w:p w14:paraId="0049B48C">
      <w:pPr>
        <w:spacing w:line="360" w:lineRule="exact"/>
        <w:ind w:firstLine="359" w:firstLineChars="171"/>
        <w:rPr>
          <w:color w:val="auto"/>
          <w:highlight w:val="none"/>
        </w:rPr>
      </w:pPr>
      <w:r>
        <w:rPr>
          <w:rFonts w:hint="eastAsia"/>
          <w:color w:val="auto"/>
          <w:highlight w:val="none"/>
        </w:rPr>
        <w:t>（5）</w:t>
      </w:r>
      <w:r>
        <w:rPr>
          <w:rFonts w:hint="eastAsia" w:ascii="宋体" w:hAnsi="宋体"/>
          <w:color w:val="auto"/>
          <w:szCs w:val="21"/>
          <w:highlight w:val="none"/>
        </w:rPr>
        <w:t>拟分包计划表</w:t>
      </w:r>
      <w:r>
        <w:rPr>
          <w:rFonts w:hint="eastAsia"/>
          <w:color w:val="auto"/>
          <w:highlight w:val="none"/>
        </w:rPr>
        <w:t>（如有）；</w:t>
      </w:r>
    </w:p>
    <w:p w14:paraId="11E1EBF4">
      <w:pPr>
        <w:spacing w:line="360" w:lineRule="exact"/>
        <w:ind w:firstLine="359" w:firstLineChars="171"/>
        <w:rPr>
          <w:color w:val="auto"/>
          <w:highlight w:val="none"/>
        </w:rPr>
      </w:pPr>
      <w:r>
        <w:rPr>
          <w:rFonts w:hint="eastAsia"/>
          <w:color w:val="auto"/>
          <w:highlight w:val="none"/>
        </w:rPr>
        <w:t>（</w:t>
      </w:r>
      <w:r>
        <w:rPr>
          <w:color w:val="auto"/>
          <w:highlight w:val="none"/>
        </w:rPr>
        <w:t>6</w:t>
      </w:r>
      <w:r>
        <w:rPr>
          <w:rFonts w:hint="eastAsia"/>
          <w:color w:val="auto"/>
          <w:highlight w:val="none"/>
        </w:rPr>
        <w:t>）项目管理机构；</w:t>
      </w:r>
    </w:p>
    <w:p w14:paraId="660ED3F1">
      <w:pPr>
        <w:spacing w:line="360" w:lineRule="exact"/>
        <w:ind w:firstLine="359" w:firstLineChars="171"/>
        <w:rPr>
          <w:color w:val="auto"/>
          <w:highlight w:val="none"/>
        </w:rPr>
      </w:pPr>
      <w:r>
        <w:rPr>
          <w:rFonts w:hint="eastAsia"/>
          <w:color w:val="auto"/>
          <w:highlight w:val="none"/>
        </w:rPr>
        <w:t>（</w:t>
      </w:r>
      <w:r>
        <w:rPr>
          <w:color w:val="auto"/>
          <w:highlight w:val="none"/>
        </w:rPr>
        <w:t>7</w:t>
      </w:r>
      <w:r>
        <w:rPr>
          <w:rFonts w:hint="eastAsia"/>
          <w:color w:val="auto"/>
          <w:highlight w:val="none"/>
        </w:rPr>
        <w:t>）资格审查资料；</w:t>
      </w:r>
    </w:p>
    <w:p w14:paraId="37B29E17">
      <w:pPr>
        <w:spacing w:line="360" w:lineRule="exact"/>
        <w:ind w:firstLine="359" w:firstLineChars="171"/>
        <w:rPr>
          <w:color w:val="auto"/>
          <w:highlight w:val="none"/>
        </w:rPr>
      </w:pPr>
      <w:r>
        <w:rPr>
          <w:rFonts w:hint="eastAsia"/>
          <w:color w:val="auto"/>
          <w:highlight w:val="none"/>
        </w:rPr>
        <w:t>（</w:t>
      </w:r>
      <w:r>
        <w:rPr>
          <w:color w:val="auto"/>
          <w:highlight w:val="none"/>
        </w:rPr>
        <w:t>8</w:t>
      </w:r>
      <w:r>
        <w:rPr>
          <w:rFonts w:hint="eastAsia"/>
          <w:color w:val="auto"/>
          <w:highlight w:val="none"/>
        </w:rPr>
        <w:t>）</w:t>
      </w:r>
      <w:r>
        <w:rPr>
          <w:rFonts w:hint="eastAsia" w:ascii="宋体" w:hAnsi="宋体"/>
          <w:color w:val="auto"/>
          <w:szCs w:val="21"/>
          <w:highlight w:val="none"/>
        </w:rPr>
        <w:t>已标价工程量清单</w:t>
      </w:r>
      <w:r>
        <w:rPr>
          <w:rFonts w:hint="eastAsia"/>
          <w:color w:val="auto"/>
          <w:highlight w:val="none"/>
        </w:rPr>
        <w:t>；</w:t>
      </w:r>
    </w:p>
    <w:p w14:paraId="062EA24A">
      <w:pPr>
        <w:spacing w:line="360" w:lineRule="exact"/>
        <w:ind w:firstLine="359" w:firstLineChars="171"/>
        <w:rPr>
          <w:color w:val="auto"/>
          <w:highlight w:val="none"/>
        </w:rPr>
      </w:pPr>
      <w:r>
        <w:rPr>
          <w:rFonts w:hint="eastAsia"/>
          <w:color w:val="auto"/>
          <w:highlight w:val="none"/>
        </w:rPr>
        <w:t>（</w:t>
      </w:r>
      <w:r>
        <w:rPr>
          <w:color w:val="auto"/>
          <w:highlight w:val="none"/>
        </w:rPr>
        <w:t>9</w:t>
      </w:r>
      <w:r>
        <w:rPr>
          <w:rFonts w:hint="eastAsia"/>
          <w:color w:val="auto"/>
          <w:highlight w:val="none"/>
        </w:rPr>
        <w:t>）施工组织设计；</w:t>
      </w:r>
    </w:p>
    <w:p w14:paraId="7F4C6312">
      <w:pPr>
        <w:spacing w:line="360" w:lineRule="exact"/>
        <w:ind w:firstLine="359" w:firstLineChars="171"/>
        <w:rPr>
          <w:color w:val="auto"/>
          <w:highlight w:val="none"/>
        </w:rPr>
      </w:pPr>
      <w:r>
        <w:rPr>
          <w:rFonts w:hint="eastAsia"/>
          <w:color w:val="auto"/>
          <w:highlight w:val="none"/>
        </w:rPr>
        <w:t>（</w:t>
      </w:r>
      <w:r>
        <w:rPr>
          <w:color w:val="auto"/>
          <w:highlight w:val="none"/>
        </w:rPr>
        <w:t>10</w:t>
      </w:r>
      <w:r>
        <w:rPr>
          <w:rFonts w:hint="eastAsia"/>
          <w:color w:val="auto"/>
          <w:highlight w:val="none"/>
        </w:rPr>
        <w:t>）投标人须知前附表规定的其他材料。</w:t>
      </w:r>
    </w:p>
    <w:p w14:paraId="69D5594A">
      <w:pPr>
        <w:spacing w:line="360" w:lineRule="exact"/>
        <w:ind w:firstLine="359" w:firstLineChars="171"/>
        <w:rPr>
          <w:color w:val="auto"/>
          <w:highlight w:val="none"/>
        </w:rPr>
      </w:pPr>
      <w:r>
        <w:rPr>
          <w:rFonts w:hint="eastAsia"/>
          <w:color w:val="auto"/>
          <w:highlight w:val="none"/>
        </w:rPr>
        <w:t>3.1.2 投标人须知前附表规定不接受联合体投标的，或投标人没有组成联合体的，投标文件不包括本章第3.1.1（</w:t>
      </w:r>
      <w:r>
        <w:rPr>
          <w:color w:val="auto"/>
          <w:highlight w:val="none"/>
        </w:rPr>
        <w:t>4</w:t>
      </w:r>
      <w:r>
        <w:rPr>
          <w:rFonts w:hint="eastAsia"/>
          <w:color w:val="auto"/>
          <w:highlight w:val="none"/>
        </w:rPr>
        <w:t xml:space="preserve">）目所指的联合体协议书。 </w:t>
      </w:r>
    </w:p>
    <w:p w14:paraId="6A22F293">
      <w:pPr>
        <w:pStyle w:val="27"/>
        <w:spacing w:line="360" w:lineRule="exact"/>
        <w:rPr>
          <w:color w:val="auto"/>
          <w:highlight w:val="none"/>
        </w:rPr>
      </w:pPr>
      <w:bookmarkStart w:id="141" w:name="_Toc152045548"/>
      <w:bookmarkStart w:id="142" w:name="_Toc144974516"/>
      <w:bookmarkStart w:id="143" w:name="_Toc179632566"/>
      <w:bookmarkStart w:id="144" w:name="_Toc25384"/>
      <w:bookmarkStart w:id="145" w:name="_Toc152042324"/>
      <w:bookmarkStart w:id="146" w:name="_Toc166326861"/>
      <w:r>
        <w:rPr>
          <w:rFonts w:hint="eastAsia"/>
          <w:color w:val="auto"/>
          <w:highlight w:val="none"/>
        </w:rPr>
        <w:t>3.2 投标报价</w:t>
      </w:r>
      <w:bookmarkEnd w:id="141"/>
      <w:bookmarkEnd w:id="142"/>
      <w:bookmarkEnd w:id="143"/>
      <w:bookmarkEnd w:id="144"/>
      <w:bookmarkEnd w:id="145"/>
      <w:bookmarkEnd w:id="146"/>
    </w:p>
    <w:p w14:paraId="0CB870C9">
      <w:pPr>
        <w:spacing w:line="360" w:lineRule="exact"/>
        <w:ind w:firstLine="420" w:firstLineChars="200"/>
        <w:rPr>
          <w:color w:val="auto"/>
          <w:highlight w:val="none"/>
        </w:rPr>
      </w:pPr>
      <w:r>
        <w:rPr>
          <w:rFonts w:hint="eastAsia"/>
          <w:color w:val="auto"/>
          <w:highlight w:val="none"/>
        </w:rPr>
        <w:t>3.2.1 投标人应按第五章“工程量清单”的要求填写相应表格。</w:t>
      </w:r>
    </w:p>
    <w:p w14:paraId="3CE4DF19">
      <w:pPr>
        <w:spacing w:line="360" w:lineRule="exact"/>
        <w:ind w:firstLine="420" w:firstLineChars="200"/>
        <w:rPr>
          <w:color w:val="auto"/>
          <w:highlight w:val="none"/>
        </w:rPr>
      </w:pPr>
      <w:r>
        <w:rPr>
          <w:rFonts w:hint="eastAsia"/>
          <w:color w:val="auto"/>
          <w:highlight w:val="none"/>
        </w:rPr>
        <w:t>3.2.</w:t>
      </w:r>
      <w:r>
        <w:rPr>
          <w:color w:val="auto"/>
          <w:highlight w:val="none"/>
        </w:rPr>
        <w:t>2</w:t>
      </w:r>
      <w:r>
        <w:rPr>
          <w:rFonts w:hint="eastAsia"/>
          <w:color w:val="auto"/>
          <w:highlight w:val="none"/>
        </w:rPr>
        <w:t xml:space="preserve"> 投标人在投标截止时间前修改投标函中的投标总报价，应同时修改第五章“工程量清单”中的相应报价。此修改须符合本章第4.3款的有关要求。</w:t>
      </w:r>
    </w:p>
    <w:p w14:paraId="7FBD011C">
      <w:pPr>
        <w:spacing w:line="360" w:lineRule="exact"/>
        <w:ind w:firstLine="420" w:firstLineChars="200"/>
        <w:rPr>
          <w:color w:val="auto"/>
          <w:highlight w:val="none"/>
        </w:rPr>
      </w:pPr>
      <w:r>
        <w:rPr>
          <w:rFonts w:hint="eastAsia"/>
          <w:color w:val="auto"/>
          <w:highlight w:val="none"/>
        </w:rPr>
        <w:t>3.2.</w:t>
      </w:r>
      <w:r>
        <w:rPr>
          <w:color w:val="auto"/>
          <w:highlight w:val="none"/>
        </w:rPr>
        <w:t>3</w:t>
      </w:r>
      <w:r>
        <w:rPr>
          <w:rFonts w:hint="eastAsia"/>
          <w:color w:val="auto"/>
          <w:highlight w:val="none"/>
        </w:rPr>
        <w:t>投标人投标函中的大写报价或算术错误修正后的投标总报价大于最高投标限价的，</w:t>
      </w:r>
      <w:r>
        <w:rPr>
          <w:color w:val="auto"/>
          <w:highlight w:val="none"/>
        </w:rPr>
        <w:t>其投标</w:t>
      </w:r>
      <w:r>
        <w:rPr>
          <w:rFonts w:hint="eastAsia"/>
          <w:color w:val="auto"/>
          <w:highlight w:val="none"/>
        </w:rPr>
        <w:t>将被否决</w:t>
      </w:r>
      <w:r>
        <w:rPr>
          <w:color w:val="auto"/>
          <w:highlight w:val="none"/>
        </w:rPr>
        <w:t>。</w:t>
      </w:r>
    </w:p>
    <w:p w14:paraId="3AE30FA2">
      <w:pPr>
        <w:spacing w:line="360" w:lineRule="exact"/>
        <w:ind w:firstLine="420" w:firstLineChars="200"/>
        <w:rPr>
          <w:color w:val="auto"/>
          <w:highlight w:val="none"/>
        </w:rPr>
      </w:pPr>
      <w:r>
        <w:rPr>
          <w:rFonts w:hint="eastAsia"/>
          <w:color w:val="auto"/>
          <w:highlight w:val="none"/>
        </w:rPr>
        <w:t>3</w:t>
      </w:r>
      <w:r>
        <w:rPr>
          <w:color w:val="auto"/>
          <w:highlight w:val="none"/>
        </w:rPr>
        <w:t>.2.4</w:t>
      </w:r>
      <w:r>
        <w:rPr>
          <w:rFonts w:hint="eastAsia"/>
          <w:color w:val="auto"/>
          <w:highlight w:val="none"/>
        </w:rPr>
        <w:t>本项目最高投标限价及要求详见投标人须知前附表。</w:t>
      </w:r>
    </w:p>
    <w:p w14:paraId="75A70BFB">
      <w:pPr>
        <w:spacing w:line="360" w:lineRule="exact"/>
        <w:ind w:firstLine="420" w:firstLineChars="200"/>
        <w:rPr>
          <w:color w:val="auto"/>
          <w:highlight w:val="none"/>
        </w:rPr>
      </w:pPr>
      <w:r>
        <w:rPr>
          <w:rFonts w:hint="eastAsia"/>
          <w:color w:val="auto"/>
          <w:highlight w:val="none"/>
        </w:rPr>
        <w:t>3.2.5投标报价的其他要求见投标人须知前附表。</w:t>
      </w:r>
    </w:p>
    <w:p w14:paraId="42919727">
      <w:pPr>
        <w:pStyle w:val="27"/>
        <w:spacing w:line="360" w:lineRule="exact"/>
        <w:rPr>
          <w:color w:val="auto"/>
          <w:highlight w:val="none"/>
        </w:rPr>
      </w:pPr>
      <w:bookmarkStart w:id="147" w:name="_Toc179632567"/>
      <w:bookmarkStart w:id="148" w:name="_Toc144974517"/>
      <w:bookmarkStart w:id="149" w:name="_Toc152045549"/>
      <w:bookmarkStart w:id="150" w:name="_Toc29845"/>
      <w:bookmarkStart w:id="151" w:name="_Toc152042325"/>
      <w:bookmarkStart w:id="152" w:name="_Toc166326862"/>
      <w:r>
        <w:rPr>
          <w:rFonts w:hint="eastAsia"/>
          <w:color w:val="auto"/>
          <w:highlight w:val="none"/>
        </w:rPr>
        <w:t>3.3 投标有效期</w:t>
      </w:r>
      <w:bookmarkEnd w:id="147"/>
      <w:bookmarkEnd w:id="148"/>
      <w:bookmarkEnd w:id="149"/>
      <w:bookmarkEnd w:id="150"/>
      <w:bookmarkEnd w:id="151"/>
      <w:bookmarkEnd w:id="152"/>
    </w:p>
    <w:p w14:paraId="58E20D2C">
      <w:pPr>
        <w:spacing w:line="360" w:lineRule="exact"/>
        <w:ind w:firstLine="420" w:firstLineChars="200"/>
        <w:rPr>
          <w:color w:val="auto"/>
          <w:highlight w:val="none"/>
        </w:rPr>
      </w:pPr>
      <w:r>
        <w:rPr>
          <w:rFonts w:hint="eastAsia"/>
          <w:color w:val="auto"/>
          <w:highlight w:val="none"/>
        </w:rPr>
        <w:t>3.3.1 在投标人须知前附表规定的投标有效期内，投标人不得要求撤销或修改其投标文件。</w:t>
      </w:r>
    </w:p>
    <w:p w14:paraId="5E35D4C4">
      <w:pPr>
        <w:spacing w:line="360" w:lineRule="exact"/>
        <w:ind w:firstLine="420" w:firstLineChars="200"/>
        <w:rPr>
          <w:color w:val="auto"/>
          <w:highlight w:val="none"/>
        </w:rPr>
      </w:pPr>
      <w:r>
        <w:rPr>
          <w:rFonts w:hint="eastAsia"/>
          <w:color w:val="auto"/>
          <w:highlight w:val="none"/>
        </w:rPr>
        <w:t xml:space="preserve">3.3.2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 </w:t>
      </w:r>
    </w:p>
    <w:p w14:paraId="386ABC21">
      <w:pPr>
        <w:pStyle w:val="27"/>
        <w:spacing w:line="360" w:lineRule="exact"/>
        <w:rPr>
          <w:color w:val="auto"/>
          <w:highlight w:val="none"/>
        </w:rPr>
      </w:pPr>
      <w:bookmarkStart w:id="153" w:name="_Toc15216"/>
      <w:bookmarkStart w:id="154" w:name="_Toc179632568"/>
      <w:bookmarkStart w:id="155" w:name="_Toc144974518"/>
      <w:bookmarkStart w:id="156" w:name="_Toc166326863"/>
      <w:bookmarkStart w:id="157" w:name="_Toc152042326"/>
      <w:bookmarkStart w:id="158" w:name="_Toc152045550"/>
      <w:r>
        <w:rPr>
          <w:rFonts w:hint="eastAsia"/>
          <w:color w:val="auto"/>
          <w:highlight w:val="none"/>
        </w:rPr>
        <w:t>3.4 投标保证金</w:t>
      </w:r>
      <w:bookmarkEnd w:id="153"/>
      <w:bookmarkEnd w:id="154"/>
      <w:bookmarkEnd w:id="155"/>
      <w:bookmarkEnd w:id="156"/>
      <w:bookmarkEnd w:id="157"/>
      <w:bookmarkEnd w:id="158"/>
    </w:p>
    <w:p w14:paraId="36965ED3">
      <w:pPr>
        <w:spacing w:line="360" w:lineRule="exact"/>
        <w:ind w:firstLine="420" w:firstLineChars="200"/>
        <w:rPr>
          <w:color w:val="auto"/>
          <w:highlight w:val="none"/>
        </w:rPr>
      </w:pPr>
      <w:r>
        <w:rPr>
          <w:rFonts w:hint="eastAsia"/>
          <w:color w:val="auto"/>
          <w:highlight w:val="none"/>
        </w:rPr>
        <w:t>3.4.1投标人须知前附表规定提交投标保证金的，投标人在递交投标文件的同时，应按投标人须知前附表规定的</w:t>
      </w:r>
      <w:r>
        <w:rPr>
          <w:color w:val="auto"/>
          <w:highlight w:val="none"/>
        </w:rPr>
        <w:t>形式</w:t>
      </w:r>
      <w:r>
        <w:rPr>
          <w:rFonts w:hint="eastAsia"/>
          <w:color w:val="auto"/>
          <w:highlight w:val="none"/>
        </w:rPr>
        <w:t>、</w:t>
      </w:r>
      <w:r>
        <w:rPr>
          <w:color w:val="auto"/>
          <w:highlight w:val="none"/>
        </w:rPr>
        <w:t>金额</w:t>
      </w:r>
      <w:r>
        <w:rPr>
          <w:rFonts w:hint="eastAsia"/>
          <w:color w:val="auto"/>
          <w:highlight w:val="none"/>
        </w:rPr>
        <w:t>、递交截止时间、递交方式提交投标保证金，并作为其投标文件的组成部分。联合体投标的，其投标保证金由牵头人递交，并应符合投标人须知前附表的规定。</w:t>
      </w:r>
    </w:p>
    <w:p w14:paraId="58A56573">
      <w:pPr>
        <w:spacing w:line="360" w:lineRule="exact"/>
        <w:ind w:firstLine="420" w:firstLineChars="200"/>
        <w:rPr>
          <w:color w:val="auto"/>
          <w:highlight w:val="none"/>
        </w:rPr>
      </w:pPr>
      <w:r>
        <w:rPr>
          <w:rFonts w:hint="eastAsia"/>
          <w:color w:val="auto"/>
          <w:highlight w:val="none"/>
        </w:rPr>
        <w:t>3.4.2 投标人不按本章第3.4.1项要求提交投标保证金的，</w:t>
      </w:r>
      <w:r>
        <w:rPr>
          <w:color w:val="auto"/>
          <w:highlight w:val="none"/>
        </w:rPr>
        <w:t>其投标</w:t>
      </w:r>
      <w:r>
        <w:rPr>
          <w:rFonts w:hint="eastAsia"/>
          <w:color w:val="auto"/>
          <w:highlight w:val="none"/>
        </w:rPr>
        <w:t>将被否决</w:t>
      </w:r>
      <w:r>
        <w:rPr>
          <w:color w:val="auto"/>
          <w:highlight w:val="none"/>
        </w:rPr>
        <w:t>。</w:t>
      </w:r>
    </w:p>
    <w:p w14:paraId="2A525D4F">
      <w:pPr>
        <w:spacing w:line="360" w:lineRule="exact"/>
        <w:ind w:firstLine="420" w:firstLineChars="200"/>
        <w:rPr>
          <w:color w:val="auto"/>
          <w:highlight w:val="none"/>
        </w:rPr>
      </w:pPr>
      <w:r>
        <w:rPr>
          <w:rFonts w:hint="eastAsia"/>
          <w:color w:val="auto"/>
          <w:highlight w:val="none"/>
        </w:rPr>
        <w:t>3.4.3 招标人最迟在与中标人签订合同后5日内，向未中标的投标人和中标人退还投标保证金。招标人同时退还投标保证金的银行同期存款利息。投标保证金及利息的计息标准和退还方式见投标人须知前附表。</w:t>
      </w:r>
    </w:p>
    <w:p w14:paraId="1A43BAB4">
      <w:pPr>
        <w:spacing w:line="360" w:lineRule="exact"/>
        <w:ind w:firstLine="420" w:firstLineChars="200"/>
        <w:rPr>
          <w:color w:val="auto"/>
          <w:highlight w:val="none"/>
        </w:rPr>
      </w:pPr>
      <w:r>
        <w:rPr>
          <w:rFonts w:hint="eastAsia"/>
          <w:color w:val="auto"/>
          <w:highlight w:val="none"/>
        </w:rPr>
        <w:t xml:space="preserve">3.4.4 有下列情形之一的，投标保证金将不予退还： </w:t>
      </w:r>
    </w:p>
    <w:p w14:paraId="3A1A777B">
      <w:pPr>
        <w:spacing w:line="360" w:lineRule="exact"/>
        <w:ind w:firstLine="718" w:firstLineChars="342"/>
        <w:rPr>
          <w:color w:val="auto"/>
          <w:highlight w:val="none"/>
        </w:rPr>
      </w:pPr>
      <w:r>
        <w:rPr>
          <w:rFonts w:hint="eastAsia"/>
          <w:color w:val="auto"/>
          <w:highlight w:val="none"/>
        </w:rPr>
        <w:t>（1）投标人在规定的投标有效期内撤销或修改其投标文件；</w:t>
      </w:r>
    </w:p>
    <w:p w14:paraId="4D087D04">
      <w:pPr>
        <w:spacing w:line="360" w:lineRule="exact"/>
        <w:ind w:firstLine="718" w:firstLineChars="342"/>
        <w:rPr>
          <w:color w:val="auto"/>
          <w:highlight w:val="none"/>
        </w:rPr>
      </w:pPr>
      <w:r>
        <w:rPr>
          <w:rFonts w:hint="eastAsia"/>
          <w:color w:val="auto"/>
          <w:highlight w:val="none"/>
        </w:rPr>
        <w:t>（2）中标人在收到中标通知书后，无正当理由拒签合同、在签订合同时向招标人提出附加条件或未按招标文件规定提交履约保证金。</w:t>
      </w:r>
    </w:p>
    <w:p w14:paraId="5AE2AC3E">
      <w:pPr>
        <w:pStyle w:val="27"/>
        <w:spacing w:line="360" w:lineRule="exact"/>
        <w:ind w:firstLine="118"/>
        <w:rPr>
          <w:rFonts w:cs="Times New Roman"/>
          <w:color w:val="auto"/>
          <w:highlight w:val="none"/>
        </w:rPr>
      </w:pPr>
      <w:bookmarkStart w:id="159" w:name="_Toc162104038"/>
      <w:bookmarkStart w:id="160" w:name="_Toc145081434"/>
      <w:bookmarkStart w:id="161" w:name="_Toc247527576"/>
      <w:bookmarkStart w:id="162" w:name="_Toc166326864"/>
      <w:bookmarkStart w:id="163" w:name="_Toc247513975"/>
      <w:bookmarkStart w:id="164" w:name="_Toc152045551"/>
      <w:bookmarkStart w:id="165" w:name="_Toc144974519"/>
      <w:bookmarkStart w:id="166" w:name="_Toc152042327"/>
      <w:bookmarkStart w:id="167" w:name="_Toc20076"/>
      <w:r>
        <w:rPr>
          <w:rFonts w:cs="Times New Roman"/>
          <w:color w:val="auto"/>
          <w:highlight w:val="none"/>
        </w:rPr>
        <w:t>3.5 资格审查资料（适用于已进行资格预审的）</w:t>
      </w:r>
      <w:bookmarkEnd w:id="159"/>
      <w:bookmarkEnd w:id="160"/>
      <w:bookmarkEnd w:id="161"/>
      <w:bookmarkEnd w:id="162"/>
      <w:bookmarkEnd w:id="163"/>
      <w:bookmarkEnd w:id="164"/>
      <w:bookmarkEnd w:id="165"/>
      <w:bookmarkEnd w:id="166"/>
      <w:bookmarkEnd w:id="167"/>
    </w:p>
    <w:p w14:paraId="52DC1BF0">
      <w:pPr>
        <w:spacing w:line="400" w:lineRule="exact"/>
        <w:ind w:firstLine="420" w:firstLineChars="200"/>
        <w:rPr>
          <w:color w:val="auto"/>
          <w:highlight w:val="none"/>
        </w:rPr>
      </w:pPr>
      <w:r>
        <w:rPr>
          <w:color w:val="auto"/>
          <w:highlight w:val="none"/>
        </w:rPr>
        <w:t>投标人在递交投标文件前，发生可能影响其投标资格的新情况的，应更新或补充其在申请资格预审时提供的资料，以证实其各项资格条件仍能继续满足资格预审文件的要求，且没有实质性降低。</w:t>
      </w:r>
    </w:p>
    <w:p w14:paraId="188D314D">
      <w:pPr>
        <w:pStyle w:val="27"/>
        <w:spacing w:line="360" w:lineRule="exact"/>
        <w:rPr>
          <w:color w:val="auto"/>
          <w:highlight w:val="none"/>
        </w:rPr>
      </w:pPr>
      <w:bookmarkStart w:id="168" w:name="_Toc144974520"/>
      <w:bookmarkStart w:id="169" w:name="_Toc179632570"/>
      <w:bookmarkStart w:id="170" w:name="_Toc152045552"/>
      <w:bookmarkStart w:id="171" w:name="_Toc152042328"/>
      <w:bookmarkStart w:id="172" w:name="_Toc5125"/>
      <w:bookmarkStart w:id="173" w:name="_Toc166326865"/>
      <w:r>
        <w:rPr>
          <w:rFonts w:hint="eastAsia"/>
          <w:color w:val="auto"/>
          <w:highlight w:val="none"/>
        </w:rPr>
        <w:t>3.5 资格审查资料</w:t>
      </w:r>
      <w:bookmarkEnd w:id="168"/>
      <w:bookmarkEnd w:id="169"/>
      <w:bookmarkEnd w:id="170"/>
      <w:bookmarkEnd w:id="171"/>
      <w:r>
        <w:rPr>
          <w:rFonts w:cs="Times New Roman"/>
          <w:color w:val="auto"/>
          <w:highlight w:val="none"/>
        </w:rPr>
        <w:t>（适用于未进行资格预审的）</w:t>
      </w:r>
      <w:bookmarkEnd w:id="172"/>
      <w:bookmarkEnd w:id="173"/>
    </w:p>
    <w:p w14:paraId="1552CB38">
      <w:pPr>
        <w:spacing w:line="360" w:lineRule="exact"/>
        <w:ind w:firstLine="420" w:firstLineChars="200"/>
        <w:rPr>
          <w:color w:val="auto"/>
          <w:highlight w:val="none"/>
        </w:rPr>
      </w:pPr>
      <w:r>
        <w:rPr>
          <w:rFonts w:hint="eastAsia"/>
          <w:color w:val="auto"/>
          <w:highlight w:val="none"/>
        </w:rPr>
        <w:t>3.5.1“投标人基本情况表”应附投标人营业执照、资质证书和安全生产许可证等材料，具体要求见投标人须知前附表。</w:t>
      </w:r>
    </w:p>
    <w:p w14:paraId="51A575A6">
      <w:pPr>
        <w:spacing w:line="360" w:lineRule="exact"/>
        <w:ind w:firstLine="420" w:firstLineChars="200"/>
        <w:rPr>
          <w:color w:val="auto"/>
          <w:highlight w:val="none"/>
        </w:rPr>
      </w:pPr>
      <w:r>
        <w:rPr>
          <w:rFonts w:hint="eastAsia"/>
          <w:color w:val="auto"/>
          <w:highlight w:val="none"/>
        </w:rPr>
        <w:t>3.5.2 “近年财务状况表”应附经会计师事务所或审计机构审计的财务会计报表，具体年份要求见投标人须知前附表。投标人的成立时间少于投标人须知前附表规定年份的，应提供成立以来的财务状况表。</w:t>
      </w:r>
    </w:p>
    <w:p w14:paraId="05A73770">
      <w:pPr>
        <w:spacing w:line="360" w:lineRule="exact"/>
        <w:ind w:firstLine="420" w:firstLineChars="200"/>
        <w:rPr>
          <w:color w:val="auto"/>
          <w:highlight w:val="none"/>
        </w:rPr>
      </w:pPr>
      <w:r>
        <w:rPr>
          <w:rFonts w:hint="eastAsia"/>
          <w:color w:val="auto"/>
          <w:highlight w:val="none"/>
        </w:rPr>
        <w:t>3.5.3 “近年完成的类似项目情况表”应附中标通知书、合同、竣工验收等材料，具体年份要求见投标人须知前附表。每张表格只填写一个项目，并标明序号。</w:t>
      </w:r>
    </w:p>
    <w:p w14:paraId="1F82C8DA">
      <w:pPr>
        <w:spacing w:line="360" w:lineRule="exact"/>
        <w:ind w:firstLine="420" w:firstLineChars="200"/>
        <w:rPr>
          <w:color w:val="auto"/>
          <w:highlight w:val="none"/>
        </w:rPr>
      </w:pPr>
      <w:r>
        <w:rPr>
          <w:rFonts w:hint="eastAsia"/>
          <w:color w:val="auto"/>
          <w:highlight w:val="none"/>
        </w:rPr>
        <w:t>3.5.4 “正在施工和新承接的项目情况表”应附中标通知书、合同协议书等材料。每张表格只填写一个项目，并标明序号。</w:t>
      </w:r>
    </w:p>
    <w:p w14:paraId="0FC17C17">
      <w:pPr>
        <w:spacing w:line="360" w:lineRule="exact"/>
        <w:ind w:firstLine="420" w:firstLineChars="200"/>
        <w:rPr>
          <w:color w:val="auto"/>
          <w:highlight w:val="none"/>
        </w:rPr>
      </w:pPr>
      <w:r>
        <w:rPr>
          <w:rFonts w:hint="eastAsia"/>
          <w:color w:val="auto"/>
          <w:highlight w:val="none"/>
        </w:rPr>
        <w:t>3.5.5 “近年发生的诉讼及仲裁情况”应说明相关情况，并附法院或仲裁机构作出的判决、裁决等有关法律文书，具体年份要求见投标人须知前附表。</w:t>
      </w:r>
    </w:p>
    <w:p w14:paraId="01942001">
      <w:pPr>
        <w:spacing w:line="360" w:lineRule="exact"/>
        <w:ind w:firstLine="420" w:firstLineChars="200"/>
        <w:rPr>
          <w:color w:val="auto"/>
          <w:highlight w:val="none"/>
        </w:rPr>
      </w:pPr>
      <w:r>
        <w:rPr>
          <w:rFonts w:hint="eastAsia"/>
          <w:color w:val="auto"/>
          <w:highlight w:val="none"/>
        </w:rPr>
        <w:t>3.5.</w:t>
      </w:r>
      <w:r>
        <w:rPr>
          <w:color w:val="auto"/>
          <w:highlight w:val="none"/>
        </w:rPr>
        <w:t>6</w:t>
      </w:r>
      <w:r>
        <w:rPr>
          <w:rFonts w:hint="eastAsia"/>
          <w:color w:val="auto"/>
          <w:highlight w:val="none"/>
        </w:rPr>
        <w:t>投标人须知前附表第1.4.2项规定接受联合体投标的，本章第3.5.1项规定的表格和资料应包括联合体各方相关情况。</w:t>
      </w:r>
    </w:p>
    <w:p w14:paraId="0B1FF85C">
      <w:pPr>
        <w:spacing w:line="360" w:lineRule="exact"/>
        <w:ind w:firstLine="420" w:firstLineChars="200"/>
        <w:rPr>
          <w:color w:val="auto"/>
          <w:highlight w:val="none"/>
        </w:rPr>
      </w:pPr>
      <w:r>
        <w:rPr>
          <w:color w:val="auto"/>
          <w:highlight w:val="none"/>
        </w:rPr>
        <w:t>3.5.7</w:t>
      </w:r>
      <w:r>
        <w:rPr>
          <w:rFonts w:hint="eastAsia"/>
          <w:color w:val="auto"/>
          <w:highlight w:val="none"/>
        </w:rPr>
        <w:t>投标人应按招标文件第八章“投标文件格式”中规定的表格内容填写资格审查表，并按各资格审查表的具体要求提供相关证件及证明材料。</w:t>
      </w:r>
    </w:p>
    <w:p w14:paraId="0AF4CA88">
      <w:pPr>
        <w:spacing w:line="360" w:lineRule="exact"/>
        <w:ind w:firstLine="420" w:firstLineChars="200"/>
        <w:rPr>
          <w:color w:val="auto"/>
          <w:highlight w:val="none"/>
        </w:rPr>
      </w:pPr>
      <w:r>
        <w:rPr>
          <w:color w:val="auto"/>
          <w:highlight w:val="none"/>
        </w:rPr>
        <w:t>3.5.8</w:t>
      </w:r>
      <w:r>
        <w:rPr>
          <w:rFonts w:hint="eastAsia"/>
          <w:color w:val="auto"/>
          <w:highlight w:val="none"/>
        </w:rPr>
        <w:t>本招标文件中“类似项目”的定义见投标人须知前附表第1</w:t>
      </w:r>
      <w:r>
        <w:rPr>
          <w:color w:val="auto"/>
          <w:highlight w:val="none"/>
        </w:rPr>
        <w:t>0.1.1</w:t>
      </w:r>
      <w:r>
        <w:rPr>
          <w:rFonts w:hint="eastAsia"/>
          <w:color w:val="auto"/>
          <w:highlight w:val="none"/>
        </w:rPr>
        <w:t>条目规定。</w:t>
      </w:r>
    </w:p>
    <w:p w14:paraId="55593BF1">
      <w:pPr>
        <w:spacing w:line="360" w:lineRule="exact"/>
        <w:ind w:firstLine="420" w:firstLineChars="200"/>
        <w:rPr>
          <w:color w:val="auto"/>
          <w:highlight w:val="none"/>
        </w:rPr>
      </w:pPr>
      <w:r>
        <w:rPr>
          <w:rFonts w:hint="eastAsia"/>
          <w:color w:val="auto"/>
          <w:highlight w:val="none"/>
        </w:rPr>
        <w:t>3</w:t>
      </w:r>
      <w:r>
        <w:rPr>
          <w:color w:val="auto"/>
          <w:highlight w:val="none"/>
        </w:rPr>
        <w:t>.5.9</w:t>
      </w:r>
      <w:r>
        <w:rPr>
          <w:rFonts w:hint="eastAsia"/>
          <w:color w:val="auto"/>
          <w:highlight w:val="none"/>
        </w:rPr>
        <w:t>项目经理的已完成的类似项目的业绩，具体年份要求见投标人须知前附表。</w:t>
      </w:r>
    </w:p>
    <w:p w14:paraId="3B45944A">
      <w:pPr>
        <w:pStyle w:val="27"/>
        <w:spacing w:line="360" w:lineRule="exact"/>
        <w:rPr>
          <w:color w:val="auto"/>
          <w:highlight w:val="none"/>
        </w:rPr>
      </w:pPr>
      <w:bookmarkStart w:id="174" w:name="_Toc144974521"/>
      <w:bookmarkStart w:id="175" w:name="_Toc179632571"/>
      <w:bookmarkStart w:id="176" w:name="_Toc152045553"/>
      <w:bookmarkStart w:id="177" w:name="_Toc26626"/>
      <w:bookmarkStart w:id="178" w:name="_Toc152042329"/>
      <w:bookmarkStart w:id="179" w:name="_Toc166326866"/>
      <w:r>
        <w:rPr>
          <w:rFonts w:hint="eastAsia"/>
          <w:color w:val="auto"/>
          <w:highlight w:val="none"/>
        </w:rPr>
        <w:t>3.6 备选投标方案</w:t>
      </w:r>
      <w:bookmarkEnd w:id="174"/>
      <w:bookmarkEnd w:id="175"/>
      <w:bookmarkEnd w:id="176"/>
      <w:bookmarkEnd w:id="177"/>
      <w:bookmarkEnd w:id="178"/>
      <w:bookmarkEnd w:id="179"/>
    </w:p>
    <w:p w14:paraId="25D3AAFA">
      <w:pPr>
        <w:spacing w:line="360" w:lineRule="exact"/>
        <w:ind w:firstLine="420" w:firstLineChars="200"/>
        <w:rPr>
          <w:color w:val="auto"/>
          <w:highlight w:val="none"/>
        </w:rPr>
      </w:pPr>
      <w:r>
        <w:rPr>
          <w:rFonts w:hint="eastAsia"/>
          <w:color w:val="auto"/>
          <w:highlight w:val="none"/>
        </w:rPr>
        <w:t>除投标人须知前附表另有规定外，投标人不得递交备选投标方案。允许投标人递交备选投标方案的，只有中标人所递交的备选投标方案方可予以考虑。评标委员会认为中标候选人的备选投标方案优于其按照招标文件要求编制的投标方案的，该中标候选人被确定中标人后，招标人可以接受该备选投标方案。</w:t>
      </w:r>
    </w:p>
    <w:p w14:paraId="7C570EE9">
      <w:pPr>
        <w:pStyle w:val="27"/>
        <w:spacing w:line="360" w:lineRule="exact"/>
        <w:rPr>
          <w:color w:val="auto"/>
          <w:highlight w:val="none"/>
        </w:rPr>
      </w:pPr>
      <w:bookmarkStart w:id="180" w:name="_Toc144974522"/>
      <w:bookmarkStart w:id="181" w:name="_Toc166326867"/>
      <w:bookmarkStart w:id="182" w:name="_Toc179632572"/>
      <w:bookmarkStart w:id="183" w:name="_Toc23650"/>
      <w:bookmarkStart w:id="184" w:name="_Toc152045554"/>
      <w:bookmarkStart w:id="185" w:name="_Toc152042330"/>
      <w:r>
        <w:rPr>
          <w:rFonts w:hint="eastAsia"/>
          <w:color w:val="auto"/>
          <w:highlight w:val="none"/>
        </w:rPr>
        <w:t>3.7 投标文件的编制</w:t>
      </w:r>
      <w:bookmarkEnd w:id="180"/>
      <w:bookmarkEnd w:id="181"/>
      <w:bookmarkEnd w:id="182"/>
      <w:bookmarkEnd w:id="183"/>
      <w:bookmarkEnd w:id="184"/>
      <w:bookmarkEnd w:id="185"/>
    </w:p>
    <w:p w14:paraId="7B9BAE0C">
      <w:pPr>
        <w:spacing w:line="360" w:lineRule="exact"/>
        <w:ind w:firstLine="420" w:firstLineChars="200"/>
        <w:rPr>
          <w:color w:val="auto"/>
          <w:highlight w:val="none"/>
        </w:rPr>
      </w:pPr>
      <w:r>
        <w:rPr>
          <w:rFonts w:hint="eastAsia"/>
          <w:color w:val="auto"/>
          <w:highlight w:val="none"/>
        </w:rPr>
        <w:t>3.7.1投标文件应按第八章“投标文件格式”进行编写，如有必要，可以增加附页，作为投标文件的组成部分。其中，投标函附录在满足招标文件实质性要求的基础上，可以提出比招标文件要求更有利于招标人的承诺。</w:t>
      </w:r>
    </w:p>
    <w:p w14:paraId="20B3320E">
      <w:pPr>
        <w:spacing w:line="360" w:lineRule="exact"/>
        <w:ind w:firstLine="420" w:firstLineChars="200"/>
        <w:rPr>
          <w:color w:val="auto"/>
          <w:szCs w:val="21"/>
          <w:highlight w:val="none"/>
        </w:rPr>
      </w:pPr>
      <w:r>
        <w:rPr>
          <w:rFonts w:hint="eastAsia"/>
          <w:color w:val="auto"/>
          <w:highlight w:val="none"/>
        </w:rPr>
        <w:t>3.7.2 投标文件应当对招标文件有关</w:t>
      </w:r>
      <w:r>
        <w:rPr>
          <w:rFonts w:hint="eastAsia"/>
          <w:color w:val="auto"/>
          <w:szCs w:val="21"/>
          <w:highlight w:val="none"/>
        </w:rPr>
        <w:t>工期、投标有效期、质量要求、技术标准和要求、招标范围等实质性内容作出响应。</w:t>
      </w:r>
    </w:p>
    <w:p w14:paraId="527964DE">
      <w:pPr>
        <w:spacing w:line="360" w:lineRule="exact"/>
        <w:ind w:firstLine="420" w:firstLineChars="200"/>
        <w:rPr>
          <w:color w:val="auto"/>
          <w:highlight w:val="none"/>
        </w:rPr>
      </w:pPr>
      <w:r>
        <w:rPr>
          <w:rFonts w:hint="eastAsia"/>
          <w:color w:val="auto"/>
          <w:highlight w:val="none"/>
        </w:rPr>
        <w:t xml:space="preserve">3.7.3 </w:t>
      </w:r>
      <w:r>
        <w:rPr>
          <w:color w:val="auto"/>
          <w:highlight w:val="none"/>
        </w:rPr>
        <w:t>投标文件制作</w:t>
      </w:r>
    </w:p>
    <w:p w14:paraId="4874C4ED">
      <w:pPr>
        <w:spacing w:line="360" w:lineRule="exact"/>
        <w:ind w:firstLine="420" w:firstLineChars="200"/>
        <w:rPr>
          <w:color w:val="auto"/>
          <w:highlight w:val="none"/>
        </w:rPr>
      </w:pPr>
      <w:bookmarkStart w:id="186" w:name="_Hlk166763903"/>
      <w:r>
        <w:rPr>
          <w:rFonts w:hint="eastAsia"/>
          <w:color w:val="auto"/>
          <w:highlight w:val="none"/>
        </w:rPr>
        <w:t>（1）</w:t>
      </w:r>
      <w:r>
        <w:rPr>
          <w:color w:val="auto"/>
          <w:highlight w:val="none"/>
        </w:rPr>
        <w:t>投标文件</w:t>
      </w:r>
      <w:r>
        <w:rPr>
          <w:rFonts w:hint="eastAsia"/>
          <w:color w:val="auto"/>
          <w:highlight w:val="none"/>
        </w:rPr>
        <w:t>由</w:t>
      </w:r>
      <w:r>
        <w:rPr>
          <w:color w:val="auto"/>
          <w:highlight w:val="none"/>
        </w:rPr>
        <w:t>投标人</w:t>
      </w:r>
      <w:r>
        <w:rPr>
          <w:rFonts w:hint="eastAsia"/>
          <w:color w:val="auto"/>
          <w:highlight w:val="none"/>
        </w:rPr>
        <w:t>使用符合标准的数字化</w:t>
      </w:r>
      <w:r>
        <w:rPr>
          <w:color w:val="auto"/>
          <w:highlight w:val="none"/>
        </w:rPr>
        <w:t>投标文件制作软件制作生成。</w:t>
      </w:r>
    </w:p>
    <w:p w14:paraId="59B13F0E">
      <w:pPr>
        <w:spacing w:line="360" w:lineRule="exact"/>
        <w:ind w:firstLine="420" w:firstLineChars="200"/>
        <w:rPr>
          <w:color w:val="auto"/>
          <w:highlight w:val="none"/>
        </w:rPr>
      </w:pPr>
      <w:r>
        <w:rPr>
          <w:rFonts w:hint="eastAsia"/>
          <w:color w:val="auto"/>
          <w:highlight w:val="none"/>
        </w:rPr>
        <w:t>（2）</w:t>
      </w:r>
      <w:r>
        <w:rPr>
          <w:color w:val="auto"/>
          <w:highlight w:val="none"/>
        </w:rPr>
        <w:t>投标人在编制投标文件时应当建立分级目录，并按照提示</w:t>
      </w:r>
      <w:r>
        <w:rPr>
          <w:rFonts w:hint="eastAsia"/>
          <w:color w:val="auto"/>
          <w:highlight w:val="none"/>
        </w:rPr>
        <w:t>录入或填写</w:t>
      </w:r>
      <w:r>
        <w:rPr>
          <w:color w:val="auto"/>
          <w:highlight w:val="none"/>
        </w:rPr>
        <w:t>相关内容。</w:t>
      </w:r>
    </w:p>
    <w:p w14:paraId="23706EE6">
      <w:pPr>
        <w:spacing w:line="360" w:lineRule="exact"/>
        <w:ind w:firstLine="420" w:firstLineChars="200"/>
        <w:rPr>
          <w:color w:val="auto"/>
          <w:highlight w:val="none"/>
        </w:rPr>
      </w:pPr>
      <w:r>
        <w:rPr>
          <w:rFonts w:hint="eastAsia"/>
          <w:color w:val="auto"/>
          <w:highlight w:val="none"/>
        </w:rPr>
        <w:t>（3）投标人应当从企业主体信息库（2024年新版本</w:t>
      </w:r>
      <w:r>
        <w:rPr>
          <w:color w:val="auto"/>
          <w:highlight w:val="none"/>
        </w:rPr>
        <w:t>辽宁省工程建设项目主体云库</w:t>
      </w:r>
      <w:r>
        <w:rPr>
          <w:rFonts w:hint="eastAsia"/>
          <w:color w:val="auto"/>
          <w:highlight w:val="none"/>
        </w:rPr>
        <w:t>）中选择用于评审的佐证或证明材料并获取相应的数据信息，在制作投标文件时生成应用于项目评审的数字证照或影印件。如发现获取信息内容有错误应当在企业主体信息库修改和完善，并重新获取并生成数字证照或影印件。</w:t>
      </w:r>
    </w:p>
    <w:p w14:paraId="1AAF1585">
      <w:pPr>
        <w:spacing w:line="360" w:lineRule="exact"/>
        <w:ind w:firstLine="420" w:firstLineChars="200"/>
        <w:rPr>
          <w:color w:val="auto"/>
          <w:highlight w:val="none"/>
        </w:rPr>
      </w:pPr>
      <w:r>
        <w:rPr>
          <w:rFonts w:hint="eastAsia"/>
          <w:color w:val="auto"/>
          <w:highlight w:val="none"/>
        </w:rPr>
        <w:t>投标人投标文件中数字证照数据信息内容是专家评审凭证和依据，投标人应当自行校核和确认数字证照数据信息内容，确保其准确有效和响应招标文件要求。</w:t>
      </w:r>
    </w:p>
    <w:p w14:paraId="01D43E77">
      <w:pPr>
        <w:spacing w:line="360" w:lineRule="exact"/>
        <w:ind w:firstLine="420" w:firstLineChars="200"/>
        <w:rPr>
          <w:color w:val="auto"/>
          <w:highlight w:val="none"/>
        </w:rPr>
      </w:pPr>
      <w:r>
        <w:rPr>
          <w:rFonts w:hint="eastAsia"/>
          <w:color w:val="auto"/>
          <w:highlight w:val="none"/>
        </w:rPr>
        <w:t>投标人应用于投标的数字证照可通过主体信息库调取、下载和追溯其数据原始材料，用于核查、归档、调查或异议投诉处理等事宜。如发现投标人投标文件中应用于评审的数据证照信息数据内容存在不实或弄虚作假的，即按照弄虚作假骗取中标行为予以认定并依法依规处理。</w:t>
      </w:r>
    </w:p>
    <w:p w14:paraId="5ABC5E9A">
      <w:pPr>
        <w:spacing w:line="360" w:lineRule="exact"/>
        <w:ind w:firstLine="420" w:firstLineChars="200"/>
        <w:rPr>
          <w:color w:val="auto"/>
          <w:highlight w:val="none"/>
        </w:rPr>
      </w:pPr>
      <w:r>
        <w:rPr>
          <w:rFonts w:hint="eastAsia"/>
          <w:color w:val="auto"/>
          <w:highlight w:val="none"/>
        </w:rPr>
        <w:t>应用数字证照评审的节点和材料内容见投标人须知前附表。</w:t>
      </w:r>
    </w:p>
    <w:bookmarkEnd w:id="186"/>
    <w:p w14:paraId="4B9626F4">
      <w:pPr>
        <w:spacing w:line="360" w:lineRule="exact"/>
        <w:ind w:firstLine="420" w:firstLineChars="200"/>
        <w:rPr>
          <w:color w:val="auto"/>
          <w:highlight w:val="none"/>
        </w:rPr>
      </w:pPr>
      <w:r>
        <w:rPr>
          <w:rFonts w:hint="eastAsia"/>
          <w:color w:val="auto"/>
          <w:highlight w:val="none"/>
        </w:rPr>
        <w:t>（4）第八章投标文件格式文件要求“盖单位章”的地方，投标人应使用数字证书（CA）加盖投标人的单位电子印章；要求“签章”的地方，投标人应使用数字证书（CA）加盖法定代表人（授权委托人）的个人电子印章或电子签名。</w:t>
      </w:r>
      <w:r>
        <w:rPr>
          <w:rFonts w:hint="eastAsia" w:ascii="宋体" w:hAnsi="宋体"/>
          <w:color w:val="auto"/>
          <w:highlight w:val="none"/>
        </w:rPr>
        <w:t>联合体投标的，投标文件由联合体牵头人按上述规定在</w:t>
      </w:r>
      <w:r>
        <w:rPr>
          <w:rFonts w:ascii="宋体" w:hAnsi="宋体"/>
          <w:color w:val="auto"/>
          <w:highlight w:val="none"/>
        </w:rPr>
        <w:t>要求</w:t>
      </w:r>
      <w:r>
        <w:rPr>
          <w:rFonts w:hint="eastAsia"/>
          <w:color w:val="auto"/>
          <w:highlight w:val="none"/>
        </w:rPr>
        <w:t>“盖单位章”的地方</w:t>
      </w:r>
      <w:r>
        <w:rPr>
          <w:rFonts w:hint="eastAsia" w:ascii="宋体" w:hAnsi="宋体"/>
          <w:color w:val="auto"/>
          <w:highlight w:val="none"/>
        </w:rPr>
        <w:t>加盖联合体牵头人单位电子印章；在</w:t>
      </w:r>
      <w:r>
        <w:rPr>
          <w:rFonts w:hint="eastAsia"/>
          <w:color w:val="auto"/>
          <w:highlight w:val="none"/>
        </w:rPr>
        <w:t>要求“签章”的地方加盖</w:t>
      </w:r>
      <w:r>
        <w:rPr>
          <w:rFonts w:hint="eastAsia" w:ascii="宋体" w:hAnsi="宋体"/>
          <w:color w:val="auto"/>
          <w:highlight w:val="none"/>
        </w:rPr>
        <w:t>联合体牵头人法定代表人</w:t>
      </w:r>
      <w:r>
        <w:rPr>
          <w:rFonts w:hint="eastAsia"/>
          <w:color w:val="auto"/>
          <w:highlight w:val="none"/>
        </w:rPr>
        <w:t>（授权委托人）</w:t>
      </w:r>
      <w:r>
        <w:rPr>
          <w:rFonts w:hint="eastAsia" w:ascii="宋体" w:hAnsi="宋体"/>
          <w:color w:val="auto"/>
          <w:highlight w:val="none"/>
        </w:rPr>
        <w:t>的个人电子印章或电子签名。</w:t>
      </w:r>
      <w:r>
        <w:rPr>
          <w:rFonts w:hint="eastAsia"/>
          <w:color w:val="auto"/>
          <w:highlight w:val="none"/>
        </w:rPr>
        <w:t>招标文件有特别说明的除外。</w:t>
      </w:r>
    </w:p>
    <w:p w14:paraId="15E46008">
      <w:pPr>
        <w:spacing w:line="360" w:lineRule="exact"/>
        <w:ind w:firstLine="420" w:firstLineChars="200"/>
        <w:rPr>
          <w:color w:val="auto"/>
          <w:szCs w:val="21"/>
          <w:highlight w:val="none"/>
        </w:rPr>
      </w:pPr>
      <w:r>
        <w:rPr>
          <w:rFonts w:hint="eastAsia"/>
          <w:color w:val="auto"/>
          <w:highlight w:val="none"/>
        </w:rPr>
        <w:t>（5）</w:t>
      </w:r>
      <w:r>
        <w:rPr>
          <w:color w:val="auto"/>
          <w:highlight w:val="none"/>
        </w:rPr>
        <w:t>投标文件中</w:t>
      </w:r>
      <w:r>
        <w:rPr>
          <w:rFonts w:hint="eastAsia"/>
          <w:color w:val="auto"/>
          <w:highlight w:val="none"/>
        </w:rPr>
        <w:t>的已标价工程量清单数据文件</w:t>
      </w:r>
      <w:r>
        <w:rPr>
          <w:rFonts w:hint="eastAsia"/>
          <w:color w:val="auto"/>
          <w:szCs w:val="21"/>
          <w:highlight w:val="none"/>
        </w:rPr>
        <w:t>应符合辽宁省建设工程造价数据规范的要求，多个专业分别编制时，应汇总合并为一个文件</w:t>
      </w:r>
      <w:r>
        <w:rPr>
          <w:color w:val="auto"/>
          <w:highlight w:val="none"/>
        </w:rPr>
        <w:t>导入</w:t>
      </w:r>
      <w:r>
        <w:rPr>
          <w:rFonts w:hint="eastAsia"/>
          <w:color w:val="auto"/>
          <w:szCs w:val="21"/>
          <w:highlight w:val="none"/>
        </w:rPr>
        <w:t>。</w:t>
      </w:r>
    </w:p>
    <w:p w14:paraId="03B9890A">
      <w:pPr>
        <w:spacing w:line="360" w:lineRule="exact"/>
        <w:ind w:firstLine="420" w:firstLineChars="200"/>
        <w:rPr>
          <w:color w:val="auto"/>
          <w:highlight w:val="none"/>
        </w:rPr>
      </w:pPr>
      <w:r>
        <w:rPr>
          <w:rFonts w:hint="eastAsia"/>
          <w:color w:val="auto"/>
          <w:highlight w:val="none"/>
        </w:rPr>
        <w:t>（6）</w:t>
      </w:r>
      <w:r>
        <w:rPr>
          <w:color w:val="auto"/>
          <w:highlight w:val="none"/>
        </w:rPr>
        <w:t>投标文件</w:t>
      </w:r>
      <w:r>
        <w:rPr>
          <w:rFonts w:hint="eastAsia"/>
          <w:color w:val="auto"/>
          <w:highlight w:val="none"/>
        </w:rPr>
        <w:t>制作完成后</w:t>
      </w:r>
      <w:r>
        <w:rPr>
          <w:color w:val="auto"/>
          <w:highlight w:val="none"/>
        </w:rPr>
        <w:t>，</w:t>
      </w:r>
      <w:r>
        <w:rPr>
          <w:rFonts w:hint="eastAsia"/>
          <w:color w:val="auto"/>
          <w:highlight w:val="none"/>
        </w:rPr>
        <w:t>将生成一份加密的电子投标文件。</w:t>
      </w:r>
      <w:bookmarkStart w:id="187" w:name="_Hlk164708979"/>
      <w:r>
        <w:rPr>
          <w:rFonts w:hint="eastAsia"/>
          <w:color w:val="auto"/>
          <w:highlight w:val="none"/>
        </w:rPr>
        <w:t>投标人应当自行验证电子投标文件格式、内容和数据的准确性，原则上电子投标文件大小不得超过500M。电子投标文件由于格式、内容或数据存在错误造成无法解密或解析，视为撤回投标文件，责任由投标人自行承担。</w:t>
      </w:r>
      <w:bookmarkEnd w:id="187"/>
    </w:p>
    <w:p w14:paraId="33DF8855">
      <w:pPr>
        <w:spacing w:line="360" w:lineRule="exact"/>
        <w:ind w:firstLine="420" w:firstLineChars="200"/>
        <w:rPr>
          <w:color w:val="auto"/>
          <w:highlight w:val="none"/>
        </w:rPr>
      </w:pPr>
      <w:r>
        <w:rPr>
          <w:rFonts w:hint="eastAsia"/>
          <w:color w:val="auto"/>
          <w:highlight w:val="none"/>
        </w:rPr>
        <w:t>（7）</w:t>
      </w:r>
      <w:r>
        <w:rPr>
          <w:color w:val="auto"/>
          <w:highlight w:val="none"/>
        </w:rPr>
        <w:t>投标文件制作</w:t>
      </w:r>
      <w:r>
        <w:rPr>
          <w:rFonts w:hint="eastAsia"/>
          <w:color w:val="auto"/>
          <w:highlight w:val="none"/>
        </w:rPr>
        <w:t>的具体方法详见“数字化投标文件制作软件”中的操作说明。</w:t>
      </w:r>
    </w:p>
    <w:p w14:paraId="2DA5AFCB">
      <w:pPr>
        <w:spacing w:line="360" w:lineRule="exact"/>
        <w:ind w:firstLine="420" w:firstLineChars="200"/>
        <w:rPr>
          <w:color w:val="auto"/>
          <w:szCs w:val="21"/>
          <w:highlight w:val="none"/>
        </w:rPr>
      </w:pPr>
      <w:r>
        <w:rPr>
          <w:rFonts w:hint="eastAsia"/>
          <w:color w:val="auto"/>
          <w:highlight w:val="none"/>
        </w:rPr>
        <w:t>3.7.4</w:t>
      </w:r>
      <w:r>
        <w:rPr>
          <w:rFonts w:hint="eastAsia"/>
          <w:color w:val="auto"/>
          <w:szCs w:val="21"/>
          <w:highlight w:val="none"/>
        </w:rPr>
        <w:t xml:space="preserve"> 投标人须知前附表规定“施工组织设计”（技术标）采用“模块化暗标”，“施工组织设计”应按本章第3.7.3项制作</w:t>
      </w:r>
      <w:r>
        <w:rPr>
          <w:color w:val="auto"/>
          <w:highlight w:val="none"/>
        </w:rPr>
        <w:t>投标文件</w:t>
      </w:r>
      <w:r>
        <w:rPr>
          <w:rFonts w:hint="eastAsia"/>
          <w:color w:val="auto"/>
          <w:szCs w:val="21"/>
          <w:highlight w:val="none"/>
        </w:rPr>
        <w:t>并应满足下列要求：</w:t>
      </w:r>
    </w:p>
    <w:p w14:paraId="36BC7D91">
      <w:pPr>
        <w:tabs>
          <w:tab w:val="left" w:pos="7980"/>
        </w:tabs>
        <w:spacing w:line="360" w:lineRule="exact"/>
        <w:ind w:firstLine="420" w:firstLineChars="200"/>
        <w:rPr>
          <w:color w:val="auto"/>
          <w:szCs w:val="21"/>
          <w:highlight w:val="none"/>
        </w:rPr>
      </w:pPr>
      <w:r>
        <w:rPr>
          <w:rFonts w:hint="eastAsia"/>
          <w:color w:val="auto"/>
          <w:szCs w:val="21"/>
          <w:highlight w:val="none"/>
        </w:rPr>
        <w:t>（1）</w:t>
      </w:r>
      <w:r>
        <w:rPr>
          <w:color w:val="auto"/>
          <w:szCs w:val="21"/>
          <w:highlight w:val="none"/>
        </w:rPr>
        <w:t>采用A4规格纸张，纸张方向为纵向，段落采用单倍行距</w:t>
      </w:r>
      <w:r>
        <w:rPr>
          <w:rFonts w:hint="eastAsia"/>
          <w:color w:val="auto"/>
          <w:szCs w:val="21"/>
          <w:highlight w:val="none"/>
        </w:rPr>
        <w:t>，“文档网格”设置为“无网格”</w:t>
      </w:r>
      <w:r>
        <w:rPr>
          <w:color w:val="auto"/>
          <w:szCs w:val="21"/>
          <w:highlight w:val="none"/>
        </w:rPr>
        <w:t>，对齐方式两端对齐，大纲级别正文文本，左侧、右侧缩进0个字符，首行缩进2个字符，段前、段后0行。编辑软件可采用Microsoft Word 2010及以上版本或WPS 2013版本及以上版本。</w:t>
      </w:r>
    </w:p>
    <w:p w14:paraId="39CD5FD7">
      <w:pPr>
        <w:spacing w:line="360" w:lineRule="exact"/>
        <w:ind w:firstLine="420" w:firstLineChars="200"/>
        <w:rPr>
          <w:color w:val="auto"/>
          <w:szCs w:val="21"/>
          <w:highlight w:val="none"/>
        </w:rPr>
      </w:pPr>
      <w:r>
        <w:rPr>
          <w:rFonts w:hint="eastAsia"/>
          <w:color w:val="auto"/>
          <w:szCs w:val="21"/>
          <w:highlight w:val="none"/>
        </w:rPr>
        <w:t>（2）</w:t>
      </w:r>
      <w:r>
        <w:rPr>
          <w:rFonts w:hint="eastAsia" w:ascii="宋体" w:hAnsi="宋体"/>
          <w:color w:val="auto"/>
          <w:szCs w:val="21"/>
          <w:highlight w:val="none"/>
        </w:rPr>
        <w:t>标题（包括章、节、条、款、项）、正文要求：</w:t>
      </w:r>
      <w:r>
        <w:rPr>
          <w:rFonts w:hint="eastAsia"/>
          <w:color w:val="auto"/>
          <w:szCs w:val="21"/>
          <w:highlight w:val="none"/>
        </w:rPr>
        <w:t>采用A4规格</w:t>
      </w:r>
      <w:r>
        <w:rPr>
          <w:color w:val="auto"/>
          <w:szCs w:val="21"/>
          <w:highlight w:val="none"/>
        </w:rPr>
        <w:t>纸张</w:t>
      </w:r>
      <w:r>
        <w:rPr>
          <w:rFonts w:hint="eastAsia"/>
          <w:color w:val="auto"/>
          <w:szCs w:val="21"/>
          <w:highlight w:val="none"/>
        </w:rPr>
        <w:t>，文字为黑色小四号宋体，标题可加粗。</w:t>
      </w:r>
    </w:p>
    <w:p w14:paraId="238FBC66">
      <w:pPr>
        <w:spacing w:line="360" w:lineRule="exact"/>
        <w:ind w:firstLine="420" w:firstLineChars="200"/>
        <w:rPr>
          <w:rFonts w:hint="eastAsia"/>
          <w:color w:val="auto"/>
          <w:szCs w:val="21"/>
          <w:highlight w:val="none"/>
        </w:rPr>
      </w:pPr>
      <w:r>
        <w:rPr>
          <w:rFonts w:hint="eastAsia"/>
          <w:color w:val="auto"/>
          <w:szCs w:val="21"/>
          <w:highlight w:val="none"/>
        </w:rPr>
        <w:t>（3）图表要求：图表应尽可能采用A4规格白色底色，对于比较大的图表可使用A3规格白色底色。图表中的文字采用黑色，字体、字号不限（不包括纯表格，纯表格中文字要求同（2）正文要求且无需首行缩进）。图表（包括框图、流程图、结构图等，不包括纯表格）内容需转换为“图片”格式插入到文件对应位置上。</w:t>
      </w:r>
    </w:p>
    <w:p w14:paraId="72B65F58">
      <w:pPr>
        <w:spacing w:line="360" w:lineRule="exact"/>
        <w:ind w:firstLine="420" w:firstLineChars="200"/>
        <w:rPr>
          <w:color w:val="auto"/>
          <w:szCs w:val="21"/>
          <w:highlight w:val="none"/>
        </w:rPr>
      </w:pPr>
      <w:r>
        <w:rPr>
          <w:rFonts w:hint="eastAsia"/>
          <w:color w:val="auto"/>
          <w:szCs w:val="21"/>
          <w:highlight w:val="none"/>
        </w:rPr>
        <w:t>（4）页眉和页脚（包括页码）设置要求：不允许出现页眉，可以设置页脚且页脚仅可以设置页码，页码格式采用阿拉伯数字格式，字体为五号宋体，设在页脚居中位置，同模块文本页码应当连续。</w:t>
      </w:r>
    </w:p>
    <w:p w14:paraId="1E44E062">
      <w:pPr>
        <w:spacing w:line="360" w:lineRule="exact"/>
        <w:ind w:firstLine="420" w:firstLineChars="200"/>
        <w:rPr>
          <w:color w:val="auto"/>
          <w:szCs w:val="21"/>
          <w:highlight w:val="none"/>
        </w:rPr>
      </w:pPr>
      <w:r>
        <w:rPr>
          <w:rFonts w:hint="eastAsia"/>
          <w:color w:val="auto"/>
          <w:szCs w:val="21"/>
          <w:highlight w:val="none"/>
        </w:rPr>
        <w:t>（5）不允许有目录，不</w:t>
      </w:r>
      <w:r>
        <w:rPr>
          <w:rFonts w:ascii="宋体" w:hAnsi="宋体" w:cs="宋体"/>
          <w:color w:val="auto"/>
          <w:highlight w:val="none"/>
        </w:rPr>
        <w:t>允许涂改或删除痕迹</w:t>
      </w:r>
      <w:r>
        <w:rPr>
          <w:rFonts w:hint="eastAsia" w:ascii="宋体" w:hAnsi="宋体" w:cs="宋体"/>
          <w:color w:val="auto"/>
          <w:highlight w:val="none"/>
        </w:rPr>
        <w:t>，不</w:t>
      </w:r>
      <w:r>
        <w:rPr>
          <w:rFonts w:ascii="宋体" w:hAnsi="宋体" w:cs="宋体"/>
          <w:color w:val="auto"/>
          <w:highlight w:val="none"/>
        </w:rPr>
        <w:t>允许字体涂色</w:t>
      </w:r>
      <w:r>
        <w:rPr>
          <w:rFonts w:hint="eastAsia" w:ascii="宋体" w:hAnsi="宋体" w:cs="宋体"/>
          <w:color w:val="auto"/>
          <w:highlight w:val="none"/>
        </w:rPr>
        <w:t>。</w:t>
      </w:r>
    </w:p>
    <w:p w14:paraId="41AA0C1A">
      <w:pPr>
        <w:spacing w:line="360" w:lineRule="exact"/>
        <w:ind w:firstLine="420" w:firstLineChars="200"/>
        <w:rPr>
          <w:color w:val="auto"/>
          <w:szCs w:val="21"/>
          <w:highlight w:val="none"/>
        </w:rPr>
      </w:pPr>
      <w:r>
        <w:rPr>
          <w:rFonts w:hint="eastAsia"/>
          <w:color w:val="auto"/>
          <w:szCs w:val="21"/>
          <w:highlight w:val="none"/>
        </w:rPr>
        <w:t>（</w:t>
      </w:r>
      <w:r>
        <w:rPr>
          <w:color w:val="auto"/>
          <w:szCs w:val="21"/>
          <w:highlight w:val="none"/>
        </w:rPr>
        <w:t>6</w:t>
      </w:r>
      <w:r>
        <w:rPr>
          <w:rFonts w:hint="eastAsia"/>
          <w:color w:val="auto"/>
          <w:szCs w:val="21"/>
          <w:highlight w:val="none"/>
        </w:rPr>
        <w:t>）任何情况下，施工组织设计中不得出现投标人的名称和其它</w:t>
      </w:r>
      <w:r>
        <w:rPr>
          <w:rFonts w:hint="eastAsia"/>
          <w:color w:val="auto"/>
          <w:szCs w:val="21"/>
          <w:highlight w:val="none"/>
          <w:lang w:val="en-US" w:eastAsia="zh-CN"/>
        </w:rPr>
        <w:t>可以</w:t>
      </w:r>
      <w:r>
        <w:rPr>
          <w:rFonts w:hint="eastAsia"/>
          <w:color w:val="auto"/>
          <w:szCs w:val="21"/>
          <w:highlight w:val="none"/>
        </w:rPr>
        <w:t>识别投标人身份的字符、徽标、人员名称等以及雷同性标记内容。</w:t>
      </w:r>
    </w:p>
    <w:p w14:paraId="38E612A8">
      <w:pPr>
        <w:pStyle w:val="25"/>
        <w:spacing w:line="360" w:lineRule="exact"/>
        <w:rPr>
          <w:color w:val="auto"/>
          <w:highlight w:val="none"/>
        </w:rPr>
      </w:pPr>
      <w:bookmarkStart w:id="188" w:name="_Toc144974523"/>
      <w:bookmarkStart w:id="189" w:name="_Toc21033"/>
      <w:bookmarkStart w:id="190" w:name="_Toc152045555"/>
      <w:bookmarkStart w:id="191" w:name="_Toc179632573"/>
      <w:bookmarkStart w:id="192" w:name="_Toc166326868"/>
      <w:bookmarkStart w:id="193" w:name="_Toc152042331"/>
      <w:r>
        <w:rPr>
          <w:rFonts w:hint="eastAsia"/>
          <w:color w:val="auto"/>
          <w:highlight w:val="none"/>
        </w:rPr>
        <w:t>4. 投标</w:t>
      </w:r>
      <w:bookmarkEnd w:id="188"/>
      <w:bookmarkEnd w:id="189"/>
      <w:bookmarkEnd w:id="190"/>
      <w:bookmarkEnd w:id="191"/>
      <w:bookmarkEnd w:id="192"/>
      <w:bookmarkEnd w:id="193"/>
    </w:p>
    <w:p w14:paraId="72E83DF1">
      <w:pPr>
        <w:pStyle w:val="27"/>
        <w:spacing w:line="360" w:lineRule="exact"/>
        <w:rPr>
          <w:color w:val="auto"/>
          <w:highlight w:val="none"/>
        </w:rPr>
      </w:pPr>
      <w:bookmarkStart w:id="194" w:name="_Toc144974524"/>
      <w:bookmarkStart w:id="195" w:name="_Toc179632574"/>
      <w:bookmarkStart w:id="196" w:name="_Toc152045556"/>
      <w:bookmarkStart w:id="197" w:name="_Toc152042332"/>
      <w:bookmarkStart w:id="198" w:name="_Toc166326869"/>
      <w:bookmarkStart w:id="199" w:name="_Toc19534"/>
      <w:r>
        <w:rPr>
          <w:rFonts w:hint="eastAsia"/>
          <w:color w:val="auto"/>
          <w:highlight w:val="none"/>
        </w:rPr>
        <w:t>4.1 投标文件的</w:t>
      </w:r>
      <w:bookmarkEnd w:id="194"/>
      <w:bookmarkEnd w:id="195"/>
      <w:bookmarkEnd w:id="196"/>
      <w:bookmarkEnd w:id="197"/>
      <w:r>
        <w:rPr>
          <w:rFonts w:hint="eastAsia"/>
          <w:color w:val="auto"/>
          <w:highlight w:val="none"/>
        </w:rPr>
        <w:t>加密</w:t>
      </w:r>
      <w:bookmarkEnd w:id="198"/>
      <w:bookmarkEnd w:id="199"/>
    </w:p>
    <w:p w14:paraId="3001797E">
      <w:pPr>
        <w:spacing w:line="360" w:lineRule="exact"/>
        <w:ind w:firstLine="420" w:firstLineChars="200"/>
        <w:rPr>
          <w:color w:val="auto"/>
          <w:highlight w:val="none"/>
        </w:rPr>
      </w:pPr>
      <w:r>
        <w:rPr>
          <w:rFonts w:hint="eastAsia"/>
          <w:color w:val="auto"/>
          <w:highlight w:val="none"/>
        </w:rPr>
        <w:t>投标人应当按照</w:t>
      </w:r>
      <w:r>
        <w:rPr>
          <w:color w:val="auto"/>
          <w:highlight w:val="none"/>
        </w:rPr>
        <w:t>本章第3.</w:t>
      </w:r>
      <w:r>
        <w:rPr>
          <w:rFonts w:hint="eastAsia"/>
          <w:color w:val="auto"/>
          <w:highlight w:val="none"/>
        </w:rPr>
        <w:t>7.3</w:t>
      </w:r>
      <w:r>
        <w:rPr>
          <w:color w:val="auto"/>
          <w:highlight w:val="none"/>
        </w:rPr>
        <w:t>项要求制作</w:t>
      </w:r>
      <w:r>
        <w:rPr>
          <w:rFonts w:hint="eastAsia"/>
          <w:color w:val="auto"/>
          <w:highlight w:val="none"/>
        </w:rPr>
        <w:t>投标文件，并在投标时上传加密的投标文件，未</w:t>
      </w:r>
      <w:r>
        <w:rPr>
          <w:color w:val="auto"/>
          <w:highlight w:val="none"/>
        </w:rPr>
        <w:t>加密的投标文件，</w:t>
      </w:r>
      <w:r>
        <w:rPr>
          <w:rFonts w:hint="eastAsia"/>
          <w:color w:val="auto"/>
          <w:highlight w:val="none"/>
        </w:rPr>
        <w:t>招标人（</w:t>
      </w:r>
      <w:bookmarkStart w:id="200" w:name="_Hlk157864029"/>
      <w:r>
        <w:rPr>
          <w:color w:val="auto"/>
          <w:highlight w:val="none"/>
        </w:rPr>
        <w:t>电子</w:t>
      </w:r>
      <w:r>
        <w:rPr>
          <w:rFonts w:hint="eastAsia"/>
          <w:color w:val="auto"/>
          <w:highlight w:val="none"/>
        </w:rPr>
        <w:t>招标投标系统</w:t>
      </w:r>
      <w:bookmarkEnd w:id="200"/>
      <w:r>
        <w:rPr>
          <w:rFonts w:hint="eastAsia"/>
          <w:color w:val="auto"/>
          <w:highlight w:val="none"/>
        </w:rPr>
        <w:t>）将拒收并提示。</w:t>
      </w:r>
    </w:p>
    <w:p w14:paraId="5F910920">
      <w:pPr>
        <w:pStyle w:val="27"/>
        <w:spacing w:line="360" w:lineRule="exact"/>
        <w:rPr>
          <w:color w:val="auto"/>
          <w:highlight w:val="none"/>
        </w:rPr>
      </w:pPr>
      <w:bookmarkStart w:id="201" w:name="_Toc144974525"/>
      <w:bookmarkStart w:id="202" w:name="_Toc3809"/>
      <w:bookmarkStart w:id="203" w:name="_Toc152045557"/>
      <w:bookmarkStart w:id="204" w:name="_Toc179632575"/>
      <w:bookmarkStart w:id="205" w:name="_Toc152042333"/>
      <w:bookmarkStart w:id="206" w:name="_Toc166326870"/>
      <w:r>
        <w:rPr>
          <w:rFonts w:hint="eastAsia"/>
          <w:color w:val="auto"/>
          <w:highlight w:val="none"/>
        </w:rPr>
        <w:t>4.2 投标文件的递交</w:t>
      </w:r>
      <w:bookmarkEnd w:id="201"/>
      <w:bookmarkEnd w:id="202"/>
      <w:bookmarkEnd w:id="203"/>
      <w:bookmarkEnd w:id="204"/>
      <w:bookmarkEnd w:id="205"/>
      <w:bookmarkEnd w:id="206"/>
    </w:p>
    <w:p w14:paraId="62B88DB1">
      <w:pPr>
        <w:spacing w:line="360" w:lineRule="exact"/>
        <w:ind w:firstLine="420" w:firstLineChars="200"/>
        <w:rPr>
          <w:color w:val="auto"/>
          <w:highlight w:val="none"/>
        </w:rPr>
      </w:pPr>
      <w:r>
        <w:rPr>
          <w:rFonts w:hint="eastAsia"/>
          <w:color w:val="auto"/>
          <w:highlight w:val="none"/>
        </w:rPr>
        <w:t>4.2.1 投标人递交投标文件的截止时间（投标截止时间）：见投标人须知前附表。</w:t>
      </w:r>
    </w:p>
    <w:p w14:paraId="5675D296">
      <w:pPr>
        <w:spacing w:line="360" w:lineRule="exact"/>
        <w:ind w:firstLine="420" w:firstLineChars="200"/>
        <w:rPr>
          <w:color w:val="auto"/>
          <w:highlight w:val="none"/>
        </w:rPr>
      </w:pPr>
      <w:r>
        <w:rPr>
          <w:color w:val="auto"/>
          <w:highlight w:val="none"/>
        </w:rPr>
        <w:t>4.</w:t>
      </w:r>
      <w:r>
        <w:rPr>
          <w:rFonts w:hint="eastAsia"/>
          <w:color w:val="auto"/>
          <w:highlight w:val="none"/>
        </w:rPr>
        <w:t>2</w:t>
      </w:r>
      <w:r>
        <w:rPr>
          <w:color w:val="auto"/>
          <w:highlight w:val="none"/>
        </w:rPr>
        <w:t>.</w:t>
      </w:r>
      <w:r>
        <w:rPr>
          <w:rFonts w:hint="eastAsia"/>
          <w:color w:val="auto"/>
          <w:highlight w:val="none"/>
        </w:rPr>
        <w:t xml:space="preserve">2 </w:t>
      </w:r>
      <w:bookmarkStart w:id="207" w:name="_Hlk162093171"/>
      <w:r>
        <w:rPr>
          <w:rFonts w:hint="eastAsia"/>
          <w:color w:val="auto"/>
          <w:highlight w:val="none"/>
        </w:rPr>
        <w:t>投标人应当在投标截止时间前，</w:t>
      </w:r>
      <w:r>
        <w:rPr>
          <w:color w:val="auto"/>
          <w:highlight w:val="none"/>
        </w:rPr>
        <w:t>通过</w:t>
      </w:r>
      <w:bookmarkStart w:id="208" w:name="_Hlk164706052"/>
      <w:r>
        <w:rPr>
          <w:color w:val="auto"/>
          <w:highlight w:val="none"/>
        </w:rPr>
        <w:t>电子</w:t>
      </w:r>
      <w:r>
        <w:rPr>
          <w:rFonts w:hint="eastAsia"/>
          <w:color w:val="auto"/>
          <w:highlight w:val="none"/>
        </w:rPr>
        <w:t>交易系统（投标盲盒工具）</w:t>
      </w:r>
      <w:bookmarkEnd w:id="208"/>
      <w:r>
        <w:rPr>
          <w:rFonts w:hint="eastAsia"/>
          <w:color w:val="auto"/>
          <w:highlight w:val="none"/>
        </w:rPr>
        <w:t>选择所投标段将加密的投标文件上传至</w:t>
      </w:r>
      <w:r>
        <w:rPr>
          <w:color w:val="auto"/>
          <w:highlight w:val="none"/>
        </w:rPr>
        <w:t>电子</w:t>
      </w:r>
      <w:r>
        <w:rPr>
          <w:rFonts w:hint="eastAsia"/>
          <w:color w:val="auto"/>
          <w:highlight w:val="none"/>
        </w:rPr>
        <w:t>招标投标系统（辽宁省工程建设项目数字化开标评标系统）。投标人应充分考虑上传文件时的不可预见因素，投标文件</w:t>
      </w:r>
      <w:r>
        <w:rPr>
          <w:color w:val="auto"/>
          <w:highlight w:val="none"/>
        </w:rPr>
        <w:t>未在投标截止时间前完成上传</w:t>
      </w:r>
      <w:r>
        <w:rPr>
          <w:rFonts w:hint="eastAsia"/>
          <w:color w:val="auto"/>
          <w:highlight w:val="none"/>
        </w:rPr>
        <w:t>的，</w:t>
      </w:r>
      <w:r>
        <w:rPr>
          <w:color w:val="auto"/>
          <w:highlight w:val="none"/>
        </w:rPr>
        <w:t>视为逾期送达</w:t>
      </w:r>
      <w:r>
        <w:rPr>
          <w:rFonts w:hint="eastAsia"/>
          <w:color w:val="auto"/>
          <w:highlight w:val="none"/>
        </w:rPr>
        <w:t>，招标人（</w:t>
      </w:r>
      <w:r>
        <w:rPr>
          <w:color w:val="auto"/>
          <w:highlight w:val="none"/>
        </w:rPr>
        <w:t>电子</w:t>
      </w:r>
      <w:r>
        <w:rPr>
          <w:rFonts w:hint="eastAsia"/>
          <w:color w:val="auto"/>
          <w:highlight w:val="none"/>
        </w:rPr>
        <w:t>交易系统）将拒收其投标文件</w:t>
      </w:r>
      <w:r>
        <w:rPr>
          <w:color w:val="auto"/>
          <w:highlight w:val="none"/>
        </w:rPr>
        <w:t>。</w:t>
      </w:r>
    </w:p>
    <w:p w14:paraId="130AE82C">
      <w:pPr>
        <w:spacing w:line="360" w:lineRule="exact"/>
        <w:ind w:firstLine="420" w:firstLineChars="200"/>
        <w:rPr>
          <w:color w:val="auto"/>
          <w:highlight w:val="none"/>
        </w:rPr>
      </w:pPr>
      <w:r>
        <w:rPr>
          <w:rFonts w:hint="eastAsia"/>
          <w:color w:val="auto"/>
          <w:highlight w:val="none"/>
        </w:rPr>
        <w:t>投标人完成投标文件上传成功后，</w:t>
      </w:r>
      <w:r>
        <w:rPr>
          <w:color w:val="auto"/>
          <w:highlight w:val="none"/>
        </w:rPr>
        <w:t>电子交易系统向投标人发出电子签收凭证</w:t>
      </w:r>
      <w:r>
        <w:rPr>
          <w:rFonts w:hint="eastAsia"/>
          <w:color w:val="auto"/>
          <w:highlight w:val="none"/>
        </w:rPr>
        <w:t>，递交时间以</w:t>
      </w:r>
      <w:r>
        <w:rPr>
          <w:color w:val="auto"/>
          <w:highlight w:val="none"/>
        </w:rPr>
        <w:t>电子签收凭证</w:t>
      </w:r>
      <w:r>
        <w:rPr>
          <w:rFonts w:hint="eastAsia"/>
          <w:color w:val="auto"/>
          <w:highlight w:val="none"/>
        </w:rPr>
        <w:t>载明的时间为准。</w:t>
      </w:r>
      <w:bookmarkEnd w:id="207"/>
    </w:p>
    <w:p w14:paraId="5F3F2929">
      <w:pPr>
        <w:spacing w:line="360" w:lineRule="exact"/>
        <w:ind w:firstLine="420" w:firstLineChars="200"/>
        <w:rPr>
          <w:color w:val="auto"/>
          <w:highlight w:val="none"/>
        </w:rPr>
      </w:pPr>
      <w:r>
        <w:rPr>
          <w:rFonts w:hint="eastAsia"/>
          <w:color w:val="auto"/>
          <w:highlight w:val="none"/>
        </w:rPr>
        <w:t>4.2.3 除投标人须知前附表另有规定外，投标人所递交的投标文件不予退还。</w:t>
      </w:r>
    </w:p>
    <w:p w14:paraId="03B64434">
      <w:pPr>
        <w:pStyle w:val="27"/>
        <w:spacing w:line="360" w:lineRule="exact"/>
        <w:rPr>
          <w:color w:val="auto"/>
          <w:highlight w:val="none"/>
        </w:rPr>
      </w:pPr>
      <w:bookmarkStart w:id="209" w:name="_Toc10708"/>
      <w:bookmarkStart w:id="210" w:name="_Toc152045558"/>
      <w:bookmarkStart w:id="211" w:name="_Toc152042334"/>
      <w:bookmarkStart w:id="212" w:name="_Toc179632576"/>
      <w:bookmarkStart w:id="213" w:name="_Toc166326871"/>
      <w:bookmarkStart w:id="214" w:name="_Toc144974526"/>
      <w:r>
        <w:rPr>
          <w:rFonts w:hint="eastAsia"/>
          <w:color w:val="auto"/>
          <w:highlight w:val="none"/>
        </w:rPr>
        <w:t>4.3 投标文件的修改与撤回</w:t>
      </w:r>
      <w:bookmarkEnd w:id="209"/>
      <w:bookmarkEnd w:id="210"/>
      <w:bookmarkEnd w:id="211"/>
      <w:bookmarkEnd w:id="212"/>
      <w:bookmarkEnd w:id="213"/>
      <w:bookmarkEnd w:id="214"/>
    </w:p>
    <w:p w14:paraId="5E2F0776">
      <w:pPr>
        <w:spacing w:line="360" w:lineRule="exact"/>
        <w:ind w:firstLine="420" w:firstLineChars="200"/>
        <w:rPr>
          <w:color w:val="auto"/>
          <w:highlight w:val="none"/>
        </w:rPr>
      </w:pPr>
      <w:r>
        <w:rPr>
          <w:color w:val="auto"/>
          <w:highlight w:val="none"/>
        </w:rPr>
        <w:t>4.3.1</w:t>
      </w:r>
      <w:r>
        <w:rPr>
          <w:rFonts w:hint="eastAsia"/>
          <w:color w:val="auto"/>
          <w:highlight w:val="none"/>
        </w:rPr>
        <w:t xml:space="preserve"> 在本章第4.2.1项规定的投标截止时间前，投标人可以修改或撤回已递交的投标文件。</w:t>
      </w:r>
    </w:p>
    <w:p w14:paraId="3371A429">
      <w:pPr>
        <w:spacing w:line="360" w:lineRule="exact"/>
        <w:ind w:firstLine="420" w:firstLineChars="200"/>
        <w:rPr>
          <w:color w:val="auto"/>
          <w:highlight w:val="none"/>
        </w:rPr>
      </w:pPr>
      <w:r>
        <w:rPr>
          <w:rFonts w:hint="eastAsia"/>
          <w:color w:val="auto"/>
          <w:highlight w:val="none"/>
        </w:rPr>
        <w:t>4.3.2 投标人撤回投标文件的，在电子交易系统（投标盲盒工具）直接进行撤回操作</w:t>
      </w:r>
      <w:r>
        <w:rPr>
          <w:color w:val="auto"/>
          <w:highlight w:val="none"/>
        </w:rPr>
        <w:t>。</w:t>
      </w:r>
    </w:p>
    <w:p w14:paraId="1E6D800C">
      <w:pPr>
        <w:spacing w:line="360" w:lineRule="exact"/>
        <w:ind w:firstLine="420" w:firstLineChars="200"/>
        <w:rPr>
          <w:color w:val="auto"/>
          <w:highlight w:val="none"/>
        </w:rPr>
      </w:pPr>
      <w:r>
        <w:rPr>
          <w:rFonts w:hint="eastAsia"/>
          <w:color w:val="auto"/>
          <w:highlight w:val="none"/>
        </w:rPr>
        <w:t>4.3.3 投标人修改投标文件的，</w:t>
      </w:r>
      <w:r>
        <w:rPr>
          <w:color w:val="auto"/>
          <w:highlight w:val="none"/>
        </w:rPr>
        <w:t>应当</w:t>
      </w:r>
      <w:r>
        <w:rPr>
          <w:rFonts w:hint="eastAsia"/>
          <w:color w:val="auto"/>
          <w:highlight w:val="none"/>
        </w:rPr>
        <w:t>先按本章第</w:t>
      </w:r>
      <w:r>
        <w:rPr>
          <w:color w:val="auto"/>
          <w:highlight w:val="none"/>
        </w:rPr>
        <w:t>4.3.2</w:t>
      </w:r>
      <w:r>
        <w:rPr>
          <w:rFonts w:hint="eastAsia"/>
          <w:color w:val="auto"/>
          <w:highlight w:val="none"/>
        </w:rPr>
        <w:t>项的规定撤回投标文件，再</w:t>
      </w:r>
      <w:r>
        <w:rPr>
          <w:color w:val="auto"/>
          <w:highlight w:val="none"/>
        </w:rPr>
        <w:t>使用投标文件制作软件制作成完整的投标文件</w:t>
      </w:r>
      <w:r>
        <w:rPr>
          <w:rFonts w:hint="eastAsia"/>
          <w:color w:val="auto"/>
          <w:highlight w:val="none"/>
        </w:rPr>
        <w:t>，并按照本章第3条、第4条规定进行编制和递交</w:t>
      </w:r>
      <w:bookmarkStart w:id="215" w:name="_Hlk161477706"/>
      <w:bookmarkStart w:id="216" w:name="_Hlk161651407"/>
      <w:r>
        <w:rPr>
          <w:rFonts w:hint="eastAsia"/>
          <w:color w:val="auto"/>
          <w:highlight w:val="none"/>
        </w:rPr>
        <w:t>，递交时间以投标截止时间前最后完成上传的文件为准</w:t>
      </w:r>
      <w:bookmarkEnd w:id="215"/>
      <w:r>
        <w:rPr>
          <w:rFonts w:hint="eastAsia"/>
          <w:color w:val="auto"/>
          <w:highlight w:val="none"/>
        </w:rPr>
        <w:t>。</w:t>
      </w:r>
      <w:bookmarkEnd w:id="216"/>
    </w:p>
    <w:p w14:paraId="5466E8F9">
      <w:pPr>
        <w:pStyle w:val="25"/>
        <w:spacing w:line="360" w:lineRule="exact"/>
        <w:rPr>
          <w:color w:val="auto"/>
          <w:highlight w:val="none"/>
        </w:rPr>
      </w:pPr>
      <w:bookmarkStart w:id="217" w:name="_Toc144974527"/>
      <w:bookmarkStart w:id="218" w:name="_Toc166326872"/>
      <w:bookmarkStart w:id="219" w:name="_Toc152045559"/>
      <w:bookmarkStart w:id="220" w:name="_Toc179632577"/>
      <w:bookmarkStart w:id="221" w:name="_Toc152042335"/>
      <w:bookmarkStart w:id="222" w:name="_Toc4072"/>
      <w:r>
        <w:rPr>
          <w:rFonts w:hint="eastAsia"/>
          <w:color w:val="auto"/>
          <w:highlight w:val="none"/>
        </w:rPr>
        <w:t>5. 开标</w:t>
      </w:r>
      <w:bookmarkEnd w:id="217"/>
      <w:bookmarkEnd w:id="218"/>
      <w:bookmarkEnd w:id="219"/>
      <w:bookmarkEnd w:id="220"/>
      <w:bookmarkEnd w:id="221"/>
      <w:bookmarkEnd w:id="222"/>
    </w:p>
    <w:p w14:paraId="0EB831A5">
      <w:pPr>
        <w:pStyle w:val="27"/>
        <w:spacing w:line="360" w:lineRule="exact"/>
        <w:rPr>
          <w:color w:val="auto"/>
          <w:highlight w:val="none"/>
        </w:rPr>
      </w:pPr>
      <w:bookmarkStart w:id="223" w:name="_Toc152045560"/>
      <w:bookmarkStart w:id="224" w:name="_Toc23569"/>
      <w:bookmarkStart w:id="225" w:name="_Toc144974528"/>
      <w:bookmarkStart w:id="226" w:name="_Toc166326873"/>
      <w:bookmarkStart w:id="227" w:name="_Toc179632578"/>
      <w:bookmarkStart w:id="228" w:name="_Toc152042336"/>
      <w:r>
        <w:rPr>
          <w:rFonts w:hint="eastAsia"/>
          <w:color w:val="auto"/>
          <w:highlight w:val="none"/>
        </w:rPr>
        <w:t>5.1 开标时间和地点</w:t>
      </w:r>
      <w:bookmarkEnd w:id="223"/>
      <w:bookmarkEnd w:id="224"/>
      <w:bookmarkEnd w:id="225"/>
      <w:bookmarkEnd w:id="226"/>
      <w:bookmarkEnd w:id="227"/>
      <w:bookmarkEnd w:id="228"/>
    </w:p>
    <w:p w14:paraId="15D2C7D9">
      <w:pPr>
        <w:spacing w:line="360" w:lineRule="exact"/>
        <w:ind w:firstLine="420" w:firstLineChars="200"/>
        <w:rPr>
          <w:bCs/>
          <w:color w:val="auto"/>
          <w:highlight w:val="none"/>
        </w:rPr>
      </w:pPr>
      <w:r>
        <w:rPr>
          <w:rFonts w:hint="eastAsia"/>
          <w:color w:val="auto"/>
          <w:highlight w:val="none"/>
        </w:rPr>
        <w:t>5.1.1 招标人在本章第4.2.1项规定的投标截止时间（开标时间）</w:t>
      </w:r>
      <w:r>
        <w:rPr>
          <w:rFonts w:hint="eastAsia"/>
          <w:bCs/>
          <w:iCs/>
          <w:color w:val="auto"/>
          <w:highlight w:val="none"/>
        </w:rPr>
        <w:t>在</w:t>
      </w:r>
      <w:bookmarkStart w:id="229" w:name="_Hlk164709573"/>
      <w:r>
        <w:rPr>
          <w:rFonts w:hint="eastAsia"/>
          <w:color w:val="auto"/>
          <w:highlight w:val="none"/>
        </w:rPr>
        <w:t>电子招标投标系统（辽宁省工程建设项目数字化开标评标系统）</w:t>
      </w:r>
      <w:bookmarkEnd w:id="229"/>
      <w:r>
        <w:rPr>
          <w:rFonts w:hint="eastAsia"/>
          <w:bCs/>
          <w:iCs/>
          <w:color w:val="auto"/>
          <w:highlight w:val="none"/>
        </w:rPr>
        <w:t>上</w:t>
      </w:r>
      <w:r>
        <w:rPr>
          <w:rFonts w:hint="eastAsia"/>
          <w:bCs/>
          <w:color w:val="auto"/>
          <w:highlight w:val="none"/>
        </w:rPr>
        <w:t>公开进行开标，</w:t>
      </w:r>
      <w:r>
        <w:rPr>
          <w:rFonts w:hint="eastAsia"/>
          <w:bCs/>
          <w:iCs/>
          <w:color w:val="auto"/>
          <w:highlight w:val="none"/>
        </w:rPr>
        <w:t>所有投标人均应当参加开标。招标人按照</w:t>
      </w:r>
      <w:r>
        <w:rPr>
          <w:rFonts w:hint="eastAsia"/>
          <w:color w:val="auto"/>
          <w:highlight w:val="none"/>
        </w:rPr>
        <w:t>投标人须知前附表规定的方式组织开标。</w:t>
      </w:r>
    </w:p>
    <w:p w14:paraId="7A1DAEDC">
      <w:pPr>
        <w:spacing w:line="360" w:lineRule="exact"/>
        <w:ind w:firstLine="420" w:firstLineChars="200"/>
        <w:rPr>
          <w:color w:val="auto"/>
          <w:highlight w:val="none"/>
        </w:rPr>
      </w:pPr>
      <w:r>
        <w:rPr>
          <w:rFonts w:hint="eastAsia"/>
          <w:color w:val="auto"/>
          <w:highlight w:val="none"/>
        </w:rPr>
        <w:t>5.1.2招标人在投标人须知前附表规定的地点组织开标，并在投标截止时间30分钟前，登录并进入电子招标投标系统（辽宁省工程建设项目数字化开标评标系统）选择相应标段作开标的准备工作。</w:t>
      </w:r>
    </w:p>
    <w:p w14:paraId="402377B7">
      <w:pPr>
        <w:spacing w:line="360" w:lineRule="exact"/>
        <w:ind w:firstLine="420" w:firstLineChars="200"/>
        <w:rPr>
          <w:color w:val="auto"/>
          <w:highlight w:val="none"/>
        </w:rPr>
      </w:pPr>
      <w:r>
        <w:rPr>
          <w:rFonts w:hint="eastAsia"/>
          <w:color w:val="auto"/>
          <w:highlight w:val="none"/>
        </w:rPr>
        <w:t>5.1.3 投标人应当在能够保证设施设备可靠、互联网畅通的任意地点，按照本章第</w:t>
      </w:r>
      <w:r>
        <w:rPr>
          <w:color w:val="auto"/>
          <w:highlight w:val="none"/>
        </w:rPr>
        <w:t>5.1.1</w:t>
      </w:r>
      <w:r>
        <w:rPr>
          <w:rFonts w:hint="eastAsia"/>
          <w:color w:val="auto"/>
          <w:highlight w:val="none"/>
        </w:rPr>
        <w:t>项规定的组织方式，通过互联网远程在线或现场集中参加开标，</w:t>
      </w:r>
      <w:r>
        <w:rPr>
          <w:color w:val="auto"/>
          <w:highlight w:val="none"/>
        </w:rPr>
        <w:t>使用</w:t>
      </w:r>
      <w:r>
        <w:rPr>
          <w:rFonts w:hint="eastAsia"/>
          <w:color w:val="auto"/>
          <w:highlight w:val="none"/>
        </w:rPr>
        <w:t>加密其投标文件的数字证书（CA）登录电子招标投标系统（</w:t>
      </w:r>
      <w:r>
        <w:rPr>
          <w:rFonts w:hint="eastAsia"/>
          <w:bCs/>
          <w:color w:val="auto"/>
          <w:highlight w:val="none"/>
        </w:rPr>
        <w:t>辽宁省</w:t>
      </w:r>
      <w:r>
        <w:rPr>
          <w:rFonts w:hint="eastAsia"/>
          <w:color w:val="auto"/>
          <w:highlight w:val="none"/>
        </w:rPr>
        <w:t>工程建设项目数字化开标评标系统）选择所投标段进行签到，并实时关注招标人的操作情况。</w:t>
      </w:r>
    </w:p>
    <w:p w14:paraId="4AF35C13">
      <w:pPr>
        <w:pStyle w:val="27"/>
        <w:spacing w:line="360" w:lineRule="exact"/>
        <w:rPr>
          <w:color w:val="auto"/>
          <w:highlight w:val="none"/>
        </w:rPr>
      </w:pPr>
      <w:bookmarkStart w:id="230" w:name="_Toc152045561"/>
      <w:bookmarkStart w:id="231" w:name="_Toc144974529"/>
      <w:bookmarkStart w:id="232" w:name="_Toc21212"/>
      <w:bookmarkStart w:id="233" w:name="_Toc166326874"/>
      <w:bookmarkStart w:id="234" w:name="_Toc152042337"/>
      <w:bookmarkStart w:id="235" w:name="_Toc179632579"/>
      <w:r>
        <w:rPr>
          <w:rFonts w:hint="eastAsia"/>
          <w:color w:val="auto"/>
          <w:highlight w:val="none"/>
        </w:rPr>
        <w:t>5.2 开标程序</w:t>
      </w:r>
      <w:bookmarkEnd w:id="230"/>
      <w:bookmarkEnd w:id="231"/>
      <w:bookmarkEnd w:id="232"/>
      <w:bookmarkEnd w:id="233"/>
      <w:bookmarkEnd w:id="234"/>
      <w:bookmarkEnd w:id="235"/>
    </w:p>
    <w:p w14:paraId="3F2FE0A1">
      <w:pPr>
        <w:spacing w:line="360" w:lineRule="exact"/>
        <w:ind w:firstLine="420" w:firstLineChars="200"/>
        <w:rPr>
          <w:color w:val="auto"/>
          <w:highlight w:val="none"/>
        </w:rPr>
      </w:pPr>
      <w:r>
        <w:rPr>
          <w:rFonts w:hint="eastAsia"/>
          <w:color w:val="auto"/>
          <w:highlight w:val="none"/>
        </w:rPr>
        <w:t>5.2.1 主持人按下列程序在电子招标投标系统（辽宁省工程建设项目数字化开标评标系统）进行开标：</w:t>
      </w:r>
    </w:p>
    <w:p w14:paraId="1440BBE4">
      <w:pPr>
        <w:spacing w:line="360" w:lineRule="exact"/>
        <w:ind w:firstLine="420" w:firstLineChars="200"/>
        <w:rPr>
          <w:color w:val="auto"/>
          <w:highlight w:val="none"/>
        </w:rPr>
      </w:pPr>
      <w:r>
        <w:rPr>
          <w:color w:val="auto"/>
          <w:highlight w:val="none"/>
        </w:rPr>
        <w:t>（1）宣布开标纪律；</w:t>
      </w:r>
    </w:p>
    <w:p w14:paraId="6C5AA393">
      <w:pPr>
        <w:spacing w:line="360" w:lineRule="exact"/>
        <w:ind w:firstLine="420" w:firstLineChars="200"/>
        <w:rPr>
          <w:color w:val="auto"/>
          <w:highlight w:val="none"/>
        </w:rPr>
      </w:pPr>
      <w:r>
        <w:rPr>
          <w:color w:val="auto"/>
          <w:highlight w:val="none"/>
        </w:rPr>
        <w:t>（2）公布</w:t>
      </w:r>
      <w:r>
        <w:rPr>
          <w:rFonts w:hint="eastAsia"/>
          <w:color w:val="auto"/>
          <w:highlight w:val="none"/>
        </w:rPr>
        <w:t>主持人、招标人代表、监标人</w:t>
      </w:r>
      <w:r>
        <w:rPr>
          <w:color w:val="auto"/>
          <w:highlight w:val="none"/>
        </w:rPr>
        <w:t>等有关人员</w:t>
      </w:r>
      <w:r>
        <w:rPr>
          <w:rFonts w:hint="eastAsia"/>
          <w:color w:val="auto"/>
          <w:highlight w:val="none"/>
        </w:rPr>
        <w:t>姓</w:t>
      </w:r>
      <w:r>
        <w:rPr>
          <w:color w:val="auto"/>
          <w:highlight w:val="none"/>
        </w:rPr>
        <w:t xml:space="preserve">名； </w:t>
      </w:r>
    </w:p>
    <w:p w14:paraId="4FD13286">
      <w:pPr>
        <w:spacing w:line="360" w:lineRule="exact"/>
        <w:ind w:firstLine="420" w:firstLineChars="200"/>
        <w:rPr>
          <w:color w:val="auto"/>
          <w:highlight w:val="none"/>
        </w:rPr>
      </w:pPr>
      <w:r>
        <w:rPr>
          <w:color w:val="auto"/>
          <w:highlight w:val="none"/>
        </w:rPr>
        <w:t>（</w:t>
      </w:r>
      <w:r>
        <w:rPr>
          <w:rFonts w:hint="eastAsia"/>
          <w:color w:val="auto"/>
          <w:highlight w:val="none"/>
        </w:rPr>
        <w:t>3</w:t>
      </w:r>
      <w:r>
        <w:rPr>
          <w:color w:val="auto"/>
          <w:highlight w:val="none"/>
        </w:rPr>
        <w:t>）</w:t>
      </w:r>
      <w:r>
        <w:rPr>
          <w:rFonts w:hint="eastAsia"/>
          <w:color w:val="auto"/>
          <w:highlight w:val="none"/>
        </w:rPr>
        <w:t>公布在投标截止时间前投标文件的递交情况；</w:t>
      </w:r>
    </w:p>
    <w:p w14:paraId="0D889266">
      <w:pPr>
        <w:spacing w:line="360" w:lineRule="exact"/>
        <w:ind w:firstLine="420" w:firstLineChars="200"/>
        <w:rPr>
          <w:color w:val="auto"/>
          <w:highlight w:val="none"/>
        </w:rPr>
      </w:pPr>
      <w:r>
        <w:rPr>
          <w:color w:val="auto"/>
          <w:highlight w:val="none"/>
        </w:rPr>
        <w:t>（</w:t>
      </w:r>
      <w:r>
        <w:rPr>
          <w:rFonts w:hint="eastAsia"/>
          <w:color w:val="auto"/>
          <w:highlight w:val="none"/>
        </w:rPr>
        <w:t>4</w:t>
      </w:r>
      <w:r>
        <w:rPr>
          <w:color w:val="auto"/>
          <w:highlight w:val="none"/>
        </w:rPr>
        <w:t>）</w:t>
      </w:r>
      <w:r>
        <w:rPr>
          <w:rFonts w:hint="eastAsia"/>
          <w:color w:val="auto"/>
          <w:szCs w:val="21"/>
          <w:highlight w:val="none"/>
        </w:rPr>
        <w:t>公布投标保证金递交情况（对担保保函、保证保险进行实时验真）；</w:t>
      </w:r>
    </w:p>
    <w:p w14:paraId="41237334">
      <w:pPr>
        <w:spacing w:line="360" w:lineRule="exact"/>
        <w:ind w:firstLine="420" w:firstLineChars="200"/>
        <w:rPr>
          <w:color w:val="auto"/>
          <w:highlight w:val="none"/>
        </w:rPr>
      </w:pPr>
      <w:r>
        <w:rPr>
          <w:color w:val="auto"/>
          <w:highlight w:val="none"/>
        </w:rPr>
        <w:t>（</w:t>
      </w:r>
      <w:r>
        <w:rPr>
          <w:rFonts w:hint="eastAsia"/>
          <w:color w:val="auto"/>
          <w:highlight w:val="none"/>
        </w:rPr>
        <w:t>5</w:t>
      </w:r>
      <w:r>
        <w:rPr>
          <w:color w:val="auto"/>
          <w:highlight w:val="none"/>
        </w:rPr>
        <w:t>）</w:t>
      </w:r>
      <w:r>
        <w:rPr>
          <w:color w:val="auto"/>
          <w:szCs w:val="21"/>
          <w:highlight w:val="none"/>
        </w:rPr>
        <w:t>投标人</w:t>
      </w:r>
      <w:r>
        <w:rPr>
          <w:rFonts w:hint="eastAsia"/>
          <w:color w:val="auto"/>
          <w:szCs w:val="21"/>
          <w:highlight w:val="none"/>
        </w:rPr>
        <w:t>根据提示</w:t>
      </w:r>
      <w:r>
        <w:rPr>
          <w:color w:val="auto"/>
          <w:szCs w:val="21"/>
          <w:highlight w:val="none"/>
        </w:rPr>
        <w:t>在</w:t>
      </w:r>
      <w:r>
        <w:rPr>
          <w:rFonts w:hint="eastAsia"/>
          <w:color w:val="auto"/>
          <w:szCs w:val="21"/>
          <w:highlight w:val="none"/>
        </w:rPr>
        <w:t>投标人须知前附表规定的时间内</w:t>
      </w:r>
      <w:r>
        <w:rPr>
          <w:color w:val="auto"/>
          <w:szCs w:val="21"/>
          <w:highlight w:val="none"/>
        </w:rPr>
        <w:t>解密投标文件</w:t>
      </w:r>
      <w:r>
        <w:rPr>
          <w:rFonts w:hint="eastAsia"/>
          <w:color w:val="auto"/>
          <w:szCs w:val="21"/>
          <w:highlight w:val="none"/>
        </w:rPr>
        <w:t>；</w:t>
      </w:r>
    </w:p>
    <w:p w14:paraId="4AC9DC9E">
      <w:pPr>
        <w:spacing w:line="360" w:lineRule="exact"/>
        <w:ind w:firstLine="420" w:firstLineChars="200"/>
        <w:rPr>
          <w:color w:val="auto"/>
          <w:highlight w:val="none"/>
        </w:rPr>
      </w:pPr>
      <w:r>
        <w:rPr>
          <w:rFonts w:hint="eastAsia"/>
          <w:color w:val="auto"/>
          <w:highlight w:val="none"/>
        </w:rPr>
        <w:t>（6）读取已解密</w:t>
      </w:r>
      <w:r>
        <w:rPr>
          <w:rFonts w:hint="eastAsia"/>
          <w:color w:val="auto"/>
          <w:szCs w:val="21"/>
          <w:highlight w:val="none"/>
        </w:rPr>
        <w:t>的投标文件的内容</w:t>
      </w:r>
      <w:r>
        <w:rPr>
          <w:rFonts w:hint="eastAsia"/>
          <w:color w:val="auto"/>
          <w:highlight w:val="none"/>
        </w:rPr>
        <w:t>；</w:t>
      </w:r>
    </w:p>
    <w:p w14:paraId="47A323EC">
      <w:pPr>
        <w:spacing w:line="360" w:lineRule="exact"/>
        <w:ind w:firstLine="420" w:firstLineChars="200"/>
        <w:rPr>
          <w:color w:val="auto"/>
          <w:highlight w:val="none"/>
        </w:rPr>
      </w:pPr>
      <w:r>
        <w:rPr>
          <w:color w:val="auto"/>
          <w:highlight w:val="none"/>
        </w:rPr>
        <w:t>（</w:t>
      </w:r>
      <w:r>
        <w:rPr>
          <w:rFonts w:hint="eastAsia"/>
          <w:color w:val="auto"/>
          <w:highlight w:val="none"/>
        </w:rPr>
        <w:t>7</w:t>
      </w:r>
      <w:r>
        <w:rPr>
          <w:color w:val="auto"/>
          <w:highlight w:val="none"/>
        </w:rPr>
        <w:t>）</w:t>
      </w:r>
      <w:r>
        <w:rPr>
          <w:rFonts w:hint="eastAsia"/>
          <w:color w:val="auto"/>
          <w:highlight w:val="none"/>
        </w:rPr>
        <w:t>公布</w:t>
      </w:r>
      <w:r>
        <w:rPr>
          <w:color w:val="auto"/>
          <w:highlight w:val="none"/>
        </w:rPr>
        <w:t>投标人名称、</w:t>
      </w:r>
      <w:r>
        <w:rPr>
          <w:rFonts w:hint="eastAsia"/>
          <w:color w:val="auto"/>
          <w:highlight w:val="none"/>
        </w:rPr>
        <w:t>标段名称、投标保证金的递交情况、</w:t>
      </w:r>
      <w:r>
        <w:rPr>
          <w:color w:val="auto"/>
          <w:highlight w:val="none"/>
        </w:rPr>
        <w:t>投标报价</w:t>
      </w:r>
      <w:r>
        <w:rPr>
          <w:rFonts w:hint="eastAsia"/>
          <w:color w:val="auto"/>
          <w:highlight w:val="none"/>
        </w:rPr>
        <w:t>、项目经理姓名及其他内容，并</w:t>
      </w:r>
      <w:r>
        <w:rPr>
          <w:rFonts w:hint="eastAsia"/>
          <w:bCs/>
          <w:iCs/>
          <w:color w:val="auto"/>
          <w:highlight w:val="none"/>
        </w:rPr>
        <w:t>生成开标记录</w:t>
      </w:r>
      <w:r>
        <w:rPr>
          <w:rFonts w:hint="eastAsia"/>
          <w:color w:val="auto"/>
          <w:highlight w:val="none"/>
        </w:rPr>
        <w:t>；</w:t>
      </w:r>
    </w:p>
    <w:p w14:paraId="785EAF46">
      <w:pPr>
        <w:spacing w:line="360" w:lineRule="exact"/>
        <w:ind w:firstLine="420" w:firstLineChars="200"/>
        <w:rPr>
          <w:color w:val="auto"/>
          <w:highlight w:val="none"/>
        </w:rPr>
      </w:pPr>
      <w:r>
        <w:rPr>
          <w:rFonts w:hint="eastAsia"/>
          <w:color w:val="auto"/>
          <w:highlight w:val="none"/>
        </w:rPr>
        <w:t>（8）投标人对开标记录进行确认；</w:t>
      </w:r>
    </w:p>
    <w:p w14:paraId="0254F5A5">
      <w:pPr>
        <w:spacing w:line="360" w:lineRule="exact"/>
        <w:ind w:firstLine="420" w:firstLineChars="200"/>
        <w:rPr>
          <w:color w:val="auto"/>
          <w:highlight w:val="none"/>
        </w:rPr>
      </w:pPr>
      <w:r>
        <w:rPr>
          <w:color w:val="auto"/>
          <w:highlight w:val="none"/>
        </w:rPr>
        <w:t>（9）开标结束。</w:t>
      </w:r>
    </w:p>
    <w:p w14:paraId="05CDECEA">
      <w:pPr>
        <w:spacing w:line="360" w:lineRule="exact"/>
        <w:ind w:firstLine="420" w:firstLineChars="200"/>
        <w:rPr>
          <w:color w:val="auto"/>
          <w:highlight w:val="none"/>
        </w:rPr>
      </w:pPr>
      <w:r>
        <w:rPr>
          <w:rFonts w:hint="eastAsia"/>
          <w:bCs/>
          <w:iCs/>
          <w:color w:val="auto"/>
          <w:highlight w:val="none"/>
        </w:rPr>
        <w:t>5</w:t>
      </w:r>
      <w:r>
        <w:rPr>
          <w:bCs/>
          <w:iCs/>
          <w:color w:val="auto"/>
          <w:highlight w:val="none"/>
        </w:rPr>
        <w:t>.2.2</w:t>
      </w:r>
      <w:r>
        <w:rPr>
          <w:rFonts w:hint="eastAsia"/>
          <w:color w:val="auto"/>
          <w:highlight w:val="none"/>
        </w:rPr>
        <w:t>生成开标记录后</w:t>
      </w:r>
      <w:r>
        <w:rPr>
          <w:color w:val="auto"/>
          <w:highlight w:val="none"/>
        </w:rPr>
        <w:t>10</w:t>
      </w:r>
      <w:r>
        <w:rPr>
          <w:rFonts w:hint="eastAsia"/>
          <w:color w:val="auto"/>
          <w:highlight w:val="none"/>
        </w:rPr>
        <w:t>分钟内，投标人通过电子招标投标系统（辽宁省工程建设项目数字化开标评标系统）对开标结果予以确认。未在规定时间内确认或未确认的视为对开标过程及结果无异议。</w:t>
      </w:r>
    </w:p>
    <w:p w14:paraId="0C32E10B">
      <w:pPr>
        <w:spacing w:line="360" w:lineRule="exact"/>
        <w:ind w:firstLine="420" w:firstLineChars="200"/>
        <w:rPr>
          <w:bCs/>
          <w:iCs/>
          <w:color w:val="auto"/>
          <w:highlight w:val="none"/>
        </w:rPr>
      </w:pPr>
      <w:r>
        <w:rPr>
          <w:rFonts w:hint="eastAsia"/>
          <w:color w:val="auto"/>
          <w:highlight w:val="none"/>
        </w:rPr>
        <w:t>5.2.</w:t>
      </w:r>
      <w:r>
        <w:rPr>
          <w:color w:val="auto"/>
          <w:highlight w:val="none"/>
        </w:rPr>
        <w:t>3</w:t>
      </w:r>
      <w:bookmarkStart w:id="236" w:name="_Hlk161477723"/>
      <w:r>
        <w:rPr>
          <w:rFonts w:hint="eastAsia"/>
          <w:bCs/>
          <w:iCs/>
          <w:color w:val="auto"/>
          <w:highlight w:val="none"/>
        </w:rPr>
        <w:t>在本章第5.2.1（5）目规定的时间内，已解密的投标文件少于三个的，招标失败；已解密的投标文件不少于三个，开标</w:t>
      </w:r>
      <w:r>
        <w:rPr>
          <w:rFonts w:hint="eastAsia"/>
          <w:color w:val="auto"/>
          <w:highlight w:val="none"/>
        </w:rPr>
        <w:t>继续</w:t>
      </w:r>
      <w:r>
        <w:rPr>
          <w:rFonts w:hint="eastAsia"/>
          <w:bCs/>
          <w:iCs/>
          <w:color w:val="auto"/>
          <w:highlight w:val="none"/>
        </w:rPr>
        <w:t>进行。</w:t>
      </w:r>
    </w:p>
    <w:p w14:paraId="1706AD37">
      <w:pPr>
        <w:spacing w:line="360" w:lineRule="exact"/>
        <w:ind w:firstLine="420" w:firstLineChars="200"/>
        <w:rPr>
          <w:bCs/>
          <w:iCs/>
          <w:color w:val="auto"/>
          <w:highlight w:val="none"/>
        </w:rPr>
      </w:pPr>
      <w:r>
        <w:rPr>
          <w:rFonts w:hint="eastAsia"/>
          <w:bCs/>
          <w:iCs/>
          <w:color w:val="auto"/>
          <w:highlight w:val="none"/>
        </w:rPr>
        <w:t>因投标人原因（如数字证书（CA）损坏或密码丢失或输入错误、投标人自身网络中断等非开标系统原因）造成投标文件未解密的，视为投标人撤回投标文件。</w:t>
      </w:r>
    </w:p>
    <w:p w14:paraId="5EAD2902">
      <w:pPr>
        <w:spacing w:line="360" w:lineRule="exact"/>
        <w:ind w:firstLine="420" w:firstLineChars="200"/>
        <w:rPr>
          <w:bCs/>
          <w:iCs/>
          <w:color w:val="auto"/>
          <w:highlight w:val="none"/>
        </w:rPr>
      </w:pPr>
      <w:r>
        <w:rPr>
          <w:rFonts w:hint="eastAsia"/>
          <w:bCs/>
          <w:iCs/>
          <w:color w:val="auto"/>
          <w:highlight w:val="none"/>
        </w:rPr>
        <w:t>因投标人之外原因，如因网络、开标系统故障等非投标人自身原因，招标代理机构工作人员应及时将情况反馈到交易平台运营单位、项目监管部门以及相关技术服务单位，在监管部门指导下将立即启动应急响应机制，积极排查和解决问题，投标人应予以配合，监管部门应根据现场实际适当延长解密时间。</w:t>
      </w:r>
      <w:bookmarkEnd w:id="236"/>
    </w:p>
    <w:p w14:paraId="6C6CB173">
      <w:pPr>
        <w:pStyle w:val="27"/>
        <w:spacing w:line="360" w:lineRule="exact"/>
        <w:rPr>
          <w:color w:val="auto"/>
          <w:highlight w:val="none"/>
        </w:rPr>
      </w:pPr>
      <w:bookmarkStart w:id="237" w:name="_Toc300834983"/>
      <w:bookmarkStart w:id="238" w:name="_Toc166326875"/>
      <w:bookmarkStart w:id="239" w:name="_Toc6485"/>
      <w:r>
        <w:rPr>
          <w:rFonts w:hint="eastAsia"/>
          <w:color w:val="auto"/>
          <w:highlight w:val="none"/>
        </w:rPr>
        <w:t>5.3 开标异议</w:t>
      </w:r>
      <w:bookmarkEnd w:id="237"/>
      <w:bookmarkEnd w:id="238"/>
      <w:bookmarkEnd w:id="239"/>
    </w:p>
    <w:p w14:paraId="25346D55">
      <w:pPr>
        <w:spacing w:line="360" w:lineRule="exact"/>
        <w:ind w:firstLine="420" w:firstLineChars="200"/>
        <w:rPr>
          <w:color w:val="auto"/>
          <w:highlight w:val="none"/>
        </w:rPr>
      </w:pPr>
      <w:r>
        <w:rPr>
          <w:rFonts w:hint="eastAsia"/>
          <w:color w:val="auto"/>
          <w:highlight w:val="none"/>
        </w:rPr>
        <w:t>5.3.1投标人对开标有异议的，应当在开标过程中提出；招标人当场对异议作出答复，并记入开标记录。异议与答复应通过电子招标投标系统（辽宁省工程建设项目数字化开标评标系统）以书面形式进行。</w:t>
      </w:r>
    </w:p>
    <w:p w14:paraId="28506E99">
      <w:pPr>
        <w:spacing w:line="360" w:lineRule="exact"/>
        <w:ind w:firstLine="420" w:firstLineChars="200"/>
        <w:rPr>
          <w:color w:val="auto"/>
          <w:highlight w:val="none"/>
        </w:rPr>
      </w:pPr>
      <w:r>
        <w:rPr>
          <w:rFonts w:hint="eastAsia"/>
          <w:color w:val="auto"/>
          <w:highlight w:val="none"/>
        </w:rPr>
        <w:t>本</w:t>
      </w:r>
      <w:r>
        <w:rPr>
          <w:rFonts w:hint="eastAsia"/>
          <w:color w:val="auto"/>
          <w:highlight w:val="none"/>
          <w:lang w:val="en-US" w:eastAsia="zh-CN"/>
        </w:rPr>
        <w:t>条</w:t>
      </w:r>
      <w:r>
        <w:rPr>
          <w:rFonts w:hint="eastAsia"/>
          <w:color w:val="auto"/>
          <w:highlight w:val="none"/>
        </w:rPr>
        <w:t>所称异议是指投标人在</w:t>
      </w:r>
      <w:r>
        <w:rPr>
          <w:color w:val="auto"/>
          <w:highlight w:val="none"/>
        </w:rPr>
        <w:t>开标</w:t>
      </w:r>
      <w:r>
        <w:rPr>
          <w:rFonts w:hint="eastAsia"/>
          <w:color w:val="auto"/>
          <w:highlight w:val="none"/>
        </w:rPr>
        <w:t>过程中</w:t>
      </w:r>
      <w:r>
        <w:rPr>
          <w:color w:val="auto"/>
          <w:highlight w:val="none"/>
        </w:rPr>
        <w:t>对投标文件提交、</w:t>
      </w:r>
      <w:r>
        <w:rPr>
          <w:rFonts w:hint="eastAsia"/>
          <w:color w:val="auto"/>
          <w:highlight w:val="none"/>
        </w:rPr>
        <w:t>投标</w:t>
      </w:r>
      <w:r>
        <w:rPr>
          <w:color w:val="auto"/>
          <w:highlight w:val="none"/>
        </w:rPr>
        <w:t>截</w:t>
      </w:r>
      <w:r>
        <w:rPr>
          <w:rFonts w:hint="eastAsia"/>
          <w:color w:val="auto"/>
          <w:highlight w:val="none"/>
        </w:rPr>
        <w:t>止</w:t>
      </w:r>
      <w:r>
        <w:rPr>
          <w:color w:val="auto"/>
          <w:highlight w:val="none"/>
        </w:rPr>
        <w:t>时间、开标程序、开标记录以及投标人和招标人或者投标人相互之间存在利益冲突的情形等</w:t>
      </w:r>
      <w:r>
        <w:rPr>
          <w:rFonts w:hint="eastAsia"/>
          <w:color w:val="auto"/>
          <w:highlight w:val="none"/>
        </w:rPr>
        <w:t>提出的质疑。</w:t>
      </w:r>
    </w:p>
    <w:p w14:paraId="3275261A">
      <w:pPr>
        <w:spacing w:line="360" w:lineRule="exact"/>
        <w:ind w:firstLine="420" w:firstLineChars="200"/>
        <w:rPr>
          <w:color w:val="auto"/>
          <w:highlight w:val="none"/>
        </w:rPr>
      </w:pPr>
      <w:r>
        <w:rPr>
          <w:rFonts w:hint="eastAsia"/>
          <w:color w:val="auto"/>
          <w:highlight w:val="none"/>
        </w:rPr>
        <w:t xml:space="preserve">5.3.2 </w:t>
      </w:r>
      <w:r>
        <w:rPr>
          <w:color w:val="auto"/>
          <w:highlight w:val="none"/>
        </w:rPr>
        <w:t>投标人异议成立的，招标人</w:t>
      </w:r>
      <w:r>
        <w:rPr>
          <w:rFonts w:hint="eastAsia"/>
          <w:color w:val="auto"/>
          <w:highlight w:val="none"/>
        </w:rPr>
        <w:t>将</w:t>
      </w:r>
      <w:r>
        <w:rPr>
          <w:color w:val="auto"/>
          <w:highlight w:val="none"/>
        </w:rPr>
        <w:t>及时采取纠正措施，或者提交评标委员会评审确认；投标人异议不成立的，招标人</w:t>
      </w:r>
      <w:r>
        <w:rPr>
          <w:rFonts w:hint="eastAsia"/>
          <w:color w:val="auto"/>
          <w:highlight w:val="none"/>
        </w:rPr>
        <w:t>将</w:t>
      </w:r>
      <w:r>
        <w:rPr>
          <w:color w:val="auto"/>
          <w:highlight w:val="none"/>
        </w:rPr>
        <w:t>当场给予解释说明。</w:t>
      </w:r>
    </w:p>
    <w:p w14:paraId="320FD0E3">
      <w:pPr>
        <w:spacing w:line="360" w:lineRule="exact"/>
        <w:ind w:firstLine="420" w:firstLineChars="200"/>
        <w:rPr>
          <w:color w:val="auto"/>
          <w:highlight w:val="none"/>
        </w:rPr>
      </w:pPr>
      <w:r>
        <w:rPr>
          <w:rFonts w:hint="eastAsia"/>
          <w:color w:val="auto"/>
          <w:highlight w:val="none"/>
        </w:rPr>
        <w:t>5</w:t>
      </w:r>
      <w:r>
        <w:rPr>
          <w:color w:val="auto"/>
          <w:highlight w:val="none"/>
        </w:rPr>
        <w:t>.3.3</w:t>
      </w:r>
      <w:r>
        <w:rPr>
          <w:rFonts w:hint="eastAsia"/>
          <w:color w:val="auto"/>
          <w:highlight w:val="none"/>
        </w:rPr>
        <w:t>投标人未</w:t>
      </w:r>
      <w:r>
        <w:rPr>
          <w:rFonts w:hint="eastAsia"/>
          <w:color w:val="auto"/>
          <w:highlight w:val="none"/>
          <w:lang w:val="en-US" w:eastAsia="zh-CN"/>
        </w:rPr>
        <w:t>在开标</w:t>
      </w:r>
      <w:r>
        <w:rPr>
          <w:rFonts w:hint="eastAsia"/>
          <w:color w:val="auto"/>
          <w:highlight w:val="none"/>
        </w:rPr>
        <w:t>现场提出异议，视为异议权利灭失，不可再对开标提出异议。</w:t>
      </w:r>
    </w:p>
    <w:p w14:paraId="010BDBB0">
      <w:pPr>
        <w:pStyle w:val="27"/>
        <w:spacing w:line="360" w:lineRule="exact"/>
        <w:rPr>
          <w:color w:val="auto"/>
          <w:highlight w:val="none"/>
        </w:rPr>
      </w:pPr>
      <w:bookmarkStart w:id="240" w:name="_Toc20302"/>
      <w:bookmarkStart w:id="241" w:name="_Toc166326876"/>
      <w:bookmarkStart w:id="242" w:name="_Toc402465011"/>
      <w:bookmarkStart w:id="243" w:name="_Toc400530224"/>
      <w:r>
        <w:rPr>
          <w:color w:val="auto"/>
          <w:highlight w:val="none"/>
        </w:rPr>
        <w:t>5.</w:t>
      </w:r>
      <w:r>
        <w:rPr>
          <w:rFonts w:hint="eastAsia"/>
          <w:color w:val="auto"/>
          <w:highlight w:val="none"/>
        </w:rPr>
        <w:t xml:space="preserve">4 </w:t>
      </w:r>
      <w:r>
        <w:rPr>
          <w:color w:val="auto"/>
          <w:highlight w:val="none"/>
        </w:rPr>
        <w:t>特殊情况的处置</w:t>
      </w:r>
      <w:bookmarkEnd w:id="240"/>
      <w:bookmarkEnd w:id="241"/>
    </w:p>
    <w:p w14:paraId="2FDD9921">
      <w:pPr>
        <w:spacing w:line="360" w:lineRule="exact"/>
        <w:ind w:firstLine="420" w:firstLineChars="200"/>
        <w:rPr>
          <w:color w:val="auto"/>
          <w:highlight w:val="none"/>
        </w:rPr>
      </w:pPr>
      <w:r>
        <w:rPr>
          <w:rFonts w:hint="eastAsia"/>
          <w:color w:val="auto"/>
          <w:highlight w:val="none"/>
        </w:rPr>
        <w:t>5.4.1</w:t>
      </w:r>
      <w:r>
        <w:rPr>
          <w:color w:val="auto"/>
          <w:highlight w:val="none"/>
        </w:rPr>
        <w:t>因</w:t>
      </w:r>
      <w:r>
        <w:rPr>
          <w:rFonts w:hint="eastAsia"/>
          <w:bCs/>
          <w:iCs/>
          <w:color w:val="auto"/>
          <w:highlight w:val="none"/>
        </w:rPr>
        <w:t>电</w:t>
      </w:r>
      <w:r>
        <w:rPr>
          <w:rFonts w:hint="eastAsia"/>
          <w:color w:val="auto"/>
          <w:highlight w:val="none"/>
        </w:rPr>
        <w:t>子招标投标系统（辽宁省工程建设项目数字化开标评标系统）故障</w:t>
      </w:r>
      <w:r>
        <w:rPr>
          <w:color w:val="auto"/>
          <w:highlight w:val="none"/>
        </w:rPr>
        <w:t>导致</w:t>
      </w:r>
      <w:r>
        <w:rPr>
          <w:rFonts w:hint="eastAsia"/>
          <w:color w:val="auto"/>
          <w:highlight w:val="none"/>
        </w:rPr>
        <w:t>无法投标的，管理部门及时通知招标人，招标人视情况决定是否顺延投标截止时间。</w:t>
      </w:r>
      <w:r>
        <w:rPr>
          <w:color w:val="auto"/>
          <w:highlight w:val="none"/>
        </w:rPr>
        <w:t>因投标人自身</w:t>
      </w:r>
      <w:r>
        <w:rPr>
          <w:rFonts w:hint="eastAsia"/>
          <w:color w:val="auto"/>
          <w:highlight w:val="none"/>
        </w:rPr>
        <w:t>原因</w:t>
      </w:r>
      <w:r>
        <w:rPr>
          <w:color w:val="auto"/>
          <w:highlight w:val="none"/>
        </w:rPr>
        <w:t>导致无法完成投标的，由投标人自行承担后果。</w:t>
      </w:r>
    </w:p>
    <w:p w14:paraId="182FBBFC">
      <w:pPr>
        <w:spacing w:line="360" w:lineRule="exact"/>
        <w:ind w:firstLine="420" w:firstLineChars="200"/>
        <w:rPr>
          <w:color w:val="auto"/>
          <w:highlight w:val="none"/>
        </w:rPr>
      </w:pPr>
      <w:r>
        <w:rPr>
          <w:rFonts w:hint="eastAsia"/>
          <w:color w:val="auto"/>
          <w:highlight w:val="none"/>
        </w:rPr>
        <w:t>5.4.2</w:t>
      </w:r>
      <w:r>
        <w:rPr>
          <w:color w:val="auto"/>
          <w:highlight w:val="none"/>
        </w:rPr>
        <w:t>因</w:t>
      </w:r>
      <w:r>
        <w:rPr>
          <w:rFonts w:hint="eastAsia"/>
          <w:color w:val="auto"/>
          <w:highlight w:val="none"/>
        </w:rPr>
        <w:t>电子招标投标系统（辽宁省工程建设项目数字化开标评标系统）故障</w:t>
      </w:r>
      <w:r>
        <w:rPr>
          <w:color w:val="auto"/>
          <w:highlight w:val="none"/>
        </w:rPr>
        <w:t>导致</w:t>
      </w:r>
      <w:r>
        <w:rPr>
          <w:rFonts w:hint="eastAsia"/>
          <w:color w:val="auto"/>
          <w:highlight w:val="none"/>
        </w:rPr>
        <w:t>无法正常开标的，招标人将</w:t>
      </w:r>
      <w:r>
        <w:rPr>
          <w:color w:val="auto"/>
          <w:highlight w:val="none"/>
        </w:rPr>
        <w:t>暂停开标</w:t>
      </w:r>
      <w:r>
        <w:rPr>
          <w:rFonts w:hint="eastAsia"/>
          <w:color w:val="auto"/>
          <w:highlight w:val="none"/>
        </w:rPr>
        <w:t>，待系统恢复</w:t>
      </w:r>
      <w:r>
        <w:rPr>
          <w:color w:val="auto"/>
          <w:highlight w:val="none"/>
        </w:rPr>
        <w:t>正常</w:t>
      </w:r>
      <w:r>
        <w:rPr>
          <w:rFonts w:hint="eastAsia"/>
          <w:color w:val="auto"/>
          <w:highlight w:val="none"/>
        </w:rPr>
        <w:t>后继续开标。</w:t>
      </w:r>
    </w:p>
    <w:p w14:paraId="12BA31AC">
      <w:pPr>
        <w:spacing w:line="360" w:lineRule="exact"/>
        <w:ind w:firstLine="420" w:firstLineChars="200"/>
        <w:rPr>
          <w:color w:val="auto"/>
          <w:highlight w:val="none"/>
        </w:rPr>
      </w:pPr>
      <w:r>
        <w:rPr>
          <w:rFonts w:hint="eastAsia"/>
          <w:color w:val="auto"/>
          <w:highlight w:val="none"/>
        </w:rPr>
        <w:t>电子招标投标系统（辽宁省工程建设项目数字化开标评标系统）</w:t>
      </w:r>
      <w:r>
        <w:rPr>
          <w:rFonts w:hint="eastAsia"/>
          <w:bCs/>
          <w:color w:val="auto"/>
          <w:highlight w:val="none"/>
        </w:rPr>
        <w:t>技术服务单位将立即启动应急响应机制，积极排查系统故障，解决问题。</w:t>
      </w:r>
    </w:p>
    <w:p w14:paraId="5CC06754">
      <w:pPr>
        <w:spacing w:line="360" w:lineRule="exact"/>
        <w:ind w:firstLine="420" w:firstLineChars="200"/>
        <w:rPr>
          <w:color w:val="auto"/>
          <w:highlight w:val="none"/>
        </w:rPr>
      </w:pPr>
      <w:r>
        <w:rPr>
          <w:rFonts w:hint="eastAsia"/>
          <w:color w:val="auto"/>
          <w:highlight w:val="none"/>
        </w:rPr>
        <w:t>5.4.3 电子招标投标系统（辽宁省工程建设项目数字化开标评标系统）故障是指下列情形：</w:t>
      </w:r>
    </w:p>
    <w:p w14:paraId="373B802D">
      <w:pPr>
        <w:spacing w:line="360" w:lineRule="exact"/>
        <w:ind w:firstLine="420" w:firstLineChars="200"/>
        <w:rPr>
          <w:color w:val="auto"/>
          <w:highlight w:val="none"/>
        </w:rPr>
      </w:pPr>
      <w:r>
        <w:rPr>
          <w:color w:val="auto"/>
          <w:highlight w:val="none"/>
        </w:rPr>
        <w:t>（1）系统服务器发生故障，无法访问或无法使用系统；</w:t>
      </w:r>
    </w:p>
    <w:p w14:paraId="37B99188">
      <w:pPr>
        <w:spacing w:line="360" w:lineRule="exact"/>
        <w:ind w:firstLine="420" w:firstLineChars="200"/>
        <w:rPr>
          <w:color w:val="auto"/>
          <w:highlight w:val="none"/>
        </w:rPr>
      </w:pPr>
      <w:r>
        <w:rPr>
          <w:color w:val="auto"/>
          <w:highlight w:val="none"/>
        </w:rPr>
        <w:t>（2）系统的软件或数据库出现错误，不能进行正常操作；</w:t>
      </w:r>
    </w:p>
    <w:p w14:paraId="3544DE72">
      <w:pPr>
        <w:spacing w:line="360" w:lineRule="exact"/>
        <w:ind w:firstLine="420" w:firstLineChars="200"/>
        <w:rPr>
          <w:color w:val="auto"/>
          <w:highlight w:val="none"/>
        </w:rPr>
      </w:pPr>
      <w:r>
        <w:rPr>
          <w:color w:val="auto"/>
          <w:highlight w:val="none"/>
        </w:rPr>
        <w:t>（3）系统发现有安全漏洞，有潜在的泄密危险；</w:t>
      </w:r>
    </w:p>
    <w:p w14:paraId="44212428">
      <w:pPr>
        <w:spacing w:line="360" w:lineRule="exact"/>
        <w:ind w:firstLine="420" w:firstLineChars="200"/>
        <w:rPr>
          <w:color w:val="auto"/>
          <w:highlight w:val="none"/>
        </w:rPr>
      </w:pPr>
      <w:r>
        <w:rPr>
          <w:rFonts w:hint="eastAsia"/>
          <w:color w:val="auto"/>
          <w:highlight w:val="none"/>
        </w:rPr>
        <w:t>（4）系统出现网络攻击；</w:t>
      </w:r>
    </w:p>
    <w:p w14:paraId="29C5E1D5">
      <w:pPr>
        <w:spacing w:line="360" w:lineRule="exact"/>
        <w:ind w:firstLine="420" w:firstLineChars="200"/>
        <w:rPr>
          <w:color w:val="auto"/>
          <w:highlight w:val="none"/>
        </w:rPr>
      </w:pPr>
      <w:r>
        <w:rPr>
          <w:rFonts w:hint="eastAsia"/>
          <w:color w:val="auto"/>
          <w:highlight w:val="none"/>
        </w:rPr>
        <w:t>（</w:t>
      </w:r>
      <w:r>
        <w:rPr>
          <w:color w:val="auto"/>
          <w:highlight w:val="none"/>
        </w:rPr>
        <w:t>5</w:t>
      </w:r>
      <w:r>
        <w:rPr>
          <w:rFonts w:hint="eastAsia"/>
          <w:color w:val="auto"/>
          <w:highlight w:val="none"/>
        </w:rPr>
        <w:t>）出现断电、断网事故；</w:t>
      </w:r>
    </w:p>
    <w:p w14:paraId="474EFA43">
      <w:pPr>
        <w:spacing w:line="360" w:lineRule="exact"/>
        <w:ind w:firstLine="420" w:firstLineChars="200"/>
        <w:rPr>
          <w:color w:val="auto"/>
          <w:highlight w:val="none"/>
        </w:rPr>
      </w:pPr>
      <w:r>
        <w:rPr>
          <w:rFonts w:hint="eastAsia"/>
          <w:color w:val="auto"/>
          <w:highlight w:val="none"/>
        </w:rPr>
        <w:t>（6）出现法定不可抗力因素；</w:t>
      </w:r>
    </w:p>
    <w:p w14:paraId="77E8A4FD">
      <w:pPr>
        <w:spacing w:line="360" w:lineRule="exact"/>
        <w:ind w:firstLine="420" w:firstLineChars="200"/>
        <w:rPr>
          <w:color w:val="auto"/>
          <w:highlight w:val="none"/>
        </w:rPr>
      </w:pPr>
      <w:r>
        <w:rPr>
          <w:color w:val="auto"/>
          <w:highlight w:val="none"/>
        </w:rPr>
        <w:t>（7）其他无法保证招投标过程</w:t>
      </w:r>
      <w:r>
        <w:rPr>
          <w:rFonts w:hint="eastAsia"/>
          <w:color w:val="auto"/>
          <w:highlight w:val="none"/>
        </w:rPr>
        <w:t>正常进行</w:t>
      </w:r>
      <w:r>
        <w:rPr>
          <w:color w:val="auto"/>
          <w:highlight w:val="none"/>
        </w:rPr>
        <w:t>的情形。</w:t>
      </w:r>
      <w:bookmarkEnd w:id="242"/>
      <w:bookmarkEnd w:id="243"/>
    </w:p>
    <w:p w14:paraId="439804CC">
      <w:pPr>
        <w:pStyle w:val="25"/>
        <w:spacing w:line="360" w:lineRule="exact"/>
        <w:rPr>
          <w:color w:val="auto"/>
          <w:highlight w:val="none"/>
        </w:rPr>
      </w:pPr>
      <w:bookmarkStart w:id="244" w:name="_Toc13162"/>
      <w:bookmarkStart w:id="245" w:name="_Toc144974530"/>
      <w:bookmarkStart w:id="246" w:name="_Toc152045562"/>
      <w:bookmarkStart w:id="247" w:name="_Toc179632580"/>
      <w:bookmarkStart w:id="248" w:name="_Toc166326877"/>
      <w:bookmarkStart w:id="249" w:name="_Toc152042338"/>
      <w:r>
        <w:rPr>
          <w:rFonts w:hint="eastAsia"/>
          <w:color w:val="auto"/>
          <w:highlight w:val="none"/>
        </w:rPr>
        <w:t>6. 评标</w:t>
      </w:r>
      <w:bookmarkEnd w:id="244"/>
      <w:bookmarkEnd w:id="245"/>
      <w:bookmarkEnd w:id="246"/>
      <w:bookmarkEnd w:id="247"/>
      <w:bookmarkEnd w:id="248"/>
      <w:bookmarkEnd w:id="249"/>
    </w:p>
    <w:p w14:paraId="1B4A5D20">
      <w:pPr>
        <w:pStyle w:val="27"/>
        <w:spacing w:line="360" w:lineRule="exact"/>
        <w:rPr>
          <w:color w:val="auto"/>
          <w:highlight w:val="none"/>
        </w:rPr>
      </w:pPr>
      <w:bookmarkStart w:id="250" w:name="_Toc152042339"/>
      <w:bookmarkStart w:id="251" w:name="_Toc166326878"/>
      <w:bookmarkStart w:id="252" w:name="_Toc144974531"/>
      <w:bookmarkStart w:id="253" w:name="_Toc20080"/>
      <w:bookmarkStart w:id="254" w:name="_Toc152045563"/>
      <w:bookmarkStart w:id="255" w:name="_Toc179632581"/>
      <w:r>
        <w:rPr>
          <w:rFonts w:hint="eastAsia"/>
          <w:color w:val="auto"/>
          <w:highlight w:val="none"/>
        </w:rPr>
        <w:t>6.1 评标委员会</w:t>
      </w:r>
      <w:bookmarkEnd w:id="250"/>
      <w:bookmarkEnd w:id="251"/>
      <w:bookmarkEnd w:id="252"/>
      <w:bookmarkEnd w:id="253"/>
      <w:bookmarkEnd w:id="254"/>
      <w:bookmarkEnd w:id="255"/>
    </w:p>
    <w:p w14:paraId="2A2501C3">
      <w:pPr>
        <w:spacing w:line="360" w:lineRule="exact"/>
        <w:ind w:firstLine="420" w:firstLineChars="200"/>
        <w:rPr>
          <w:color w:val="auto"/>
          <w:highlight w:val="none"/>
        </w:rPr>
      </w:pPr>
      <w:r>
        <w:rPr>
          <w:rFonts w:hint="eastAsia"/>
          <w:color w:val="auto"/>
          <w:highlight w:val="none"/>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6401F60B">
      <w:pPr>
        <w:spacing w:line="360" w:lineRule="exact"/>
        <w:ind w:firstLine="420" w:firstLineChars="200"/>
        <w:rPr>
          <w:color w:val="auto"/>
          <w:highlight w:val="none"/>
        </w:rPr>
      </w:pPr>
      <w:r>
        <w:rPr>
          <w:rFonts w:hint="eastAsia"/>
          <w:color w:val="auto"/>
          <w:highlight w:val="none"/>
        </w:rPr>
        <w:t>6.1.2 评标委员会成员有下列情形之一的，应当回避：</w:t>
      </w:r>
    </w:p>
    <w:p w14:paraId="32A47C0E">
      <w:pPr>
        <w:spacing w:line="360" w:lineRule="exact"/>
        <w:ind w:firstLine="420" w:firstLineChars="200"/>
        <w:rPr>
          <w:color w:val="auto"/>
          <w:highlight w:val="none"/>
        </w:rPr>
      </w:pPr>
      <w:r>
        <w:rPr>
          <w:rFonts w:hint="eastAsia"/>
          <w:color w:val="auto"/>
          <w:highlight w:val="none"/>
        </w:rPr>
        <w:t>（1）投标人或投标人的主要负责人的近亲属；</w:t>
      </w:r>
    </w:p>
    <w:p w14:paraId="307848AF">
      <w:pPr>
        <w:spacing w:line="360" w:lineRule="exact"/>
        <w:ind w:firstLine="420" w:firstLineChars="200"/>
        <w:rPr>
          <w:color w:val="auto"/>
          <w:highlight w:val="none"/>
        </w:rPr>
      </w:pPr>
      <w:r>
        <w:rPr>
          <w:rFonts w:hint="eastAsia"/>
          <w:color w:val="auto"/>
          <w:highlight w:val="none"/>
        </w:rPr>
        <w:t>（2）项目主管部门或者行政监督部门的人员；</w:t>
      </w:r>
    </w:p>
    <w:p w14:paraId="6AB62C2C">
      <w:pPr>
        <w:spacing w:line="360" w:lineRule="exact"/>
        <w:ind w:firstLine="420" w:firstLineChars="200"/>
        <w:rPr>
          <w:color w:val="auto"/>
          <w:highlight w:val="none"/>
        </w:rPr>
      </w:pPr>
      <w:r>
        <w:rPr>
          <w:rFonts w:hint="eastAsia"/>
          <w:color w:val="auto"/>
          <w:highlight w:val="none"/>
        </w:rPr>
        <w:t>（3）与投标人有经济利益关系或其他利害关系，可能影响对投标公正评审的；</w:t>
      </w:r>
    </w:p>
    <w:p w14:paraId="01F2C790">
      <w:pPr>
        <w:spacing w:line="360" w:lineRule="exact"/>
        <w:ind w:firstLine="420" w:firstLineChars="200"/>
        <w:rPr>
          <w:color w:val="auto"/>
          <w:highlight w:val="none"/>
        </w:rPr>
      </w:pPr>
      <w:r>
        <w:rPr>
          <w:rFonts w:hint="eastAsia"/>
          <w:color w:val="auto"/>
          <w:highlight w:val="none"/>
        </w:rPr>
        <w:t>（4）曾因在招标、评标以及其他与招标投标有关活动中从事违法行为而受过行政处罚或刑事处罚的。</w:t>
      </w:r>
    </w:p>
    <w:p w14:paraId="158A0F3C">
      <w:pPr>
        <w:pStyle w:val="27"/>
        <w:tabs>
          <w:tab w:val="left" w:pos="2620"/>
        </w:tabs>
        <w:spacing w:line="360" w:lineRule="exact"/>
        <w:rPr>
          <w:color w:val="auto"/>
          <w:highlight w:val="none"/>
        </w:rPr>
      </w:pPr>
      <w:bookmarkStart w:id="256" w:name="_Toc23299"/>
      <w:bookmarkStart w:id="257" w:name="_Toc166326879"/>
      <w:bookmarkStart w:id="258" w:name="_Toc144974532"/>
      <w:bookmarkStart w:id="259" w:name="_Toc179632582"/>
      <w:bookmarkStart w:id="260" w:name="_Toc152042340"/>
      <w:bookmarkStart w:id="261" w:name="_Toc152045564"/>
      <w:r>
        <w:rPr>
          <w:rFonts w:hint="eastAsia"/>
          <w:color w:val="auto"/>
          <w:highlight w:val="none"/>
        </w:rPr>
        <w:t>6.2 评标原则</w:t>
      </w:r>
      <w:bookmarkEnd w:id="256"/>
      <w:bookmarkEnd w:id="257"/>
      <w:bookmarkEnd w:id="258"/>
      <w:bookmarkEnd w:id="259"/>
      <w:bookmarkEnd w:id="260"/>
      <w:bookmarkEnd w:id="261"/>
    </w:p>
    <w:p w14:paraId="06E2C015">
      <w:pPr>
        <w:spacing w:line="360" w:lineRule="exact"/>
        <w:ind w:firstLine="420" w:firstLineChars="200"/>
        <w:rPr>
          <w:color w:val="auto"/>
          <w:highlight w:val="none"/>
        </w:rPr>
      </w:pPr>
      <w:r>
        <w:rPr>
          <w:rFonts w:hint="eastAsia"/>
          <w:color w:val="auto"/>
          <w:highlight w:val="none"/>
        </w:rPr>
        <w:t>评标活动遵循公平、公正、科学和择优的原则。</w:t>
      </w:r>
    </w:p>
    <w:p w14:paraId="0138C81B">
      <w:pPr>
        <w:pStyle w:val="27"/>
        <w:spacing w:line="360" w:lineRule="exact"/>
        <w:rPr>
          <w:color w:val="auto"/>
          <w:highlight w:val="none"/>
        </w:rPr>
      </w:pPr>
      <w:bookmarkStart w:id="262" w:name="_Toc179632583"/>
      <w:bookmarkStart w:id="263" w:name="_Toc152045565"/>
      <w:bookmarkStart w:id="264" w:name="_Toc144974533"/>
      <w:bookmarkStart w:id="265" w:name="_Toc152042341"/>
      <w:bookmarkStart w:id="266" w:name="_Toc166326880"/>
      <w:bookmarkStart w:id="267" w:name="_Toc16716"/>
      <w:r>
        <w:rPr>
          <w:rFonts w:hint="eastAsia"/>
          <w:color w:val="auto"/>
          <w:highlight w:val="none"/>
        </w:rPr>
        <w:t>6.3 评标</w:t>
      </w:r>
      <w:bookmarkEnd w:id="262"/>
      <w:bookmarkEnd w:id="263"/>
      <w:bookmarkEnd w:id="264"/>
      <w:bookmarkEnd w:id="265"/>
      <w:bookmarkEnd w:id="266"/>
      <w:bookmarkEnd w:id="267"/>
    </w:p>
    <w:p w14:paraId="01580B8E">
      <w:pPr>
        <w:spacing w:line="360" w:lineRule="exact"/>
        <w:ind w:firstLine="420" w:firstLineChars="200"/>
        <w:rPr>
          <w:color w:val="auto"/>
          <w:highlight w:val="none"/>
        </w:rPr>
      </w:pPr>
      <w:r>
        <w:rPr>
          <w:rFonts w:hint="eastAsia"/>
          <w:color w:val="auto"/>
          <w:highlight w:val="none"/>
        </w:rPr>
        <w:t>评标委员会按照第三章“评标办法”规定的方法、评审因素、标准和程序对投标文件进行评审。第三章“评标办法”没有规定的方法、评审因素和标准，不作为评标依据。</w:t>
      </w:r>
    </w:p>
    <w:p w14:paraId="3A2C8763">
      <w:pPr>
        <w:spacing w:line="360" w:lineRule="exact"/>
        <w:ind w:firstLine="420" w:firstLineChars="200"/>
        <w:rPr>
          <w:color w:val="auto"/>
          <w:highlight w:val="none"/>
        </w:rPr>
      </w:pPr>
      <w:r>
        <w:rPr>
          <w:rFonts w:hint="eastAsia"/>
          <w:color w:val="auto"/>
          <w:highlight w:val="none"/>
        </w:rPr>
        <w:t>评标采用方式详见投标人须知前附表。</w:t>
      </w:r>
    </w:p>
    <w:p w14:paraId="26D04B08">
      <w:pPr>
        <w:pStyle w:val="27"/>
        <w:spacing w:line="360" w:lineRule="exact"/>
        <w:rPr>
          <w:color w:val="auto"/>
          <w:highlight w:val="none"/>
        </w:rPr>
      </w:pPr>
      <w:bookmarkStart w:id="268" w:name="_Toc15257"/>
      <w:bookmarkStart w:id="269" w:name="_Toc426495249"/>
      <w:bookmarkStart w:id="270" w:name="_Toc166326881"/>
      <w:r>
        <w:rPr>
          <w:rFonts w:hint="eastAsia"/>
          <w:color w:val="auto"/>
          <w:highlight w:val="none"/>
        </w:rPr>
        <w:t>6.4 评标结果公示</w:t>
      </w:r>
      <w:bookmarkEnd w:id="268"/>
      <w:bookmarkEnd w:id="269"/>
      <w:bookmarkEnd w:id="270"/>
    </w:p>
    <w:p w14:paraId="0E55B7DE">
      <w:pPr>
        <w:spacing w:line="360" w:lineRule="exact"/>
        <w:ind w:firstLine="420" w:firstLineChars="200"/>
        <w:rPr>
          <w:color w:val="auto"/>
          <w:highlight w:val="none"/>
        </w:rPr>
      </w:pPr>
      <w:bookmarkStart w:id="271" w:name="_Hlk166315849"/>
      <w:r>
        <w:rPr>
          <w:rFonts w:hint="eastAsia"/>
          <w:color w:val="auto"/>
          <w:highlight w:val="none"/>
        </w:rPr>
        <w:t>招标人将自收到评标报告之日起3日内，完成审查评标委员会提交的书面评标报告，并在投标人须知前附表规定的媒介公示中标候选人。公示期不少于3日。招标人在中标候选人公示前将对评标委员会提交的评标报告进行审查，发现异常情形的，依照法定程序进行复核，确认存在问题的，依照法定程序予以纠正。</w:t>
      </w:r>
    </w:p>
    <w:p w14:paraId="09A286D0">
      <w:pPr>
        <w:spacing w:line="360" w:lineRule="exact"/>
        <w:ind w:firstLine="420" w:firstLineChars="200"/>
        <w:rPr>
          <w:color w:val="auto"/>
          <w:highlight w:val="none"/>
        </w:rPr>
      </w:pPr>
      <w:r>
        <w:rPr>
          <w:rFonts w:hint="eastAsia"/>
          <w:color w:val="auto"/>
          <w:highlight w:val="none"/>
        </w:rPr>
        <w:t>投标人或者其他利害关系人对评标结果有异议的，应当在中标候选人公示（评标结果公示）期间提出。招标人自收到异议之日起3日内作出答复；作出答复前，暂停招标投标活动。在法定时间期限内未提出视为投标人权利灭失。异议与答复应通过电子招标投标系统（辽宁省工程建设项目招标投标异议投诉处理系统）以书面形式进行。</w:t>
      </w:r>
    </w:p>
    <w:bookmarkEnd w:id="271"/>
    <w:p w14:paraId="15FDE6DE">
      <w:pPr>
        <w:pStyle w:val="27"/>
        <w:spacing w:line="360" w:lineRule="exact"/>
        <w:rPr>
          <w:color w:val="auto"/>
          <w:highlight w:val="none"/>
        </w:rPr>
      </w:pPr>
      <w:bookmarkStart w:id="272" w:name="_Toc4520"/>
      <w:bookmarkStart w:id="273" w:name="_Toc426495250"/>
      <w:bookmarkStart w:id="274" w:name="_Toc166326882"/>
      <w:bookmarkStart w:id="275" w:name="_Hlk162095977"/>
      <w:r>
        <w:rPr>
          <w:rFonts w:hint="eastAsia"/>
          <w:color w:val="auto"/>
          <w:highlight w:val="none"/>
        </w:rPr>
        <w:t>6</w:t>
      </w:r>
      <w:r>
        <w:rPr>
          <w:color w:val="auto"/>
          <w:highlight w:val="none"/>
        </w:rPr>
        <w:t>.</w:t>
      </w:r>
      <w:r>
        <w:rPr>
          <w:rFonts w:hint="eastAsia"/>
          <w:color w:val="auto"/>
          <w:highlight w:val="none"/>
        </w:rPr>
        <w:t>5</w:t>
      </w:r>
      <w:r>
        <w:rPr>
          <w:color w:val="auto"/>
          <w:highlight w:val="none"/>
        </w:rPr>
        <w:t xml:space="preserve"> </w:t>
      </w:r>
      <w:r>
        <w:rPr>
          <w:rFonts w:hint="eastAsia"/>
          <w:color w:val="auto"/>
          <w:highlight w:val="none"/>
        </w:rPr>
        <w:t>履约能力的</w:t>
      </w:r>
      <w:bookmarkStart w:id="276" w:name="_Hlk165124918"/>
      <w:r>
        <w:rPr>
          <w:rFonts w:hint="eastAsia"/>
          <w:color w:val="auto"/>
          <w:highlight w:val="none"/>
        </w:rPr>
        <w:t>核查</w:t>
      </w:r>
      <w:bookmarkEnd w:id="276"/>
      <w:r>
        <w:rPr>
          <w:rFonts w:hint="eastAsia"/>
          <w:color w:val="auto"/>
          <w:highlight w:val="none"/>
        </w:rPr>
        <w:t>（如有）</w:t>
      </w:r>
      <w:bookmarkEnd w:id="272"/>
      <w:bookmarkEnd w:id="273"/>
      <w:bookmarkEnd w:id="274"/>
    </w:p>
    <w:p w14:paraId="5935F4F9">
      <w:pPr>
        <w:spacing w:line="360" w:lineRule="exact"/>
        <w:ind w:firstLine="420" w:firstLineChars="200"/>
        <w:rPr>
          <w:color w:val="auto"/>
          <w:highlight w:val="none"/>
        </w:rPr>
      </w:pPr>
      <w:r>
        <w:rPr>
          <w:rFonts w:hint="eastAsia"/>
          <w:color w:val="auto"/>
          <w:highlight w:val="none"/>
        </w:rPr>
        <w:t>如果中标候选人的经营、财务状况发生较大变化或者存在违法行为，招标人认为可能影响其履约能力的，将在发出中标通知书前报请行政监督部门后，召集原评标委员会按照招标文件规定的标准和方法</w:t>
      </w:r>
      <w:bookmarkStart w:id="277" w:name="_Hlk164708770"/>
      <w:r>
        <w:rPr>
          <w:rFonts w:hint="eastAsia"/>
          <w:color w:val="auto"/>
          <w:highlight w:val="none"/>
        </w:rPr>
        <w:t>核查</w:t>
      </w:r>
      <w:bookmarkEnd w:id="277"/>
      <w:r>
        <w:rPr>
          <w:rFonts w:hint="eastAsia"/>
          <w:color w:val="auto"/>
          <w:highlight w:val="none"/>
        </w:rPr>
        <w:t>确认。</w:t>
      </w:r>
    </w:p>
    <w:bookmarkEnd w:id="275"/>
    <w:p w14:paraId="1DBA5435">
      <w:pPr>
        <w:pStyle w:val="25"/>
        <w:spacing w:line="360" w:lineRule="exact"/>
        <w:rPr>
          <w:color w:val="auto"/>
          <w:highlight w:val="none"/>
        </w:rPr>
      </w:pPr>
      <w:bookmarkStart w:id="278" w:name="_Toc6981"/>
      <w:bookmarkStart w:id="279" w:name="_Toc144974534"/>
      <w:bookmarkStart w:id="280" w:name="_Toc166326883"/>
      <w:bookmarkStart w:id="281" w:name="_Toc152042342"/>
      <w:bookmarkStart w:id="282" w:name="_Toc179632584"/>
      <w:bookmarkStart w:id="283" w:name="_Toc152045566"/>
      <w:r>
        <w:rPr>
          <w:rFonts w:hint="eastAsia"/>
          <w:color w:val="auto"/>
          <w:highlight w:val="none"/>
        </w:rPr>
        <w:t>7. 合同授予</w:t>
      </w:r>
      <w:bookmarkEnd w:id="278"/>
      <w:bookmarkEnd w:id="279"/>
      <w:bookmarkEnd w:id="280"/>
      <w:bookmarkEnd w:id="281"/>
      <w:bookmarkEnd w:id="282"/>
      <w:bookmarkEnd w:id="283"/>
    </w:p>
    <w:p w14:paraId="7217345D">
      <w:pPr>
        <w:pStyle w:val="27"/>
        <w:spacing w:line="360" w:lineRule="exact"/>
        <w:rPr>
          <w:color w:val="auto"/>
          <w:highlight w:val="none"/>
        </w:rPr>
      </w:pPr>
      <w:bookmarkStart w:id="284" w:name="_Toc152042343"/>
      <w:bookmarkStart w:id="285" w:name="_Toc179632585"/>
      <w:bookmarkStart w:id="286" w:name="_Toc152045567"/>
      <w:bookmarkStart w:id="287" w:name="_Toc144974535"/>
      <w:bookmarkStart w:id="288" w:name="_Toc166326884"/>
      <w:bookmarkStart w:id="289" w:name="_Toc2814"/>
      <w:r>
        <w:rPr>
          <w:rFonts w:hint="eastAsia"/>
          <w:color w:val="auto"/>
          <w:highlight w:val="none"/>
        </w:rPr>
        <w:t>7.1 定标方式</w:t>
      </w:r>
      <w:bookmarkEnd w:id="284"/>
      <w:bookmarkEnd w:id="285"/>
      <w:bookmarkEnd w:id="286"/>
      <w:bookmarkEnd w:id="287"/>
      <w:bookmarkEnd w:id="288"/>
      <w:bookmarkEnd w:id="289"/>
    </w:p>
    <w:p w14:paraId="41B33230">
      <w:pPr>
        <w:spacing w:line="360" w:lineRule="exact"/>
        <w:ind w:firstLine="420" w:firstLineChars="200"/>
        <w:rPr>
          <w:color w:val="auto"/>
          <w:highlight w:val="none"/>
        </w:rPr>
      </w:pPr>
      <w:bookmarkStart w:id="290" w:name="_Hlk162096279"/>
      <w:r>
        <w:rPr>
          <w:rFonts w:hint="eastAsia"/>
          <w:color w:val="auto"/>
          <w:highlight w:val="none"/>
        </w:rPr>
        <w:t>除投标人须知前附表规定评标委员会直接确定中标人外，招标人依据评标委员会推荐的中标候选人确定中标人或从评标委员会推荐的中标候选人范围内自主研究确定中标人，</w:t>
      </w:r>
      <w:bookmarkStart w:id="291" w:name="_Hlk166315975"/>
      <w:r>
        <w:rPr>
          <w:rFonts w:hint="eastAsia"/>
          <w:color w:val="auto"/>
          <w:highlight w:val="none"/>
        </w:rPr>
        <w:t>评标委员会推荐中标候选人的人数见投标人须知前附表。</w:t>
      </w:r>
      <w:bookmarkEnd w:id="290"/>
      <w:bookmarkEnd w:id="291"/>
    </w:p>
    <w:p w14:paraId="6D00065E">
      <w:pPr>
        <w:spacing w:line="360" w:lineRule="exact"/>
        <w:ind w:firstLine="420" w:firstLineChars="200"/>
        <w:rPr>
          <w:color w:val="auto"/>
          <w:highlight w:val="none"/>
        </w:rPr>
      </w:pPr>
      <w:r>
        <w:rPr>
          <w:rFonts w:hint="eastAsia"/>
          <w:color w:val="auto"/>
          <w:highlight w:val="none"/>
        </w:rPr>
        <w:t>招标人从评标委员会推荐的中标候选人范围内自主研究确定中标人的，招标人按照定标办法规定的规则组建定标委员会，</w:t>
      </w:r>
      <w:bookmarkStart w:id="292" w:name="_Hlk157862819"/>
      <w:r>
        <w:rPr>
          <w:rFonts w:hint="eastAsia" w:cs="宋体"/>
          <w:color w:val="auto"/>
          <w:kern w:val="1"/>
          <w:szCs w:val="21"/>
          <w:highlight w:val="none"/>
        </w:rPr>
        <w:t>定标委员会按照</w:t>
      </w:r>
      <w:r>
        <w:rPr>
          <w:rFonts w:hint="eastAsia"/>
          <w:color w:val="auto"/>
          <w:szCs w:val="21"/>
          <w:highlight w:val="none"/>
        </w:rPr>
        <w:t>定标办法</w:t>
      </w:r>
      <w:r>
        <w:rPr>
          <w:rFonts w:hint="eastAsia" w:cs="宋体"/>
          <w:color w:val="auto"/>
          <w:kern w:val="1"/>
          <w:szCs w:val="21"/>
          <w:highlight w:val="none"/>
        </w:rPr>
        <w:t>规定的方法、规则、标准和程序在中标候选人中定标，确定中标人。</w:t>
      </w:r>
      <w:r>
        <w:rPr>
          <w:rFonts w:hint="eastAsia"/>
          <w:color w:val="auto"/>
          <w:szCs w:val="21"/>
          <w:highlight w:val="none"/>
        </w:rPr>
        <w:t>定标办法</w:t>
      </w:r>
      <w:r>
        <w:rPr>
          <w:rFonts w:hint="eastAsia" w:cs="宋体"/>
          <w:color w:val="auto"/>
          <w:kern w:val="1"/>
          <w:szCs w:val="21"/>
          <w:highlight w:val="none"/>
        </w:rPr>
        <w:t>没有规定的方法、规则、标准，不得作为定标依据。</w:t>
      </w:r>
      <w:bookmarkEnd w:id="292"/>
    </w:p>
    <w:p w14:paraId="08BAD887">
      <w:pPr>
        <w:pStyle w:val="27"/>
        <w:spacing w:line="360" w:lineRule="exact"/>
        <w:rPr>
          <w:color w:val="auto"/>
          <w:highlight w:val="none"/>
        </w:rPr>
      </w:pPr>
      <w:bookmarkStart w:id="293" w:name="_Toc152042344"/>
      <w:bookmarkStart w:id="294" w:name="_Toc144974536"/>
      <w:bookmarkStart w:id="295" w:name="_Toc18007"/>
      <w:bookmarkStart w:id="296" w:name="_Toc179632586"/>
      <w:bookmarkStart w:id="297" w:name="_Toc152045568"/>
      <w:bookmarkStart w:id="298" w:name="_Toc166326885"/>
      <w:r>
        <w:rPr>
          <w:rFonts w:hint="eastAsia"/>
          <w:color w:val="auto"/>
          <w:highlight w:val="none"/>
        </w:rPr>
        <w:t>7.2 中标通知</w:t>
      </w:r>
      <w:bookmarkEnd w:id="293"/>
      <w:bookmarkEnd w:id="294"/>
      <w:bookmarkEnd w:id="295"/>
      <w:bookmarkEnd w:id="296"/>
      <w:bookmarkEnd w:id="297"/>
      <w:bookmarkEnd w:id="298"/>
    </w:p>
    <w:p w14:paraId="6D9A8DBB">
      <w:pPr>
        <w:spacing w:line="360" w:lineRule="exact"/>
        <w:ind w:firstLine="420" w:firstLineChars="200"/>
        <w:rPr>
          <w:color w:val="auto"/>
          <w:highlight w:val="none"/>
        </w:rPr>
      </w:pPr>
      <w:r>
        <w:rPr>
          <w:rFonts w:hint="eastAsia"/>
          <w:color w:val="auto"/>
          <w:highlight w:val="none"/>
        </w:rPr>
        <w:t>评标结果公示期满后，在本章第3.3款规定的投标有效期内，招标人通过电子交易系统以书面形式向中标人发出经电子监督系统验证备案的中标通知书，同时将中标结果通知未中标的投标人。</w:t>
      </w:r>
    </w:p>
    <w:p w14:paraId="5A0A0DB5">
      <w:pPr>
        <w:spacing w:line="360" w:lineRule="exact"/>
        <w:ind w:firstLine="420" w:firstLineChars="200"/>
        <w:rPr>
          <w:color w:val="auto"/>
          <w:highlight w:val="none"/>
        </w:rPr>
      </w:pPr>
      <w:r>
        <w:rPr>
          <w:rFonts w:hint="eastAsia"/>
          <w:color w:val="auto"/>
          <w:highlight w:val="none"/>
        </w:rPr>
        <w:t>中标通知书发出的同时，招标人将在投标人须知前附表第6.4款规定的媒介发布中标结果公示。</w:t>
      </w:r>
    </w:p>
    <w:p w14:paraId="314B04CC">
      <w:pPr>
        <w:pStyle w:val="27"/>
        <w:spacing w:line="360" w:lineRule="exact"/>
        <w:rPr>
          <w:color w:val="auto"/>
          <w:highlight w:val="none"/>
        </w:rPr>
      </w:pPr>
      <w:bookmarkStart w:id="299" w:name="_Toc179632587"/>
      <w:bookmarkStart w:id="300" w:name="_Toc152045569"/>
      <w:bookmarkStart w:id="301" w:name="_Toc144974537"/>
      <w:bookmarkStart w:id="302" w:name="_Toc152042345"/>
      <w:bookmarkStart w:id="303" w:name="_Toc166326886"/>
      <w:bookmarkStart w:id="304" w:name="_Toc9260"/>
      <w:r>
        <w:rPr>
          <w:rFonts w:hint="eastAsia"/>
          <w:color w:val="auto"/>
          <w:highlight w:val="none"/>
        </w:rPr>
        <w:t>7.3 履约</w:t>
      </w:r>
      <w:bookmarkEnd w:id="299"/>
      <w:bookmarkEnd w:id="300"/>
      <w:bookmarkEnd w:id="301"/>
      <w:bookmarkEnd w:id="302"/>
      <w:r>
        <w:rPr>
          <w:rFonts w:hint="eastAsia"/>
          <w:color w:val="auto"/>
          <w:highlight w:val="none"/>
        </w:rPr>
        <w:t>保证金</w:t>
      </w:r>
      <w:bookmarkEnd w:id="303"/>
      <w:bookmarkEnd w:id="304"/>
    </w:p>
    <w:p w14:paraId="1691D1CB">
      <w:pPr>
        <w:spacing w:line="360" w:lineRule="exact"/>
        <w:ind w:firstLine="420" w:firstLineChars="200"/>
        <w:rPr>
          <w:color w:val="auto"/>
          <w:highlight w:val="none"/>
        </w:rPr>
      </w:pPr>
      <w:r>
        <w:rPr>
          <w:rFonts w:hint="eastAsia"/>
          <w:color w:val="auto"/>
          <w:highlight w:val="none"/>
        </w:rPr>
        <w:t>7.3.1在签订合同前，中标人应按投标人须知前附表规定的金额、担保形式和招标文件第四章“合同条款及格式”规定的履约保证金格式或者事先经过招标人书面认可的履约保证金格式向招标人提交履约担保。联合体中标的，其履约保证金由牵头人递交，并应符合投标人须知前附表的规定。</w:t>
      </w:r>
    </w:p>
    <w:p w14:paraId="7C76DE75">
      <w:pPr>
        <w:spacing w:line="360" w:lineRule="exact"/>
        <w:ind w:firstLine="420" w:firstLineChars="200"/>
        <w:rPr>
          <w:color w:val="auto"/>
          <w:highlight w:val="none"/>
        </w:rPr>
      </w:pPr>
      <w:r>
        <w:rPr>
          <w:rFonts w:hint="eastAsia"/>
          <w:color w:val="auto"/>
          <w:highlight w:val="none"/>
        </w:rPr>
        <w:t>7.3.2 中标人不能按本章第7.3.1项要求提交履约保证金的，视为放弃中标，其投标保证金不予退还，给招标人造成的损失超过投标保证金数额的，中标人还应当对超过部分予以赔偿。</w:t>
      </w:r>
    </w:p>
    <w:p w14:paraId="6124CE91">
      <w:pPr>
        <w:pStyle w:val="27"/>
        <w:spacing w:line="360" w:lineRule="exact"/>
        <w:rPr>
          <w:color w:val="auto"/>
          <w:highlight w:val="none"/>
        </w:rPr>
      </w:pPr>
      <w:bookmarkStart w:id="305" w:name="_Toc3260"/>
      <w:bookmarkStart w:id="306" w:name="_Toc166326887"/>
      <w:bookmarkStart w:id="307" w:name="_Toc179632588"/>
      <w:bookmarkStart w:id="308" w:name="_Toc152042346"/>
      <w:bookmarkStart w:id="309" w:name="_Toc152045570"/>
      <w:bookmarkStart w:id="310" w:name="_Toc144974538"/>
      <w:r>
        <w:rPr>
          <w:rFonts w:hint="eastAsia"/>
          <w:color w:val="auto"/>
          <w:highlight w:val="none"/>
        </w:rPr>
        <w:t>7.4 签订合同</w:t>
      </w:r>
      <w:bookmarkEnd w:id="305"/>
      <w:bookmarkEnd w:id="306"/>
      <w:bookmarkEnd w:id="307"/>
      <w:bookmarkEnd w:id="308"/>
      <w:bookmarkEnd w:id="309"/>
      <w:bookmarkEnd w:id="310"/>
    </w:p>
    <w:p w14:paraId="0EF7A67C">
      <w:pPr>
        <w:spacing w:line="360" w:lineRule="exact"/>
        <w:ind w:firstLine="420" w:firstLineChars="200"/>
        <w:rPr>
          <w:color w:val="auto"/>
          <w:highlight w:val="none"/>
        </w:rPr>
      </w:pPr>
      <w:r>
        <w:rPr>
          <w:rFonts w:hint="eastAsia"/>
          <w:color w:val="auto"/>
          <w:highlight w:val="none"/>
        </w:rPr>
        <w:t>7.4.1招标人和中标人应当在投标有效期内并自中标通知书发出之日起30日内，根据招标文件和中标人的投标文件</w:t>
      </w:r>
      <w:r>
        <w:rPr>
          <w:rFonts w:hint="eastAsia" w:ascii="宋体" w:hAnsi="宋体"/>
          <w:color w:val="auto"/>
          <w:szCs w:val="21"/>
          <w:highlight w:val="none"/>
        </w:rPr>
        <w:t>（</w:t>
      </w:r>
      <w:r>
        <w:rPr>
          <w:rFonts w:ascii="宋体" w:hAnsi="宋体"/>
          <w:color w:val="auto"/>
          <w:szCs w:val="21"/>
          <w:highlight w:val="none"/>
        </w:rPr>
        <w:t>以</w:t>
      </w:r>
      <w:r>
        <w:rPr>
          <w:rFonts w:hint="eastAsia" w:ascii="宋体" w:hAnsi="宋体"/>
          <w:color w:val="auto"/>
          <w:szCs w:val="21"/>
          <w:highlight w:val="none"/>
        </w:rPr>
        <w:t>经评标委员会</w:t>
      </w:r>
      <w:r>
        <w:rPr>
          <w:rFonts w:ascii="宋体" w:hAnsi="宋体"/>
          <w:color w:val="auto"/>
          <w:szCs w:val="21"/>
          <w:highlight w:val="none"/>
        </w:rPr>
        <w:t>评审的文件</w:t>
      </w:r>
      <w:r>
        <w:rPr>
          <w:rFonts w:hint="eastAsia" w:ascii="宋体" w:hAnsi="宋体"/>
          <w:color w:val="auto"/>
          <w:szCs w:val="21"/>
          <w:highlight w:val="none"/>
        </w:rPr>
        <w:t>版本</w:t>
      </w:r>
      <w:r>
        <w:rPr>
          <w:rFonts w:ascii="宋体" w:hAnsi="宋体"/>
          <w:color w:val="auto"/>
          <w:szCs w:val="21"/>
          <w:highlight w:val="none"/>
        </w:rPr>
        <w:t>为准）</w:t>
      </w:r>
      <w:r>
        <w:rPr>
          <w:rFonts w:hint="eastAsia"/>
          <w:color w:val="auto"/>
          <w:highlight w:val="none"/>
        </w:rPr>
        <w:t xml:space="preserve">订立书面合同。中标人无正当理由拒签合同或在签订合同时向招标人提出附加条件的，招标人取消其中标资格，其投标保证金不予退还；给招标人造成的损失超过投标保证金数额的，中标人还应当对超过部分予以赔偿。 </w:t>
      </w:r>
    </w:p>
    <w:p w14:paraId="13EEBFF1">
      <w:pPr>
        <w:spacing w:line="360" w:lineRule="exact"/>
        <w:ind w:firstLine="420" w:firstLineChars="200"/>
        <w:rPr>
          <w:color w:val="auto"/>
          <w:highlight w:val="none"/>
        </w:rPr>
      </w:pPr>
      <w:r>
        <w:rPr>
          <w:rFonts w:hint="eastAsia"/>
          <w:color w:val="auto"/>
          <w:highlight w:val="none"/>
        </w:rPr>
        <w:t xml:space="preserve">7.4.2 发出中标通知书后，招标人无正当理由拒签合同的，招标人向中标人退还投标保证金；给中标人造成损失的，还应当赔偿损失。 </w:t>
      </w:r>
    </w:p>
    <w:p w14:paraId="5E94663B">
      <w:pPr>
        <w:spacing w:line="360" w:lineRule="exact"/>
        <w:ind w:firstLine="420" w:firstLineChars="200"/>
        <w:rPr>
          <w:color w:val="auto"/>
          <w:highlight w:val="none"/>
        </w:rPr>
      </w:pPr>
      <w:bookmarkStart w:id="311" w:name="_Hlk162096665"/>
      <w:r>
        <w:rPr>
          <w:color w:val="auto"/>
          <w:highlight w:val="none"/>
        </w:rPr>
        <w:t>7.</w:t>
      </w:r>
      <w:r>
        <w:rPr>
          <w:rFonts w:hint="eastAsia"/>
          <w:color w:val="auto"/>
          <w:highlight w:val="none"/>
        </w:rPr>
        <w:t>4</w:t>
      </w:r>
      <w:r>
        <w:rPr>
          <w:color w:val="auto"/>
          <w:highlight w:val="none"/>
        </w:rPr>
        <w:t>.3 联合体中标的，联合体各方应当共同与招标人签订合同，就中标项目向招标人承担连带责任。</w:t>
      </w:r>
    </w:p>
    <w:bookmarkEnd w:id="311"/>
    <w:p w14:paraId="39FDEC12">
      <w:pPr>
        <w:spacing w:line="360" w:lineRule="exact"/>
        <w:ind w:firstLine="420" w:firstLineChars="200"/>
        <w:rPr>
          <w:color w:val="auto"/>
          <w:highlight w:val="none"/>
        </w:rPr>
      </w:pPr>
      <w:r>
        <w:rPr>
          <w:rFonts w:hint="eastAsia"/>
          <w:color w:val="auto"/>
          <w:highlight w:val="none"/>
        </w:rPr>
        <w:t>7.4.4 签约合同价的确定原则如下：</w:t>
      </w:r>
    </w:p>
    <w:p w14:paraId="1D9F4E93">
      <w:pPr>
        <w:spacing w:line="360" w:lineRule="exact"/>
        <w:ind w:firstLine="420" w:firstLineChars="200"/>
        <w:rPr>
          <w:color w:val="auto"/>
          <w:highlight w:val="none"/>
        </w:rPr>
      </w:pPr>
      <w:r>
        <w:rPr>
          <w:rFonts w:hint="eastAsia"/>
          <w:color w:val="auto"/>
          <w:highlight w:val="none"/>
        </w:rPr>
        <w:t>开标时投标函中大写投标总价应为签约合同价。按照第三章“评标办法”的规定，如投标报价有算术错误的，修正的价格经投标人书面确认后，以修正后的投标总价为签约合同价。</w:t>
      </w:r>
    </w:p>
    <w:p w14:paraId="11332872">
      <w:pPr>
        <w:spacing w:line="360" w:lineRule="exact"/>
        <w:ind w:firstLine="420" w:firstLineChars="200"/>
        <w:rPr>
          <w:color w:val="auto"/>
          <w:highlight w:val="none"/>
        </w:rPr>
      </w:pPr>
      <w:r>
        <w:rPr>
          <w:rFonts w:hint="eastAsia"/>
          <w:color w:val="auto"/>
          <w:highlight w:val="none"/>
        </w:rPr>
        <w:t>7.4.5 招标人和中标人应当在中标通知书发出之日起30日内，登录辽宁省工程建设项目合同履约管理系统签订合同并向电子监督系统</w:t>
      </w:r>
      <w:r>
        <w:rPr>
          <w:rFonts w:hint="eastAsia"/>
          <w:color w:val="auto"/>
          <w:highlight w:val="none"/>
          <w:shd w:val="clear" w:color="auto" w:fill="FFFFFF"/>
        </w:rPr>
        <w:t>提交电子合同文件归档</w:t>
      </w:r>
      <w:r>
        <w:rPr>
          <w:rFonts w:hint="eastAsia"/>
          <w:color w:val="auto"/>
          <w:sz w:val="19"/>
          <w:szCs w:val="19"/>
          <w:highlight w:val="none"/>
          <w:shd w:val="clear" w:color="auto" w:fill="FFFFFF"/>
        </w:rPr>
        <w:t>。</w:t>
      </w:r>
      <w:r>
        <w:rPr>
          <w:rFonts w:hint="eastAsia"/>
          <w:color w:val="auto"/>
          <w:highlight w:val="none"/>
        </w:rPr>
        <w:t>按照信息公示规定对合同签订等信息进行公示公开，依法应当保护的商业秘密除外。</w:t>
      </w:r>
    </w:p>
    <w:p w14:paraId="4FA2252C">
      <w:pPr>
        <w:pStyle w:val="25"/>
        <w:spacing w:line="360" w:lineRule="exact"/>
        <w:rPr>
          <w:color w:val="auto"/>
          <w:highlight w:val="none"/>
        </w:rPr>
      </w:pPr>
      <w:bookmarkStart w:id="312" w:name="_Toc152042347"/>
      <w:bookmarkStart w:id="313" w:name="_Toc144974539"/>
      <w:bookmarkStart w:id="314" w:name="_Toc152045571"/>
      <w:bookmarkStart w:id="315" w:name="_Toc179632589"/>
      <w:bookmarkStart w:id="316" w:name="_Toc166326888"/>
      <w:bookmarkStart w:id="317" w:name="_Toc30675"/>
      <w:r>
        <w:rPr>
          <w:rFonts w:hint="eastAsia"/>
          <w:color w:val="auto"/>
          <w:highlight w:val="none"/>
        </w:rPr>
        <w:t>8. 重新招标、不再招标</w:t>
      </w:r>
      <w:bookmarkEnd w:id="312"/>
      <w:bookmarkEnd w:id="313"/>
      <w:bookmarkEnd w:id="314"/>
      <w:bookmarkEnd w:id="315"/>
      <w:r>
        <w:rPr>
          <w:rFonts w:hint="eastAsia"/>
          <w:color w:val="auto"/>
          <w:highlight w:val="none"/>
        </w:rPr>
        <w:t>和终止招标</w:t>
      </w:r>
      <w:bookmarkEnd w:id="316"/>
      <w:bookmarkEnd w:id="317"/>
    </w:p>
    <w:p w14:paraId="63ACE366">
      <w:pPr>
        <w:pStyle w:val="27"/>
        <w:spacing w:line="360" w:lineRule="exact"/>
        <w:rPr>
          <w:color w:val="auto"/>
          <w:highlight w:val="none"/>
        </w:rPr>
      </w:pPr>
      <w:bookmarkStart w:id="318" w:name="_Toc179632590"/>
      <w:bookmarkStart w:id="319" w:name="_Toc1899"/>
      <w:bookmarkStart w:id="320" w:name="_Toc144974540"/>
      <w:bookmarkStart w:id="321" w:name="_Toc152042348"/>
      <w:bookmarkStart w:id="322" w:name="_Toc152045572"/>
      <w:bookmarkStart w:id="323" w:name="_Toc166326889"/>
      <w:r>
        <w:rPr>
          <w:rFonts w:hint="eastAsia"/>
          <w:color w:val="auto"/>
          <w:highlight w:val="none"/>
        </w:rPr>
        <w:t>8.1 重新招标</w:t>
      </w:r>
      <w:bookmarkEnd w:id="318"/>
      <w:bookmarkEnd w:id="319"/>
      <w:bookmarkEnd w:id="320"/>
      <w:bookmarkEnd w:id="321"/>
      <w:bookmarkEnd w:id="322"/>
      <w:bookmarkEnd w:id="323"/>
    </w:p>
    <w:p w14:paraId="0BC84C3C">
      <w:pPr>
        <w:spacing w:line="360" w:lineRule="exact"/>
        <w:ind w:firstLine="359" w:firstLineChars="171"/>
        <w:rPr>
          <w:color w:val="auto"/>
          <w:highlight w:val="none"/>
        </w:rPr>
      </w:pPr>
      <w:r>
        <w:rPr>
          <w:rFonts w:hint="eastAsia"/>
          <w:color w:val="auto"/>
          <w:highlight w:val="none"/>
        </w:rPr>
        <w:t>有下列情形之一的，招标人将重新招标：</w:t>
      </w:r>
    </w:p>
    <w:p w14:paraId="7697900E">
      <w:pPr>
        <w:spacing w:line="360" w:lineRule="exact"/>
        <w:ind w:firstLine="359" w:firstLineChars="171"/>
        <w:rPr>
          <w:color w:val="auto"/>
          <w:highlight w:val="none"/>
        </w:rPr>
      </w:pPr>
      <w:r>
        <w:rPr>
          <w:rFonts w:hint="eastAsia"/>
          <w:color w:val="auto"/>
          <w:highlight w:val="none"/>
        </w:rPr>
        <w:t>（1）投标截止时间止，投标人少于3个的；</w:t>
      </w:r>
    </w:p>
    <w:p w14:paraId="4890455F">
      <w:pPr>
        <w:spacing w:line="360" w:lineRule="exact"/>
        <w:ind w:firstLine="359" w:firstLineChars="171"/>
        <w:rPr>
          <w:color w:val="auto"/>
          <w:highlight w:val="none"/>
        </w:rPr>
      </w:pPr>
      <w:r>
        <w:rPr>
          <w:rFonts w:hint="eastAsia"/>
          <w:color w:val="auto"/>
          <w:highlight w:val="none"/>
        </w:rPr>
        <w:t>（2）经评标委员会评审后否决所有投标的；</w:t>
      </w:r>
    </w:p>
    <w:p w14:paraId="526462EA">
      <w:pPr>
        <w:spacing w:line="360" w:lineRule="exact"/>
        <w:ind w:firstLine="359" w:firstLineChars="171"/>
        <w:rPr>
          <w:color w:val="auto"/>
          <w:highlight w:val="none"/>
        </w:rPr>
      </w:pPr>
      <w:r>
        <w:rPr>
          <w:rFonts w:hint="eastAsia"/>
          <w:color w:val="auto"/>
          <w:highlight w:val="none"/>
        </w:rPr>
        <w:t>（3）第一中标候选人或所有中标候选人存在不同程度的问题，不能签订合同的；</w:t>
      </w:r>
    </w:p>
    <w:p w14:paraId="31BCB487">
      <w:pPr>
        <w:spacing w:line="360" w:lineRule="exact"/>
        <w:ind w:firstLine="359" w:firstLineChars="171"/>
        <w:rPr>
          <w:color w:val="auto"/>
          <w:highlight w:val="none"/>
        </w:rPr>
      </w:pPr>
      <w:r>
        <w:rPr>
          <w:rFonts w:hint="eastAsia"/>
          <w:color w:val="auto"/>
          <w:highlight w:val="none"/>
        </w:rPr>
        <w:t>（</w:t>
      </w:r>
      <w:r>
        <w:rPr>
          <w:color w:val="auto"/>
          <w:highlight w:val="none"/>
        </w:rPr>
        <w:t>4</w:t>
      </w:r>
      <w:r>
        <w:rPr>
          <w:rFonts w:hint="eastAsia"/>
          <w:color w:val="auto"/>
          <w:highlight w:val="none"/>
        </w:rPr>
        <w:t>）在投标有效期内同意延长投标有效期的投标人少于三个的；</w:t>
      </w:r>
    </w:p>
    <w:p w14:paraId="00D9F73D">
      <w:pPr>
        <w:spacing w:line="360" w:lineRule="exact"/>
        <w:ind w:firstLine="359" w:firstLineChars="171"/>
        <w:rPr>
          <w:color w:val="auto"/>
          <w:highlight w:val="none"/>
        </w:rPr>
      </w:pPr>
      <w:r>
        <w:rPr>
          <w:rFonts w:hint="eastAsia"/>
          <w:color w:val="auto"/>
          <w:highlight w:val="none"/>
        </w:rPr>
        <w:t>（</w:t>
      </w:r>
      <w:r>
        <w:rPr>
          <w:color w:val="auto"/>
          <w:highlight w:val="none"/>
        </w:rPr>
        <w:t>5</w:t>
      </w:r>
      <w:r>
        <w:rPr>
          <w:rFonts w:hint="eastAsia"/>
          <w:color w:val="auto"/>
          <w:highlight w:val="none"/>
        </w:rPr>
        <w:t>）法律、法规规定的其他情形。</w:t>
      </w:r>
    </w:p>
    <w:p w14:paraId="1B61F46D">
      <w:pPr>
        <w:pStyle w:val="27"/>
        <w:spacing w:line="360" w:lineRule="exact"/>
        <w:rPr>
          <w:color w:val="auto"/>
          <w:highlight w:val="none"/>
        </w:rPr>
      </w:pPr>
      <w:bookmarkStart w:id="324" w:name="_Toc144974541"/>
      <w:bookmarkStart w:id="325" w:name="_Toc152045573"/>
      <w:bookmarkStart w:id="326" w:name="_Toc166326890"/>
      <w:bookmarkStart w:id="327" w:name="_Toc152042349"/>
      <w:bookmarkStart w:id="328" w:name="_Toc179632591"/>
      <w:bookmarkStart w:id="329" w:name="_Toc26747"/>
      <w:r>
        <w:rPr>
          <w:rFonts w:hint="eastAsia"/>
          <w:color w:val="auto"/>
          <w:highlight w:val="none"/>
        </w:rPr>
        <w:t>8.2 不再招标</w:t>
      </w:r>
      <w:bookmarkEnd w:id="324"/>
      <w:bookmarkEnd w:id="325"/>
      <w:bookmarkEnd w:id="326"/>
      <w:bookmarkEnd w:id="327"/>
      <w:bookmarkEnd w:id="328"/>
      <w:bookmarkEnd w:id="329"/>
    </w:p>
    <w:p w14:paraId="46CF8E40">
      <w:pPr>
        <w:spacing w:line="360" w:lineRule="exact"/>
        <w:ind w:firstLine="420" w:firstLineChars="200"/>
        <w:rPr>
          <w:color w:val="auto"/>
          <w:highlight w:val="none"/>
        </w:rPr>
      </w:pPr>
      <w:r>
        <w:rPr>
          <w:rFonts w:hint="eastAsia"/>
          <w:color w:val="auto"/>
          <w:highlight w:val="none"/>
        </w:rPr>
        <w:t>重新招标后投标人仍少于3个或者所有投标被否决的，属于必须审批或核准的工程建设项目，经原审批或核准部门批准后不再进行招标。</w:t>
      </w:r>
    </w:p>
    <w:p w14:paraId="4524A094">
      <w:pPr>
        <w:pStyle w:val="27"/>
        <w:spacing w:line="360" w:lineRule="exact"/>
        <w:rPr>
          <w:color w:val="auto"/>
          <w:highlight w:val="none"/>
        </w:rPr>
      </w:pPr>
      <w:bookmarkStart w:id="330" w:name="_Toc166326891"/>
      <w:bookmarkStart w:id="331" w:name="_Toc20086"/>
      <w:r>
        <w:rPr>
          <w:rFonts w:hint="eastAsia"/>
          <w:color w:val="auto"/>
          <w:highlight w:val="none"/>
        </w:rPr>
        <w:t>8.3 终止招标</w:t>
      </w:r>
      <w:bookmarkEnd w:id="330"/>
      <w:bookmarkEnd w:id="331"/>
    </w:p>
    <w:p w14:paraId="62CF8749">
      <w:pPr>
        <w:spacing w:line="360" w:lineRule="exact"/>
        <w:ind w:firstLine="420" w:firstLineChars="200"/>
        <w:rPr>
          <w:color w:val="auto"/>
          <w:highlight w:val="none"/>
        </w:rPr>
      </w:pPr>
      <w:r>
        <w:rPr>
          <w:rFonts w:hint="eastAsia"/>
          <w:color w:val="auto"/>
          <w:highlight w:val="none"/>
        </w:rPr>
        <w:t>因不可抗力等原因，招标人终止招标的，将通过法定公告公示信息发布媒介、电子交易系统（投标盲盒工具）等渠道及时发布公告，或者以书面形式通知被邀请的或者已经获取招标文件的潜在投标人。已经收取投标保证金的，招标人将及时退还所收取的投标保证金及银行同期存款利息。</w:t>
      </w:r>
    </w:p>
    <w:p w14:paraId="02EF33DA">
      <w:pPr>
        <w:pStyle w:val="25"/>
        <w:spacing w:line="360" w:lineRule="exact"/>
        <w:rPr>
          <w:color w:val="auto"/>
          <w:highlight w:val="none"/>
        </w:rPr>
      </w:pPr>
      <w:bookmarkStart w:id="332" w:name="_Toc152045574"/>
      <w:bookmarkStart w:id="333" w:name="_Toc5871"/>
      <w:bookmarkStart w:id="334" w:name="_Toc179632592"/>
      <w:bookmarkStart w:id="335" w:name="_Toc144974542"/>
      <w:bookmarkStart w:id="336" w:name="_Toc152042350"/>
      <w:bookmarkStart w:id="337" w:name="_Toc166326892"/>
      <w:r>
        <w:rPr>
          <w:rFonts w:hint="eastAsia"/>
          <w:color w:val="auto"/>
          <w:highlight w:val="none"/>
        </w:rPr>
        <w:t>9. 纪律和监督</w:t>
      </w:r>
      <w:bookmarkEnd w:id="332"/>
      <w:bookmarkEnd w:id="333"/>
      <w:bookmarkEnd w:id="334"/>
      <w:bookmarkEnd w:id="335"/>
      <w:bookmarkEnd w:id="336"/>
      <w:bookmarkEnd w:id="337"/>
    </w:p>
    <w:p w14:paraId="245E28C3">
      <w:pPr>
        <w:pStyle w:val="27"/>
        <w:spacing w:line="360" w:lineRule="exact"/>
        <w:rPr>
          <w:color w:val="auto"/>
          <w:highlight w:val="none"/>
        </w:rPr>
      </w:pPr>
      <w:bookmarkStart w:id="338" w:name="_Toc17525"/>
      <w:bookmarkStart w:id="339" w:name="_Toc152045575"/>
      <w:bookmarkStart w:id="340" w:name="_Toc179632593"/>
      <w:bookmarkStart w:id="341" w:name="_Toc166326893"/>
      <w:bookmarkStart w:id="342" w:name="_Toc144974543"/>
      <w:bookmarkStart w:id="343" w:name="_Toc152042351"/>
      <w:r>
        <w:rPr>
          <w:rFonts w:hint="eastAsia"/>
          <w:color w:val="auto"/>
          <w:highlight w:val="none"/>
        </w:rPr>
        <w:t>9.1 对招标人的纪律要求</w:t>
      </w:r>
      <w:bookmarkEnd w:id="338"/>
      <w:bookmarkEnd w:id="339"/>
      <w:bookmarkEnd w:id="340"/>
      <w:bookmarkEnd w:id="341"/>
      <w:bookmarkEnd w:id="342"/>
      <w:bookmarkEnd w:id="343"/>
    </w:p>
    <w:p w14:paraId="5295A068">
      <w:pPr>
        <w:spacing w:line="360" w:lineRule="exact"/>
        <w:ind w:firstLine="420" w:firstLineChars="200"/>
        <w:rPr>
          <w:color w:val="auto"/>
          <w:highlight w:val="none"/>
        </w:rPr>
      </w:pPr>
      <w:r>
        <w:rPr>
          <w:rFonts w:hint="eastAsia"/>
          <w:color w:val="auto"/>
          <w:highlight w:val="none"/>
        </w:rPr>
        <w:t>招标人不得泄漏招标投标活动中应当保密的情况和资料，不得与投标人串通损害国家利益、社会公共利益或者他人合法权益。</w:t>
      </w:r>
    </w:p>
    <w:p w14:paraId="15B3D76F">
      <w:pPr>
        <w:pStyle w:val="27"/>
        <w:spacing w:line="360" w:lineRule="exact"/>
        <w:rPr>
          <w:color w:val="auto"/>
          <w:highlight w:val="none"/>
        </w:rPr>
      </w:pPr>
      <w:bookmarkStart w:id="344" w:name="_Toc152045576"/>
      <w:bookmarkStart w:id="345" w:name="_Toc144974544"/>
      <w:bookmarkStart w:id="346" w:name="_Toc18381"/>
      <w:bookmarkStart w:id="347" w:name="_Toc166326894"/>
      <w:bookmarkStart w:id="348" w:name="_Toc152042352"/>
      <w:bookmarkStart w:id="349" w:name="_Toc179632594"/>
      <w:r>
        <w:rPr>
          <w:rFonts w:hint="eastAsia"/>
          <w:color w:val="auto"/>
          <w:highlight w:val="none"/>
        </w:rPr>
        <w:t>9.2 对投标人的纪律要求</w:t>
      </w:r>
      <w:bookmarkEnd w:id="344"/>
      <w:bookmarkEnd w:id="345"/>
      <w:bookmarkEnd w:id="346"/>
      <w:bookmarkEnd w:id="347"/>
      <w:bookmarkEnd w:id="348"/>
      <w:bookmarkEnd w:id="349"/>
    </w:p>
    <w:p w14:paraId="470EAD1D">
      <w:pPr>
        <w:spacing w:line="360" w:lineRule="exact"/>
        <w:ind w:firstLine="420" w:firstLineChars="200"/>
        <w:rPr>
          <w:color w:val="auto"/>
          <w:highlight w:val="none"/>
        </w:rPr>
      </w:pPr>
      <w:r>
        <w:rPr>
          <w:rFonts w:hint="eastAsia"/>
          <w:color w:val="auto"/>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7164DFB0">
      <w:pPr>
        <w:pStyle w:val="27"/>
        <w:spacing w:line="360" w:lineRule="exact"/>
        <w:rPr>
          <w:color w:val="auto"/>
          <w:highlight w:val="none"/>
        </w:rPr>
      </w:pPr>
      <w:bookmarkStart w:id="350" w:name="_Toc179632595"/>
      <w:bookmarkStart w:id="351" w:name="_Toc26393"/>
      <w:bookmarkStart w:id="352" w:name="_Toc144974545"/>
      <w:bookmarkStart w:id="353" w:name="_Toc166326895"/>
      <w:bookmarkStart w:id="354" w:name="_Toc152042353"/>
      <w:bookmarkStart w:id="355" w:name="_Toc152045577"/>
      <w:r>
        <w:rPr>
          <w:rFonts w:hint="eastAsia"/>
          <w:color w:val="auto"/>
          <w:highlight w:val="none"/>
        </w:rPr>
        <w:t>9.3 对评标委员会成员的纪律要求</w:t>
      </w:r>
      <w:bookmarkEnd w:id="350"/>
      <w:bookmarkEnd w:id="351"/>
      <w:bookmarkEnd w:id="352"/>
      <w:bookmarkEnd w:id="353"/>
      <w:bookmarkEnd w:id="354"/>
      <w:bookmarkEnd w:id="355"/>
    </w:p>
    <w:p w14:paraId="10E8C22D">
      <w:pPr>
        <w:spacing w:line="360" w:lineRule="exact"/>
        <w:ind w:firstLine="420" w:firstLineChars="200"/>
        <w:rPr>
          <w:color w:val="auto"/>
          <w:highlight w:val="none"/>
        </w:rPr>
      </w:pPr>
      <w:r>
        <w:rPr>
          <w:rFonts w:hint="eastAsia"/>
          <w:color w:val="auto"/>
          <w:highlight w:val="none"/>
        </w:rPr>
        <w:t>评标委员会应当根据招标文件规定的评标标准和方法，对投标文件进行系统地评审和比较，第三章“评标办法”没有规定的评审因素和标准不能作为评标依据。评标委员会成员不得对其他评标委员会成员的独立评审施加不当影响，不得与任何投标人或者与招标结果有利害关系的人进行私下接触，不得收受投标人、中介人、其他利害关系人的财物或者其他好处，不得向他人透漏对投标文件的评审和比较、中标候选人的推荐情况以及评标有关的其他情况。在评标活动中，评标委员会成员不得应当回避而不回避，不得擅离职守，影响评标程序正常进行，不得向招标人征询其确定中标人的意向，不得接受任何单位或者个人明示或者暗示提出的倾向或者排斥特定投标人的要求，不得对依法应当否决的投标不提出否决意见，不得暗示或者诱导投标人作出澄清、说明或者接受投标人主动提出的澄清、说明，不得敷衍塞责随意评标，不得在合法的评标劳务费之外额外索取、接受报酬或者其他好处。</w:t>
      </w:r>
    </w:p>
    <w:p w14:paraId="38056978">
      <w:pPr>
        <w:pStyle w:val="27"/>
        <w:spacing w:line="360" w:lineRule="exact"/>
        <w:rPr>
          <w:color w:val="auto"/>
          <w:highlight w:val="none"/>
        </w:rPr>
      </w:pPr>
      <w:bookmarkStart w:id="356" w:name="_Toc166326896"/>
      <w:bookmarkStart w:id="357" w:name="_Toc179632596"/>
      <w:bookmarkStart w:id="358" w:name="_Toc152042354"/>
      <w:bookmarkStart w:id="359" w:name="_Toc13084"/>
      <w:bookmarkStart w:id="360" w:name="_Toc152045578"/>
      <w:bookmarkStart w:id="361" w:name="_Toc144974546"/>
      <w:r>
        <w:rPr>
          <w:rFonts w:hint="eastAsia"/>
          <w:color w:val="auto"/>
          <w:highlight w:val="none"/>
        </w:rPr>
        <w:t>9.4 对与评标活动有关的工作人员的纪律要求</w:t>
      </w:r>
      <w:bookmarkEnd w:id="356"/>
      <w:bookmarkEnd w:id="357"/>
      <w:bookmarkEnd w:id="358"/>
      <w:bookmarkEnd w:id="359"/>
      <w:bookmarkEnd w:id="360"/>
    </w:p>
    <w:p w14:paraId="6FE18D93">
      <w:pPr>
        <w:spacing w:line="360" w:lineRule="exact"/>
        <w:ind w:firstLine="420" w:firstLineChars="200"/>
        <w:rPr>
          <w:color w:val="auto"/>
          <w:highlight w:val="none"/>
        </w:rPr>
      </w:pPr>
      <w:bookmarkStart w:id="362" w:name="_Toc152042355"/>
      <w:r>
        <w:rPr>
          <w:rFonts w:hint="eastAsia"/>
          <w:color w:val="auto"/>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362"/>
    </w:p>
    <w:p w14:paraId="2C6C5000">
      <w:pPr>
        <w:pStyle w:val="27"/>
        <w:spacing w:line="360" w:lineRule="exact"/>
        <w:rPr>
          <w:color w:val="auto"/>
          <w:highlight w:val="none"/>
        </w:rPr>
      </w:pPr>
      <w:bookmarkStart w:id="363" w:name="_Toc152042356"/>
      <w:bookmarkStart w:id="364" w:name="_Toc152045579"/>
      <w:bookmarkStart w:id="365" w:name="_Toc179632597"/>
      <w:bookmarkStart w:id="366" w:name="_Toc10256"/>
      <w:bookmarkStart w:id="367" w:name="_Toc166326897"/>
      <w:r>
        <w:rPr>
          <w:rFonts w:hint="eastAsia"/>
          <w:color w:val="auto"/>
          <w:highlight w:val="none"/>
        </w:rPr>
        <w:t>9.5 投诉</w:t>
      </w:r>
      <w:bookmarkEnd w:id="361"/>
      <w:bookmarkEnd w:id="363"/>
      <w:bookmarkEnd w:id="364"/>
      <w:bookmarkEnd w:id="365"/>
      <w:bookmarkEnd w:id="366"/>
      <w:bookmarkEnd w:id="367"/>
    </w:p>
    <w:p w14:paraId="4AD94D80">
      <w:pPr>
        <w:spacing w:line="360" w:lineRule="exact"/>
        <w:ind w:firstLine="420" w:firstLineChars="200"/>
        <w:rPr>
          <w:color w:val="auto"/>
          <w:highlight w:val="none"/>
          <w:bdr w:val="single" w:color="auto" w:sz="4" w:space="0"/>
        </w:rPr>
      </w:pPr>
      <w:r>
        <w:rPr>
          <w:rFonts w:hint="eastAsia"/>
          <w:color w:val="auto"/>
          <w:highlight w:val="none"/>
        </w:rPr>
        <w:t>投标人和其他利害关系人认为本次招标活动违反法律、法规和规章规定的，有权自知道或者应当知道之日起10日内向有关行政监督部门投诉，其中对招标文件的内容（包括最高投标限价）、开标、评标结果进行投诉的，应当按本章第2.4款、第5.3款、第6.4款的规定先向招标人提出异议后，方可向有关行政监督部门投诉，异议答复期不计算在规定的</w:t>
      </w:r>
      <w:r>
        <w:rPr>
          <w:color w:val="auto"/>
          <w:highlight w:val="none"/>
        </w:rPr>
        <w:t>投诉时效</w:t>
      </w:r>
      <w:r>
        <w:rPr>
          <w:rFonts w:hint="eastAsia"/>
          <w:color w:val="auto"/>
          <w:highlight w:val="none"/>
        </w:rPr>
        <w:t>期限内。</w:t>
      </w:r>
    </w:p>
    <w:p w14:paraId="4949FD8D">
      <w:pPr>
        <w:spacing w:line="360" w:lineRule="exact"/>
        <w:ind w:firstLine="420" w:firstLineChars="200"/>
        <w:rPr>
          <w:color w:val="auto"/>
          <w:highlight w:val="none"/>
        </w:rPr>
      </w:pPr>
      <w:r>
        <w:rPr>
          <w:rFonts w:hint="eastAsia"/>
          <w:color w:val="auto"/>
          <w:highlight w:val="none"/>
        </w:rPr>
        <w:t>投标人和其他利害关系人的投诉应按照《工程建设项目招标投标活动投诉处理办法》的规定进行。</w:t>
      </w:r>
    </w:p>
    <w:p w14:paraId="04225797">
      <w:pPr>
        <w:spacing w:line="360" w:lineRule="exact"/>
        <w:ind w:firstLine="420" w:firstLineChars="200"/>
        <w:rPr>
          <w:color w:val="auto"/>
          <w:highlight w:val="none"/>
        </w:rPr>
      </w:pPr>
      <w:r>
        <w:rPr>
          <w:rFonts w:hint="eastAsia"/>
          <w:color w:val="auto"/>
          <w:highlight w:val="none"/>
        </w:rPr>
        <w:t>有关行政监督部门的联系方式见投标人须知前附表。</w:t>
      </w:r>
    </w:p>
    <w:p w14:paraId="64EADB77">
      <w:pPr>
        <w:pStyle w:val="25"/>
        <w:spacing w:line="360" w:lineRule="exact"/>
        <w:rPr>
          <w:color w:val="auto"/>
          <w:highlight w:val="none"/>
        </w:rPr>
      </w:pPr>
      <w:bookmarkStart w:id="368" w:name="_Toc179632598"/>
      <w:bookmarkStart w:id="369" w:name="_Toc166326898"/>
      <w:bookmarkStart w:id="370" w:name="_Toc152042357"/>
      <w:bookmarkStart w:id="371" w:name="_Toc144974547"/>
      <w:bookmarkStart w:id="372" w:name="_Toc152045580"/>
      <w:bookmarkStart w:id="373" w:name="_Toc31273"/>
      <w:r>
        <w:rPr>
          <w:rFonts w:hint="eastAsia"/>
          <w:color w:val="auto"/>
          <w:highlight w:val="none"/>
        </w:rPr>
        <w:t>10. 需要补充的其他内容</w:t>
      </w:r>
      <w:bookmarkEnd w:id="368"/>
      <w:bookmarkEnd w:id="369"/>
      <w:bookmarkEnd w:id="370"/>
      <w:bookmarkEnd w:id="371"/>
      <w:bookmarkEnd w:id="372"/>
      <w:bookmarkEnd w:id="373"/>
    </w:p>
    <w:p w14:paraId="25A7B3F1">
      <w:pPr>
        <w:pStyle w:val="27"/>
        <w:spacing w:line="360" w:lineRule="exact"/>
        <w:rPr>
          <w:color w:val="auto"/>
          <w:highlight w:val="none"/>
        </w:rPr>
      </w:pPr>
      <w:bookmarkStart w:id="374" w:name="_Toc9115"/>
      <w:bookmarkStart w:id="375" w:name="_Toc166326899"/>
      <w:bookmarkStart w:id="376" w:name="_Toc426495265"/>
      <w:r>
        <w:rPr>
          <w:rFonts w:hint="eastAsia"/>
          <w:color w:val="auto"/>
          <w:highlight w:val="none"/>
        </w:rPr>
        <w:t xml:space="preserve">10.1 </w:t>
      </w:r>
      <w:r>
        <w:rPr>
          <w:rFonts w:hint="eastAsia"/>
          <w:color w:val="auto"/>
          <w:szCs w:val="21"/>
          <w:highlight w:val="none"/>
        </w:rPr>
        <w:t>词语定义</w:t>
      </w:r>
      <w:bookmarkEnd w:id="374"/>
      <w:bookmarkEnd w:id="375"/>
    </w:p>
    <w:p w14:paraId="63EB3D30">
      <w:pPr>
        <w:spacing w:line="360" w:lineRule="exact"/>
        <w:ind w:firstLine="420" w:firstLineChars="200"/>
        <w:rPr>
          <w:color w:val="auto"/>
          <w:highlight w:val="none"/>
        </w:rPr>
      </w:pPr>
      <w:r>
        <w:rPr>
          <w:rFonts w:hint="eastAsia"/>
          <w:color w:val="auto"/>
          <w:highlight w:val="none"/>
        </w:rPr>
        <w:t>词语定义规定：见投标人须知前附表。</w:t>
      </w:r>
    </w:p>
    <w:bookmarkEnd w:id="376"/>
    <w:p w14:paraId="29230A94">
      <w:pPr>
        <w:pStyle w:val="27"/>
        <w:spacing w:line="360" w:lineRule="exact"/>
        <w:rPr>
          <w:color w:val="auto"/>
          <w:highlight w:val="none"/>
        </w:rPr>
      </w:pPr>
      <w:bookmarkStart w:id="377" w:name="_Toc166326900"/>
      <w:bookmarkStart w:id="378" w:name="_Toc3977"/>
      <w:bookmarkStart w:id="379" w:name="_Toc387753565"/>
      <w:bookmarkStart w:id="380" w:name="_Toc456173253"/>
      <w:r>
        <w:rPr>
          <w:rFonts w:hint="eastAsia"/>
          <w:color w:val="auto"/>
          <w:highlight w:val="none"/>
        </w:rPr>
        <w:t>10.</w:t>
      </w:r>
      <w:r>
        <w:rPr>
          <w:color w:val="auto"/>
          <w:highlight w:val="none"/>
        </w:rPr>
        <w:t>2</w:t>
      </w:r>
      <w:r>
        <w:rPr>
          <w:rFonts w:hint="eastAsia"/>
          <w:color w:val="auto"/>
          <w:highlight w:val="none"/>
        </w:rPr>
        <w:t xml:space="preserve"> 中标人的投标文件</w:t>
      </w:r>
      <w:bookmarkEnd w:id="377"/>
      <w:bookmarkEnd w:id="378"/>
      <w:bookmarkEnd w:id="379"/>
      <w:bookmarkEnd w:id="380"/>
    </w:p>
    <w:p w14:paraId="520FDBB6">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中标人在签订合同前须向招标人另行提交的纸质投标文件份数：见投标人须知前附表。</w:t>
      </w:r>
    </w:p>
    <w:p w14:paraId="13F4EFB1">
      <w:pPr>
        <w:pStyle w:val="27"/>
        <w:spacing w:line="360" w:lineRule="exact"/>
        <w:rPr>
          <w:color w:val="auto"/>
          <w:highlight w:val="none"/>
        </w:rPr>
      </w:pPr>
      <w:bookmarkStart w:id="381" w:name="_Toc9501"/>
      <w:bookmarkStart w:id="382" w:name="_Toc166326901"/>
      <w:bookmarkStart w:id="383" w:name="_Toc426495266"/>
      <w:r>
        <w:rPr>
          <w:rFonts w:hint="eastAsia"/>
          <w:color w:val="auto"/>
          <w:highlight w:val="none"/>
        </w:rPr>
        <w:t>10.</w:t>
      </w:r>
      <w:r>
        <w:rPr>
          <w:color w:val="auto"/>
          <w:highlight w:val="none"/>
        </w:rPr>
        <w:t xml:space="preserve">3 </w:t>
      </w:r>
      <w:r>
        <w:rPr>
          <w:rFonts w:hint="eastAsia"/>
          <w:color w:val="auto"/>
          <w:highlight w:val="none"/>
        </w:rPr>
        <w:t>知识产权</w:t>
      </w:r>
      <w:bookmarkEnd w:id="381"/>
      <w:bookmarkEnd w:id="382"/>
      <w:bookmarkEnd w:id="383"/>
    </w:p>
    <w:p w14:paraId="1D895E08">
      <w:pPr>
        <w:spacing w:line="360" w:lineRule="exact"/>
        <w:ind w:firstLine="420" w:firstLineChars="200"/>
        <w:rPr>
          <w:color w:val="auto"/>
          <w:highlight w:val="none"/>
        </w:rPr>
      </w:pPr>
      <w:r>
        <w:rPr>
          <w:rFonts w:hint="eastAsia"/>
          <w:color w:val="auto"/>
          <w:highlight w:val="none"/>
        </w:rPr>
        <w:t>构成本招标文件各个组成部分的文件，未经招标人书面同意，投标人不得擅自复印和用于非本招标项目所需的其他目的。招标人全部或者部分使用未中标人投标文件中的技术成果或技术方案时，需征得其书面同意，并不得擅自复印或提供给第三人。</w:t>
      </w:r>
    </w:p>
    <w:p w14:paraId="6E32AD9C">
      <w:pPr>
        <w:pStyle w:val="27"/>
        <w:spacing w:line="360" w:lineRule="exact"/>
        <w:rPr>
          <w:color w:val="auto"/>
          <w:highlight w:val="none"/>
        </w:rPr>
      </w:pPr>
      <w:bookmarkStart w:id="384" w:name="_Toc426495267"/>
      <w:bookmarkStart w:id="385" w:name="_Toc13178"/>
      <w:bookmarkStart w:id="386" w:name="_Toc166326902"/>
      <w:r>
        <w:rPr>
          <w:rFonts w:hint="eastAsia"/>
          <w:color w:val="auto"/>
          <w:highlight w:val="none"/>
        </w:rPr>
        <w:t>10.</w:t>
      </w:r>
      <w:r>
        <w:rPr>
          <w:color w:val="auto"/>
          <w:highlight w:val="none"/>
        </w:rPr>
        <w:t xml:space="preserve">4 </w:t>
      </w:r>
      <w:r>
        <w:rPr>
          <w:rFonts w:hint="eastAsia"/>
          <w:color w:val="auto"/>
          <w:highlight w:val="none"/>
        </w:rPr>
        <w:t>同义词语</w:t>
      </w:r>
      <w:bookmarkEnd w:id="384"/>
      <w:bookmarkEnd w:id="385"/>
      <w:bookmarkEnd w:id="386"/>
    </w:p>
    <w:p w14:paraId="4C9FB938">
      <w:pPr>
        <w:spacing w:line="360" w:lineRule="exact"/>
        <w:ind w:firstLine="420" w:firstLineChars="200"/>
        <w:rPr>
          <w:color w:val="auto"/>
          <w:highlight w:val="none"/>
        </w:rPr>
      </w:pPr>
      <w:r>
        <w:rPr>
          <w:rFonts w:hint="eastAsia"/>
          <w:color w:val="auto"/>
          <w:highlight w:val="none"/>
        </w:rPr>
        <w:t>构成招标文件组成部分的“通用合同条款”、“专用合同条款”、“技术标准和要求”和“工程量清单”等章节中出现的措辞“发包人”和“承包人”，在招标投标阶段应当分别按“招标人”和“投标人”进行理解。</w:t>
      </w:r>
    </w:p>
    <w:p w14:paraId="4207424A">
      <w:pPr>
        <w:pStyle w:val="27"/>
        <w:spacing w:line="360" w:lineRule="exact"/>
        <w:rPr>
          <w:color w:val="auto"/>
          <w:highlight w:val="none"/>
        </w:rPr>
      </w:pPr>
      <w:bookmarkStart w:id="387" w:name="_Toc166326903"/>
      <w:bookmarkStart w:id="388" w:name="_Toc426495268"/>
      <w:bookmarkStart w:id="389" w:name="_Toc18824"/>
      <w:r>
        <w:rPr>
          <w:rFonts w:hint="eastAsia"/>
          <w:color w:val="auto"/>
          <w:highlight w:val="none"/>
        </w:rPr>
        <w:t>10.</w:t>
      </w:r>
      <w:r>
        <w:rPr>
          <w:color w:val="auto"/>
          <w:highlight w:val="none"/>
        </w:rPr>
        <w:t>5</w:t>
      </w:r>
      <w:r>
        <w:rPr>
          <w:rFonts w:hint="eastAsia"/>
          <w:color w:val="auto"/>
          <w:highlight w:val="none"/>
        </w:rPr>
        <w:t xml:space="preserve"> 解释权</w:t>
      </w:r>
      <w:bookmarkEnd w:id="387"/>
      <w:bookmarkEnd w:id="388"/>
      <w:bookmarkEnd w:id="389"/>
    </w:p>
    <w:p w14:paraId="661F128F">
      <w:pPr>
        <w:spacing w:line="360" w:lineRule="exact"/>
        <w:ind w:firstLine="420" w:firstLineChars="200"/>
        <w:rPr>
          <w:color w:val="auto"/>
          <w:highlight w:val="none"/>
        </w:rPr>
      </w:pPr>
      <w:r>
        <w:rPr>
          <w:rFonts w:hint="eastAsia"/>
          <w:color w:val="auto"/>
          <w:highlight w:val="none"/>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招标人负责解释。</w:t>
      </w:r>
    </w:p>
    <w:p w14:paraId="78218ACA">
      <w:pPr>
        <w:pStyle w:val="27"/>
        <w:spacing w:line="360" w:lineRule="exact"/>
        <w:rPr>
          <w:color w:val="auto"/>
          <w:highlight w:val="none"/>
        </w:rPr>
      </w:pPr>
      <w:bookmarkStart w:id="390" w:name="_Toc166326904"/>
      <w:bookmarkStart w:id="391" w:name="_Toc30879"/>
      <w:bookmarkStart w:id="392" w:name="_Toc426495269"/>
      <w:r>
        <w:rPr>
          <w:rFonts w:hint="eastAsia"/>
          <w:color w:val="auto"/>
          <w:highlight w:val="none"/>
        </w:rPr>
        <w:t>10.6 招标人补充的其他内容</w:t>
      </w:r>
      <w:bookmarkEnd w:id="390"/>
      <w:bookmarkEnd w:id="391"/>
      <w:bookmarkEnd w:id="392"/>
    </w:p>
    <w:p w14:paraId="1D6AB675">
      <w:pPr>
        <w:spacing w:line="360" w:lineRule="exact"/>
        <w:ind w:firstLine="420" w:firstLineChars="200"/>
        <w:rPr>
          <w:color w:val="auto"/>
          <w:highlight w:val="none"/>
        </w:rPr>
      </w:pPr>
      <w:r>
        <w:rPr>
          <w:rFonts w:hint="eastAsia"/>
          <w:color w:val="auto"/>
          <w:highlight w:val="none"/>
        </w:rPr>
        <w:t>招标人补充的其他内容：见投标人须知前附表。</w:t>
      </w:r>
    </w:p>
    <w:p w14:paraId="512CA6C9">
      <w:pPr>
        <w:spacing w:line="400" w:lineRule="exact"/>
        <w:ind w:firstLine="420" w:firstLineChars="200"/>
        <w:rPr>
          <w:color w:val="auto"/>
          <w:highlight w:val="none"/>
        </w:rPr>
      </w:pPr>
    </w:p>
    <w:p w14:paraId="20031B3E">
      <w:pPr>
        <w:spacing w:line="400" w:lineRule="exact"/>
        <w:rPr>
          <w:color w:val="auto"/>
          <w:highlight w:val="none"/>
        </w:rPr>
      </w:pPr>
      <w:r>
        <w:rPr>
          <w:color w:val="auto"/>
          <w:highlight w:val="none"/>
        </w:rPr>
        <w:br w:type="page"/>
      </w:r>
    </w:p>
    <w:p w14:paraId="1C3AFE9C">
      <w:pPr>
        <w:pStyle w:val="3"/>
        <w:rPr>
          <w:rFonts w:ascii="仿宋_GB2312" w:hAnsi="黑体" w:eastAsia="仿宋_GB2312"/>
          <w:b w:val="0"/>
          <w:bCs w:val="0"/>
          <w:color w:val="auto"/>
          <w:spacing w:val="12"/>
          <w:sz w:val="24"/>
          <w:highlight w:val="none"/>
        </w:rPr>
      </w:pPr>
      <w:bookmarkStart w:id="393" w:name="_Toc14730"/>
      <w:bookmarkStart w:id="394" w:name="_Toc165804340"/>
      <w:bookmarkStart w:id="395" w:name="_Toc353544000"/>
      <w:r>
        <w:rPr>
          <w:rFonts w:hint="eastAsia"/>
          <w:b w:val="0"/>
          <w:color w:val="auto"/>
          <w:sz w:val="24"/>
          <w:szCs w:val="24"/>
          <w:highlight w:val="none"/>
        </w:rPr>
        <w:t>附表一：招标文件澄清申请函</w:t>
      </w:r>
      <w:bookmarkEnd w:id="393"/>
      <w:bookmarkEnd w:id="394"/>
      <w:bookmarkEnd w:id="395"/>
    </w:p>
    <w:p w14:paraId="30C9A199">
      <w:pPr>
        <w:rPr>
          <w:rFonts w:ascii="仿宋_GB2312" w:eastAsia="仿宋_GB2312"/>
          <w:color w:val="auto"/>
          <w:highlight w:val="none"/>
        </w:rPr>
      </w:pPr>
    </w:p>
    <w:p w14:paraId="068DC8FF">
      <w:pPr>
        <w:spacing w:before="120" w:beforeLines="50" w:after="120" w:afterLines="50"/>
        <w:jc w:val="center"/>
        <w:rPr>
          <w:rFonts w:ascii="仿宋_GB2312" w:eastAsia="仿宋_GB2312"/>
          <w:color w:val="auto"/>
          <w:sz w:val="28"/>
          <w:szCs w:val="28"/>
          <w:highlight w:val="none"/>
        </w:rPr>
      </w:pPr>
    </w:p>
    <w:p w14:paraId="60A3A6E4">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招标文件澄清申请函</w:t>
      </w:r>
    </w:p>
    <w:p w14:paraId="6EAC9787">
      <w:pPr>
        <w:rPr>
          <w:rFonts w:ascii="宋体" w:hAnsi="宋体"/>
          <w:color w:val="auto"/>
          <w:highlight w:val="none"/>
        </w:rPr>
      </w:pPr>
    </w:p>
    <w:p w14:paraId="49F236D8">
      <w:pPr>
        <w:ind w:firstLine="6195" w:firstLineChars="2950"/>
        <w:rPr>
          <w:rFonts w:ascii="宋体" w:hAnsi="宋体"/>
          <w:color w:val="auto"/>
          <w:szCs w:val="21"/>
          <w:highlight w:val="none"/>
        </w:rPr>
      </w:pPr>
      <w:r>
        <w:rPr>
          <w:rFonts w:hint="eastAsia" w:ascii="宋体" w:hAnsi="宋体"/>
          <w:color w:val="auto"/>
          <w:szCs w:val="21"/>
          <w:highlight w:val="none"/>
        </w:rPr>
        <w:t>编号：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3B9A2C65">
      <w:pPr>
        <w:spacing w:line="560" w:lineRule="exact"/>
        <w:ind w:firstLine="420" w:firstLineChars="200"/>
        <w:rPr>
          <w:rFonts w:ascii="宋体" w:hAnsi="宋体"/>
          <w:color w:val="auto"/>
          <w:szCs w:val="21"/>
          <w:highlight w:val="none"/>
          <w:u w:val="single"/>
        </w:rPr>
      </w:pPr>
    </w:p>
    <w:p w14:paraId="5C95C772">
      <w:pPr>
        <w:spacing w:line="560" w:lineRule="exact"/>
        <w:rPr>
          <w:rFonts w:ascii="宋体" w:hAnsi="宋体"/>
          <w:color w:val="auto"/>
          <w:szCs w:val="21"/>
          <w:highlight w:val="none"/>
        </w:rPr>
      </w:pPr>
      <w:r>
        <w:rPr>
          <w:rFonts w:hint="eastAsia" w:ascii="宋体" w:hAnsi="宋体"/>
          <w:color w:val="auto"/>
          <w:szCs w:val="21"/>
          <w:highlight w:val="none"/>
          <w:u w:val="single"/>
        </w:rPr>
        <w:t>　　　　　　　     　      　　</w:t>
      </w:r>
      <w:r>
        <w:rPr>
          <w:rFonts w:hint="eastAsia" w:ascii="宋体" w:hAnsi="宋体"/>
          <w:color w:val="auto"/>
          <w:szCs w:val="21"/>
          <w:highlight w:val="none"/>
        </w:rPr>
        <w:t>（招标人名称）：</w:t>
      </w:r>
    </w:p>
    <w:p w14:paraId="50461F7B">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经过仔细阅读</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（标段名称）</w:t>
      </w:r>
      <w:r>
        <w:rPr>
          <w:rFonts w:hint="eastAsia"/>
          <w:color w:val="auto"/>
          <w:highlight w:val="none"/>
        </w:rPr>
        <w:t>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olor w:val="auto"/>
          <w:szCs w:val="21"/>
          <w:highlight w:val="none"/>
        </w:rPr>
        <w:t>招标文件后，我方申请对以下问题予以澄清：</w:t>
      </w:r>
    </w:p>
    <w:p w14:paraId="62DEC7C9">
      <w:pPr>
        <w:spacing w:line="560" w:lineRule="exact"/>
        <w:ind w:firstLine="105" w:firstLineChars="50"/>
        <w:rPr>
          <w:rFonts w:ascii="宋体" w:hAnsi="宋体"/>
          <w:color w:val="auto"/>
          <w:szCs w:val="21"/>
          <w:highlight w:val="none"/>
        </w:rPr>
      </w:pPr>
      <w:bookmarkStart w:id="396" w:name="_Hlt269064826"/>
      <w:r>
        <w:rPr>
          <w:rFonts w:hint="eastAsia" w:ascii="宋体" w:hAnsi="宋体"/>
          <w:color w:val="auto"/>
          <w:szCs w:val="21"/>
          <w:highlight w:val="none"/>
        </w:rPr>
        <w:t>　1.……</w:t>
      </w:r>
    </w:p>
    <w:p w14:paraId="1E355DFA">
      <w:pPr>
        <w:spacing w:line="560" w:lineRule="exact"/>
        <w:ind w:firstLine="315" w:firstLineChars="150"/>
        <w:rPr>
          <w:rFonts w:ascii="宋体" w:hAnsi="宋体"/>
          <w:color w:val="auto"/>
          <w:szCs w:val="21"/>
          <w:highlight w:val="none"/>
        </w:rPr>
      </w:pPr>
      <w:r>
        <w:rPr>
          <w:rFonts w:hint="eastAsia" w:ascii="宋体" w:hAnsi="宋体"/>
          <w:color w:val="auto"/>
          <w:szCs w:val="21"/>
          <w:highlight w:val="none"/>
        </w:rPr>
        <w:t>2.……</w:t>
      </w:r>
    </w:p>
    <w:p w14:paraId="4352250B">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w:t>
      </w:r>
    </w:p>
    <w:p w14:paraId="188EDDE3">
      <w:pPr>
        <w:spacing w:line="560" w:lineRule="exact"/>
        <w:ind w:firstLine="420" w:firstLineChars="200"/>
        <w:rPr>
          <w:rFonts w:ascii="宋体" w:hAnsi="宋体"/>
          <w:color w:val="auto"/>
          <w:szCs w:val="21"/>
          <w:highlight w:val="none"/>
        </w:rPr>
      </w:pPr>
    </w:p>
    <w:bookmarkEnd w:id="396"/>
    <w:p w14:paraId="138EB86E">
      <w:pPr>
        <w:spacing w:line="560" w:lineRule="exact"/>
        <w:ind w:firstLine="420" w:firstLineChars="200"/>
        <w:rPr>
          <w:rFonts w:ascii="宋体" w:hAnsi="宋体"/>
          <w:color w:val="auto"/>
          <w:szCs w:val="21"/>
          <w:highlight w:val="none"/>
        </w:rPr>
      </w:pPr>
    </w:p>
    <w:p w14:paraId="6CDBE386">
      <w:pPr>
        <w:wordWrap w:val="0"/>
        <w:jc w:val="right"/>
        <w:rPr>
          <w:rFonts w:ascii="宋体" w:hAnsi="宋体"/>
          <w:color w:val="auto"/>
          <w:highlight w:val="none"/>
        </w:rPr>
      </w:pPr>
      <w:r>
        <w:rPr>
          <w:rFonts w:hint="eastAsia" w:ascii="宋体" w:hAnsi="宋体"/>
          <w:color w:val="auto"/>
          <w:szCs w:val="21"/>
          <w:highlight w:val="none"/>
        </w:rPr>
        <w:t xml:space="preserve">　　　　　　　　　　　　　　　  </w:t>
      </w:r>
      <w:r>
        <w:rPr>
          <w:rFonts w:hint="eastAsia" w:ascii="宋体" w:hAnsi="宋体"/>
          <w:color w:val="auto"/>
          <w:highlight w:val="none"/>
        </w:rPr>
        <w:t>投标人：</w:t>
      </w:r>
      <w:r>
        <w:rPr>
          <w:rFonts w:hint="eastAsia" w:ascii="宋体" w:hAnsi="宋体"/>
          <w:color w:val="auto"/>
          <w:highlight w:val="none"/>
          <w:u w:val="single"/>
        </w:rPr>
        <w:t xml:space="preserve">                </w:t>
      </w:r>
      <w:r>
        <w:rPr>
          <w:rFonts w:hint="eastAsia" w:ascii="宋体" w:hAnsi="宋体"/>
          <w:color w:val="auto"/>
          <w:highlight w:val="none"/>
        </w:rPr>
        <w:t xml:space="preserve"> （盖单位章）</w:t>
      </w:r>
    </w:p>
    <w:p w14:paraId="00FC5B09">
      <w:pPr>
        <w:jc w:val="right"/>
        <w:rPr>
          <w:rFonts w:ascii="宋体" w:hAnsi="宋体"/>
          <w:color w:val="auto"/>
          <w:highlight w:val="none"/>
        </w:rPr>
      </w:pPr>
    </w:p>
    <w:p w14:paraId="29B94CD9">
      <w:pPr>
        <w:spacing w:line="560" w:lineRule="exact"/>
        <w:ind w:firstLine="420" w:firstLineChars="200"/>
        <w:rPr>
          <w:rFonts w:ascii="宋体" w:hAnsi="宋体"/>
          <w:color w:val="auto"/>
          <w:szCs w:val="21"/>
          <w:highlight w:val="none"/>
        </w:rPr>
      </w:pPr>
      <w:r>
        <w:rPr>
          <w:rFonts w:hint="eastAsia" w:ascii="宋体" w:hAnsi="宋体"/>
          <w:color w:val="auto"/>
          <w:highlight w:val="none"/>
        </w:rPr>
        <w:t xml:space="preserve">                                                    </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258B14A8">
      <w:pPr>
        <w:spacing w:line="560" w:lineRule="exact"/>
        <w:ind w:right="840" w:rightChars="400"/>
        <w:rPr>
          <w:rFonts w:ascii="宋体" w:hAnsi="宋体"/>
          <w:color w:val="auto"/>
          <w:sz w:val="24"/>
          <w:highlight w:val="none"/>
        </w:rPr>
      </w:pPr>
      <w:r>
        <w:rPr>
          <w:rFonts w:ascii="宋体" w:hAnsi="宋体"/>
          <w:color w:val="auto"/>
          <w:sz w:val="24"/>
          <w:highlight w:val="none"/>
        </w:rPr>
        <w:br w:type="page"/>
      </w:r>
    </w:p>
    <w:p w14:paraId="58D0E32D">
      <w:pPr>
        <w:pStyle w:val="3"/>
        <w:rPr>
          <w:b w:val="0"/>
          <w:color w:val="auto"/>
          <w:sz w:val="24"/>
          <w:szCs w:val="24"/>
          <w:highlight w:val="none"/>
        </w:rPr>
      </w:pPr>
      <w:bookmarkStart w:id="397" w:name="_Toc26215"/>
      <w:bookmarkStart w:id="398" w:name="_Toc165804341"/>
      <w:bookmarkStart w:id="399" w:name="_Toc353544001"/>
      <w:r>
        <w:rPr>
          <w:rFonts w:hint="eastAsia"/>
          <w:b w:val="0"/>
          <w:color w:val="auto"/>
          <w:sz w:val="24"/>
          <w:szCs w:val="24"/>
          <w:highlight w:val="none"/>
        </w:rPr>
        <w:t>附表二：招标文件澄清通知</w:t>
      </w:r>
      <w:bookmarkEnd w:id="397"/>
      <w:bookmarkEnd w:id="398"/>
      <w:bookmarkEnd w:id="399"/>
    </w:p>
    <w:p w14:paraId="45BC4EEC">
      <w:pPr>
        <w:spacing w:line="560" w:lineRule="exact"/>
        <w:ind w:right="840" w:rightChars="400"/>
        <w:rPr>
          <w:rFonts w:ascii="仿宋_GB2312" w:eastAsia="仿宋_GB2312"/>
          <w:color w:val="auto"/>
          <w:sz w:val="24"/>
          <w:highlight w:val="none"/>
        </w:rPr>
      </w:pPr>
    </w:p>
    <w:p w14:paraId="2B0093AF">
      <w:pPr>
        <w:rPr>
          <w:rFonts w:ascii="仿宋_GB2312" w:eastAsia="仿宋_GB2312"/>
          <w:color w:val="auto"/>
          <w:highlight w:val="none"/>
        </w:rPr>
      </w:pPr>
    </w:p>
    <w:p w14:paraId="49970704">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招标文件澄清通知</w:t>
      </w:r>
    </w:p>
    <w:p w14:paraId="367A67E3">
      <w:pPr>
        <w:rPr>
          <w:rFonts w:ascii="宋体" w:hAnsi="宋体"/>
          <w:color w:val="auto"/>
          <w:highlight w:val="none"/>
        </w:rPr>
      </w:pPr>
    </w:p>
    <w:p w14:paraId="1ED72256">
      <w:pPr>
        <w:ind w:firstLine="5985" w:firstLineChars="2850"/>
        <w:rPr>
          <w:rFonts w:ascii="宋体" w:hAnsi="宋体"/>
          <w:color w:val="auto"/>
          <w:highlight w:val="none"/>
        </w:rPr>
      </w:pPr>
      <w:r>
        <w:rPr>
          <w:rFonts w:hint="eastAsia" w:ascii="宋体" w:hAnsi="宋体"/>
          <w:color w:val="auto"/>
          <w:highlight w:val="none"/>
        </w:rPr>
        <w:t>编号：</w:t>
      </w:r>
      <w:r>
        <w:rPr>
          <w:rFonts w:hint="eastAsia" w:ascii="宋体" w:hAnsi="宋体"/>
          <w:color w:val="auto"/>
          <w:highlight w:val="none"/>
          <w:u w:val="single"/>
        </w:rPr>
        <w:t>　        　</w:t>
      </w:r>
    </w:p>
    <w:p w14:paraId="17976C83">
      <w:pPr>
        <w:rPr>
          <w:rFonts w:ascii="宋体" w:hAnsi="宋体"/>
          <w:color w:val="auto"/>
          <w:highlight w:val="none"/>
        </w:rPr>
      </w:pPr>
    </w:p>
    <w:p w14:paraId="0D4186B4">
      <w:pPr>
        <w:spacing w:line="560" w:lineRule="exact"/>
        <w:rPr>
          <w:rFonts w:ascii="宋体" w:hAnsi="宋体"/>
          <w:color w:val="auto"/>
          <w:szCs w:val="21"/>
          <w:highlight w:val="none"/>
        </w:rPr>
      </w:pPr>
      <w:r>
        <w:rPr>
          <w:rFonts w:hint="eastAsia" w:ascii="宋体" w:hAnsi="宋体"/>
          <w:color w:val="auto"/>
          <w:highlight w:val="none"/>
        </w:rPr>
        <w:t>各</w:t>
      </w:r>
      <w:r>
        <w:rPr>
          <w:rFonts w:hint="eastAsia" w:ascii="宋体" w:hAnsi="宋体"/>
          <w:color w:val="auto"/>
          <w:szCs w:val="21"/>
          <w:highlight w:val="none"/>
        </w:rPr>
        <w:t>投标人：</w:t>
      </w:r>
    </w:p>
    <w:p w14:paraId="6BB0BAA4">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经研究，对</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（标段名称）</w:t>
      </w:r>
      <w:r>
        <w:rPr>
          <w:rFonts w:hint="eastAsia"/>
          <w:color w:val="auto"/>
          <w:highlight w:val="none"/>
        </w:rPr>
        <w:t>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olor w:val="auto"/>
          <w:szCs w:val="21"/>
          <w:highlight w:val="none"/>
        </w:rPr>
        <w:t>招标文件，作如下澄清：</w:t>
      </w:r>
    </w:p>
    <w:p w14:paraId="2D3240B5">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1.……</w:t>
      </w:r>
    </w:p>
    <w:p w14:paraId="7FA6C061">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2.……</w:t>
      </w:r>
    </w:p>
    <w:p w14:paraId="1BFA445B">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w:t>
      </w:r>
    </w:p>
    <w:p w14:paraId="1285696F">
      <w:pPr>
        <w:spacing w:line="560" w:lineRule="exact"/>
        <w:rPr>
          <w:rFonts w:ascii="宋体" w:hAnsi="宋体"/>
          <w:color w:val="auto"/>
          <w:szCs w:val="21"/>
          <w:highlight w:val="none"/>
        </w:rPr>
      </w:pPr>
    </w:p>
    <w:p w14:paraId="535D8AAB">
      <w:pPr>
        <w:spacing w:line="560" w:lineRule="exact"/>
        <w:ind w:firstLine="420" w:firstLineChars="200"/>
        <w:rPr>
          <w:rFonts w:ascii="宋体" w:hAnsi="宋体"/>
          <w:color w:val="auto"/>
          <w:szCs w:val="21"/>
          <w:highlight w:val="none"/>
        </w:rPr>
      </w:pPr>
    </w:p>
    <w:p w14:paraId="2C6E457D">
      <w:pPr>
        <w:spacing w:line="560" w:lineRule="exact"/>
        <w:ind w:firstLine="420" w:firstLineChars="200"/>
        <w:rPr>
          <w:rFonts w:ascii="宋体" w:hAnsi="宋体"/>
          <w:color w:val="auto"/>
          <w:szCs w:val="21"/>
          <w:highlight w:val="none"/>
        </w:rPr>
      </w:pPr>
    </w:p>
    <w:p w14:paraId="23479131">
      <w:pPr>
        <w:spacing w:line="560" w:lineRule="exact"/>
        <w:ind w:firstLine="420" w:firstLineChars="200"/>
        <w:rPr>
          <w:rFonts w:ascii="宋体" w:hAnsi="宋体"/>
          <w:color w:val="auto"/>
          <w:szCs w:val="21"/>
          <w:highlight w:val="none"/>
        </w:rPr>
      </w:pPr>
    </w:p>
    <w:p w14:paraId="123F3BB8">
      <w:pPr>
        <w:wordWrap w:val="0"/>
        <w:jc w:val="right"/>
        <w:rPr>
          <w:rFonts w:ascii="宋体" w:hAnsi="宋体"/>
          <w:color w:val="auto"/>
          <w:highlight w:val="none"/>
        </w:rPr>
      </w:pPr>
      <w:r>
        <w:rPr>
          <w:rFonts w:hint="eastAsia" w:ascii="宋体" w:hAnsi="宋体"/>
          <w:color w:val="auto"/>
          <w:szCs w:val="21"/>
          <w:highlight w:val="none"/>
        </w:rPr>
        <w:t>　　　　　　　　　　　　　　　　</w:t>
      </w:r>
      <w:r>
        <w:rPr>
          <w:rFonts w:hint="eastAsia" w:ascii="宋体" w:hAnsi="宋体"/>
          <w:color w:val="auto"/>
          <w:highlight w:val="none"/>
        </w:rPr>
        <w:t>招标人：</w:t>
      </w:r>
      <w:r>
        <w:rPr>
          <w:rFonts w:hint="eastAsia" w:ascii="宋体" w:hAnsi="宋体"/>
          <w:color w:val="auto"/>
          <w:highlight w:val="none"/>
          <w:u w:val="single"/>
        </w:rPr>
        <w:t xml:space="preserve">                  </w:t>
      </w:r>
      <w:r>
        <w:rPr>
          <w:rFonts w:hint="eastAsia" w:ascii="宋体" w:hAnsi="宋体"/>
          <w:color w:val="auto"/>
          <w:highlight w:val="none"/>
        </w:rPr>
        <w:t xml:space="preserve"> （盖单位章）</w:t>
      </w:r>
    </w:p>
    <w:p w14:paraId="48BE6CFB">
      <w:pPr>
        <w:spacing w:line="560" w:lineRule="exact"/>
        <w:ind w:firstLine="420" w:firstLineChars="200"/>
        <w:rPr>
          <w:rFonts w:ascii="宋体" w:hAnsi="宋体"/>
          <w:color w:val="auto"/>
          <w:highlight w:val="none"/>
        </w:rPr>
      </w:pPr>
    </w:p>
    <w:p w14:paraId="3A72DB4A">
      <w:pPr>
        <w:spacing w:line="560" w:lineRule="exact"/>
        <w:ind w:firstLine="420" w:firstLineChars="200"/>
        <w:rPr>
          <w:rFonts w:ascii="宋体" w:hAnsi="宋体"/>
          <w:color w:val="auto"/>
          <w:szCs w:val="21"/>
          <w:highlight w:val="none"/>
        </w:rPr>
      </w:pPr>
      <w:r>
        <w:rPr>
          <w:rFonts w:hint="eastAsia" w:ascii="宋体" w:hAnsi="宋体"/>
          <w:color w:val="auto"/>
          <w:highlight w:val="none"/>
        </w:rPr>
        <w:t xml:space="preserve">                                                    </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53EA6BD3">
      <w:pPr>
        <w:spacing w:line="560" w:lineRule="exact"/>
        <w:rPr>
          <w:rFonts w:ascii="宋体" w:hAnsi="宋体"/>
          <w:color w:val="auto"/>
          <w:szCs w:val="21"/>
          <w:highlight w:val="none"/>
        </w:rPr>
      </w:pPr>
    </w:p>
    <w:p w14:paraId="14595C15">
      <w:pPr>
        <w:spacing w:line="560" w:lineRule="exact"/>
        <w:rPr>
          <w:rFonts w:ascii="宋体" w:hAnsi="宋体"/>
          <w:color w:val="auto"/>
          <w:szCs w:val="21"/>
          <w:highlight w:val="none"/>
        </w:rPr>
      </w:pPr>
    </w:p>
    <w:p w14:paraId="6B4311BB">
      <w:pPr>
        <w:spacing w:line="560" w:lineRule="exact"/>
        <w:ind w:firstLine="420" w:firstLineChars="200"/>
        <w:rPr>
          <w:rFonts w:ascii="仿宋_GB2312" w:eastAsia="仿宋_GB2312"/>
          <w:color w:val="auto"/>
          <w:szCs w:val="21"/>
          <w:highlight w:val="none"/>
        </w:rPr>
      </w:pPr>
      <w:r>
        <w:rPr>
          <w:rFonts w:ascii="仿宋_GB2312" w:eastAsia="仿宋_GB2312"/>
          <w:color w:val="auto"/>
          <w:szCs w:val="21"/>
          <w:highlight w:val="none"/>
        </w:rPr>
        <w:br w:type="page"/>
      </w:r>
    </w:p>
    <w:p w14:paraId="4041821B">
      <w:pPr>
        <w:pStyle w:val="3"/>
        <w:rPr>
          <w:b w:val="0"/>
          <w:color w:val="auto"/>
          <w:sz w:val="24"/>
          <w:szCs w:val="24"/>
          <w:highlight w:val="none"/>
        </w:rPr>
      </w:pPr>
      <w:bookmarkStart w:id="400" w:name="_Toc165804342"/>
      <w:bookmarkStart w:id="401" w:name="_Toc353544002"/>
      <w:bookmarkStart w:id="402" w:name="_Toc16998"/>
      <w:r>
        <w:rPr>
          <w:rFonts w:hint="eastAsia"/>
          <w:b w:val="0"/>
          <w:color w:val="auto"/>
          <w:sz w:val="24"/>
          <w:szCs w:val="24"/>
          <w:highlight w:val="none"/>
        </w:rPr>
        <w:t>附表三：招标文件修改通知</w:t>
      </w:r>
      <w:bookmarkEnd w:id="400"/>
      <w:bookmarkEnd w:id="401"/>
      <w:bookmarkEnd w:id="402"/>
    </w:p>
    <w:p w14:paraId="4F52ADAF">
      <w:pPr>
        <w:spacing w:line="560" w:lineRule="exact"/>
        <w:ind w:right="840" w:rightChars="400"/>
        <w:rPr>
          <w:rFonts w:ascii="仿宋_GB2312" w:eastAsia="仿宋_GB2312"/>
          <w:color w:val="auto"/>
          <w:sz w:val="24"/>
          <w:highlight w:val="none"/>
        </w:rPr>
      </w:pPr>
    </w:p>
    <w:p w14:paraId="001E592C">
      <w:pPr>
        <w:rPr>
          <w:rFonts w:ascii="仿宋_GB2312" w:eastAsia="仿宋_GB2312"/>
          <w:color w:val="auto"/>
          <w:highlight w:val="none"/>
        </w:rPr>
      </w:pPr>
    </w:p>
    <w:p w14:paraId="4F499ACE">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招标文件修改通知</w:t>
      </w:r>
    </w:p>
    <w:p w14:paraId="66EF109A">
      <w:pPr>
        <w:rPr>
          <w:rFonts w:ascii="宋体" w:hAnsi="宋体"/>
          <w:color w:val="auto"/>
          <w:highlight w:val="none"/>
        </w:rPr>
      </w:pPr>
    </w:p>
    <w:p w14:paraId="03261E55">
      <w:pPr>
        <w:ind w:left="5985" w:leftChars="2850"/>
        <w:rPr>
          <w:rFonts w:ascii="宋体" w:hAnsi="宋体"/>
          <w:color w:val="auto"/>
          <w:highlight w:val="none"/>
        </w:rPr>
      </w:pPr>
      <w:r>
        <w:rPr>
          <w:rFonts w:hint="eastAsia" w:ascii="宋体" w:hAnsi="宋体"/>
          <w:color w:val="auto"/>
          <w:highlight w:val="none"/>
        </w:rPr>
        <w:t xml:space="preserve">                                   编号：</w:t>
      </w:r>
      <w:r>
        <w:rPr>
          <w:rFonts w:hint="eastAsia" w:ascii="宋体" w:hAnsi="宋体"/>
          <w:color w:val="auto"/>
          <w:highlight w:val="none"/>
          <w:u w:val="single"/>
        </w:rPr>
        <w:t>　        　</w:t>
      </w:r>
    </w:p>
    <w:p w14:paraId="127811BA">
      <w:pPr>
        <w:rPr>
          <w:rFonts w:ascii="宋体" w:hAnsi="宋体"/>
          <w:color w:val="auto"/>
          <w:highlight w:val="none"/>
        </w:rPr>
      </w:pPr>
    </w:p>
    <w:p w14:paraId="4C65973D">
      <w:pPr>
        <w:spacing w:line="560" w:lineRule="exact"/>
        <w:rPr>
          <w:rFonts w:ascii="宋体" w:hAnsi="宋体"/>
          <w:color w:val="auto"/>
          <w:szCs w:val="21"/>
          <w:highlight w:val="none"/>
        </w:rPr>
      </w:pPr>
      <w:r>
        <w:rPr>
          <w:rFonts w:hint="eastAsia" w:ascii="宋体" w:hAnsi="宋体"/>
          <w:color w:val="auto"/>
          <w:highlight w:val="none"/>
        </w:rPr>
        <w:t>各</w:t>
      </w:r>
      <w:r>
        <w:rPr>
          <w:rFonts w:hint="eastAsia" w:ascii="宋体" w:hAnsi="宋体"/>
          <w:color w:val="auto"/>
          <w:szCs w:val="21"/>
          <w:highlight w:val="none"/>
        </w:rPr>
        <w:t>投标人：</w:t>
      </w:r>
    </w:p>
    <w:p w14:paraId="5CB23537">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经研究，对</w:t>
      </w:r>
      <w:r>
        <w:rPr>
          <w:rFonts w:ascii="宋体" w:hAnsi="宋体"/>
          <w:color w:val="auto"/>
          <w:szCs w:val="21"/>
          <w:highlight w:val="non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w:t>
      </w:r>
      <w:r>
        <w:rPr>
          <w:rFonts w:hint="eastAsia" w:ascii="宋体" w:hAnsi="宋体"/>
          <w:color w:val="auto"/>
          <w:szCs w:val="21"/>
          <w:highlight w:val="none"/>
        </w:rPr>
        <w:t xml:space="preserve"> （标段名称）</w:t>
      </w:r>
      <w:r>
        <w:rPr>
          <w:rFonts w:hint="eastAsia"/>
          <w:color w:val="auto"/>
          <w:highlight w:val="none"/>
        </w:rPr>
        <w:t>项目（标段唯一标识码：</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olor w:val="auto"/>
          <w:szCs w:val="21"/>
          <w:highlight w:val="none"/>
        </w:rPr>
        <w:t>招标文件，作如下修改：</w:t>
      </w:r>
    </w:p>
    <w:p w14:paraId="762E3DA5">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1.……</w:t>
      </w:r>
    </w:p>
    <w:p w14:paraId="78079FD0">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2.……</w:t>
      </w:r>
    </w:p>
    <w:p w14:paraId="563E426A">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w:t>
      </w:r>
    </w:p>
    <w:p w14:paraId="247F08A3">
      <w:pPr>
        <w:spacing w:line="560" w:lineRule="exact"/>
        <w:rPr>
          <w:rFonts w:ascii="宋体" w:hAnsi="宋体"/>
          <w:color w:val="auto"/>
          <w:szCs w:val="21"/>
          <w:highlight w:val="none"/>
        </w:rPr>
      </w:pPr>
    </w:p>
    <w:p w14:paraId="26E78DFF">
      <w:pPr>
        <w:spacing w:line="560" w:lineRule="exact"/>
        <w:ind w:firstLine="420" w:firstLineChars="200"/>
        <w:rPr>
          <w:rFonts w:ascii="宋体" w:hAnsi="宋体"/>
          <w:color w:val="auto"/>
          <w:szCs w:val="21"/>
          <w:highlight w:val="none"/>
          <w:bdr w:val="single" w:color="auto" w:sz="4" w:space="0"/>
        </w:rPr>
      </w:pPr>
    </w:p>
    <w:p w14:paraId="19459845">
      <w:pPr>
        <w:spacing w:line="560" w:lineRule="exact"/>
        <w:ind w:firstLine="420" w:firstLineChars="200"/>
        <w:rPr>
          <w:rFonts w:ascii="宋体" w:hAnsi="宋体"/>
          <w:color w:val="auto"/>
          <w:szCs w:val="21"/>
          <w:highlight w:val="none"/>
        </w:rPr>
      </w:pPr>
    </w:p>
    <w:p w14:paraId="2B3678F1">
      <w:pPr>
        <w:spacing w:line="560" w:lineRule="exact"/>
        <w:ind w:firstLine="420" w:firstLineChars="200"/>
        <w:rPr>
          <w:rFonts w:ascii="宋体" w:hAnsi="宋体"/>
          <w:color w:val="auto"/>
          <w:szCs w:val="21"/>
          <w:highlight w:val="none"/>
        </w:rPr>
      </w:pPr>
    </w:p>
    <w:p w14:paraId="6F140338">
      <w:pPr>
        <w:wordWrap w:val="0"/>
        <w:jc w:val="right"/>
        <w:rPr>
          <w:rFonts w:ascii="宋体" w:hAnsi="宋体"/>
          <w:color w:val="auto"/>
          <w:highlight w:val="none"/>
        </w:rPr>
      </w:pPr>
      <w:r>
        <w:rPr>
          <w:rFonts w:hint="eastAsia" w:ascii="宋体" w:hAnsi="宋体"/>
          <w:color w:val="auto"/>
          <w:szCs w:val="21"/>
          <w:highlight w:val="none"/>
        </w:rPr>
        <w:t>　　　　　　　　　　　　　　　　</w:t>
      </w:r>
      <w:r>
        <w:rPr>
          <w:rFonts w:hint="eastAsia" w:ascii="宋体" w:hAnsi="宋体"/>
          <w:color w:val="auto"/>
          <w:highlight w:val="none"/>
        </w:rPr>
        <w:t>招标人：</w:t>
      </w:r>
      <w:r>
        <w:rPr>
          <w:rFonts w:hint="eastAsia" w:ascii="宋体" w:hAnsi="宋体"/>
          <w:color w:val="auto"/>
          <w:highlight w:val="none"/>
          <w:u w:val="single"/>
        </w:rPr>
        <w:t xml:space="preserve">                  </w:t>
      </w:r>
      <w:r>
        <w:rPr>
          <w:rFonts w:hint="eastAsia" w:ascii="宋体" w:hAnsi="宋体"/>
          <w:color w:val="auto"/>
          <w:highlight w:val="none"/>
        </w:rPr>
        <w:t xml:space="preserve"> （盖单位章）</w:t>
      </w:r>
    </w:p>
    <w:p w14:paraId="3A803090">
      <w:pPr>
        <w:spacing w:line="560" w:lineRule="exact"/>
        <w:ind w:firstLine="420" w:firstLineChars="200"/>
        <w:rPr>
          <w:rFonts w:ascii="宋体" w:hAnsi="宋体"/>
          <w:color w:val="auto"/>
          <w:highlight w:val="none"/>
        </w:rPr>
      </w:pPr>
    </w:p>
    <w:p w14:paraId="1B298159">
      <w:pPr>
        <w:spacing w:line="560" w:lineRule="exact"/>
        <w:ind w:firstLine="420" w:firstLineChars="200"/>
        <w:rPr>
          <w:rFonts w:ascii="宋体" w:hAnsi="宋体"/>
          <w:color w:val="auto"/>
          <w:szCs w:val="21"/>
          <w:highlight w:val="none"/>
        </w:rPr>
      </w:pPr>
      <w:r>
        <w:rPr>
          <w:rFonts w:hint="eastAsia" w:ascii="宋体" w:hAnsi="宋体"/>
          <w:color w:val="auto"/>
          <w:highlight w:val="none"/>
        </w:rPr>
        <w:t xml:space="preserve">                                                   </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4C096499">
      <w:pPr>
        <w:spacing w:line="560" w:lineRule="exact"/>
        <w:rPr>
          <w:rFonts w:ascii="宋体" w:hAnsi="宋体"/>
          <w:color w:val="auto"/>
          <w:szCs w:val="21"/>
          <w:highlight w:val="none"/>
        </w:rPr>
      </w:pPr>
    </w:p>
    <w:p w14:paraId="1945EF51">
      <w:pPr>
        <w:spacing w:line="560" w:lineRule="exact"/>
        <w:rPr>
          <w:rFonts w:ascii="宋体" w:hAnsi="宋体"/>
          <w:color w:val="auto"/>
          <w:szCs w:val="21"/>
          <w:highlight w:val="none"/>
        </w:rPr>
      </w:pPr>
    </w:p>
    <w:p w14:paraId="65AAC64B">
      <w:pPr>
        <w:spacing w:after="360" w:afterLines="150"/>
        <w:rPr>
          <w:rFonts w:ascii="仿宋_GB2312" w:eastAsia="仿宋_GB2312"/>
          <w:color w:val="auto"/>
          <w:sz w:val="24"/>
          <w:highlight w:val="none"/>
        </w:rPr>
      </w:pPr>
      <w:r>
        <w:rPr>
          <w:rFonts w:ascii="仿宋_GB2312" w:eastAsia="仿宋_GB2312"/>
          <w:color w:val="auto"/>
          <w:sz w:val="24"/>
          <w:highlight w:val="none"/>
        </w:rPr>
        <w:br w:type="page"/>
      </w:r>
    </w:p>
    <w:p w14:paraId="1B78DB4A">
      <w:pPr>
        <w:pStyle w:val="3"/>
        <w:rPr>
          <w:b w:val="0"/>
          <w:color w:val="auto"/>
          <w:sz w:val="24"/>
          <w:szCs w:val="24"/>
          <w:highlight w:val="none"/>
        </w:rPr>
      </w:pPr>
      <w:bookmarkStart w:id="403" w:name="_Toc12884"/>
      <w:bookmarkStart w:id="404" w:name="_Toc165804343"/>
      <w:bookmarkStart w:id="405" w:name="_Toc353544004"/>
      <w:r>
        <w:rPr>
          <w:rFonts w:hint="eastAsia"/>
          <w:b w:val="0"/>
          <w:color w:val="auto"/>
          <w:sz w:val="24"/>
          <w:szCs w:val="24"/>
          <w:highlight w:val="none"/>
        </w:rPr>
        <w:t>附表四：投标文件递交电子签收凭证</w:t>
      </w:r>
      <w:bookmarkEnd w:id="403"/>
      <w:bookmarkEnd w:id="404"/>
      <w:bookmarkEnd w:id="405"/>
    </w:p>
    <w:p w14:paraId="36FF1498">
      <w:pPr>
        <w:spacing w:before="240" w:beforeLines="100" w:after="240" w:afterLines="100" w:line="480" w:lineRule="exact"/>
        <w:jc w:val="center"/>
        <w:rPr>
          <w:rFonts w:ascii="黑体" w:eastAsia="黑体"/>
          <w:color w:val="auto"/>
          <w:sz w:val="28"/>
          <w:szCs w:val="28"/>
          <w:highlight w:val="none"/>
        </w:rPr>
      </w:pPr>
    </w:p>
    <w:p w14:paraId="4B499034">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投标文件递交电子签收凭证</w:t>
      </w:r>
    </w:p>
    <w:p w14:paraId="118135CA">
      <w:pPr>
        <w:spacing w:before="72" w:beforeLines="30"/>
        <w:jc w:val="right"/>
        <w:rPr>
          <w:rFonts w:ascii="宋体" w:hAnsi="宋体" w:cs="宋体"/>
          <w:color w:val="auto"/>
          <w:kern w:val="0"/>
          <w:szCs w:val="21"/>
          <w:highlight w:val="none"/>
        </w:rPr>
      </w:pPr>
      <w:bookmarkStart w:id="406" w:name="_Hlk152086657"/>
    </w:p>
    <w:p w14:paraId="6C8FAECA">
      <w:pPr>
        <w:spacing w:before="72" w:beforeLines="30"/>
        <w:jc w:val="right"/>
        <w:rPr>
          <w:rFonts w:ascii="宋体" w:hAnsi="宋体" w:cs="宋体"/>
          <w:color w:val="auto"/>
          <w:kern w:val="0"/>
          <w:szCs w:val="21"/>
          <w:highlight w:val="none"/>
        </w:rPr>
      </w:pPr>
    </w:p>
    <w:p w14:paraId="2D8BB0C9">
      <w:pPr>
        <w:pStyle w:val="12"/>
        <w:spacing w:line="480" w:lineRule="auto"/>
        <w:ind w:firstLine="0"/>
        <w:rPr>
          <w:rFonts w:hAnsi="宋体" w:cs="仿宋_GB2312"/>
          <w:color w:val="auto"/>
          <w:highlight w:val="none"/>
        </w:rPr>
      </w:pPr>
      <w:r>
        <w:rPr>
          <w:rFonts w:hint="eastAsia" w:hAnsi="宋体" w:cs="仿宋_GB2312"/>
          <w:color w:val="auto"/>
          <w:highlight w:val="none"/>
          <w:u w:val="single"/>
        </w:rPr>
        <w:t xml:space="preserve"> </w:t>
      </w:r>
      <w:r>
        <w:rPr>
          <w:rFonts w:hAnsi="宋体" w:cs="仿宋_GB2312"/>
          <w:color w:val="auto"/>
          <w:highlight w:val="none"/>
          <w:u w:val="single"/>
        </w:rPr>
        <w:t xml:space="preserve">                </w:t>
      </w:r>
      <w:r>
        <w:rPr>
          <w:rFonts w:hint="eastAsia" w:hAnsi="宋体" w:cs="仿宋_GB2312"/>
          <w:color w:val="auto"/>
          <w:highlight w:val="none"/>
        </w:rPr>
        <w:t>（投标人名称）：</w:t>
      </w:r>
    </w:p>
    <w:p w14:paraId="3F464FE8">
      <w:pPr>
        <w:spacing w:line="360" w:lineRule="auto"/>
        <w:ind w:firstLine="420" w:firstLineChars="200"/>
        <w:jc w:val="left"/>
        <w:rPr>
          <w:rFonts w:ascii="宋体" w:hAnsi="宋体" w:cs="仿宋_GB2312"/>
          <w:color w:val="auto"/>
          <w:szCs w:val="21"/>
          <w:highlight w:val="none"/>
          <w:u w:val="single"/>
        </w:rPr>
      </w:pPr>
      <w:r>
        <w:rPr>
          <w:rFonts w:hint="eastAsia" w:ascii="宋体" w:hAnsi="宋体" w:cs="仿宋_GB2312"/>
          <w:color w:val="auto"/>
          <w:szCs w:val="21"/>
          <w:highlight w:val="none"/>
        </w:rPr>
        <w:t>您单位参与的</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（标段名称）项目（标段唯一标识码：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s="仿宋_GB2312"/>
          <w:color w:val="auto"/>
          <w:szCs w:val="21"/>
          <w:highlight w:val="none"/>
        </w:rPr>
        <w:t>，投标文件于</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年</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月</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日</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时</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分</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秒上传成功。</w:t>
      </w:r>
    </w:p>
    <w:p w14:paraId="53C9ED66">
      <w:pPr>
        <w:spacing w:line="360" w:lineRule="auto"/>
        <w:ind w:firstLine="420" w:firstLineChars="200"/>
        <w:jc w:val="left"/>
        <w:rPr>
          <w:rFonts w:ascii="宋体" w:hAnsi="宋体" w:cs="仿宋_GB2312"/>
          <w:color w:val="auto"/>
          <w:szCs w:val="21"/>
          <w:highlight w:val="none"/>
        </w:rPr>
      </w:pPr>
    </w:p>
    <w:p w14:paraId="3078E4E5">
      <w:pPr>
        <w:spacing w:line="360" w:lineRule="auto"/>
        <w:ind w:firstLine="420" w:firstLineChars="200"/>
        <w:jc w:val="left"/>
        <w:rPr>
          <w:rFonts w:ascii="宋体" w:hAnsi="宋体" w:cs="仿宋_GB2312"/>
          <w:color w:val="auto"/>
          <w:szCs w:val="21"/>
          <w:highlight w:val="none"/>
        </w:rPr>
      </w:pPr>
      <w:r>
        <w:rPr>
          <w:rFonts w:hint="eastAsia" w:ascii="宋体" w:hAnsi="宋体" w:cs="仿宋_GB2312"/>
          <w:color w:val="auto"/>
          <w:szCs w:val="21"/>
          <w:highlight w:val="none"/>
        </w:rPr>
        <w:t>项目经理：</w:t>
      </w:r>
      <w:r>
        <w:rPr>
          <w:rFonts w:hint="eastAsia" w:ascii="宋体" w:hAnsi="宋体" w:cs="仿宋_GB2312"/>
          <w:color w:val="auto"/>
          <w:szCs w:val="21"/>
          <w:highlight w:val="none"/>
          <w:u w:val="single"/>
        </w:rPr>
        <w:t xml:space="preserve">  </w:t>
      </w:r>
      <w:r>
        <w:rPr>
          <w:rFonts w:ascii="宋体" w:hAnsi="宋体" w:cs="仿宋_GB2312"/>
          <w:color w:val="auto"/>
          <w:szCs w:val="21"/>
          <w:highlight w:val="none"/>
          <w:u w:val="single"/>
        </w:rPr>
        <w:t xml:space="preserve">                           </w:t>
      </w:r>
      <w:r>
        <w:rPr>
          <w:rFonts w:hint="eastAsia" w:ascii="宋体" w:hAnsi="宋体" w:cs="仿宋_GB2312"/>
          <w:color w:val="auto"/>
          <w:szCs w:val="21"/>
          <w:highlight w:val="none"/>
          <w:u w:val="single"/>
        </w:rPr>
        <w:t xml:space="preserve">  </w:t>
      </w:r>
    </w:p>
    <w:p w14:paraId="63D71643">
      <w:pPr>
        <w:spacing w:before="72" w:beforeLines="30" w:line="360" w:lineRule="auto"/>
        <w:ind w:firstLine="420" w:firstLineChars="200"/>
        <w:rPr>
          <w:rFonts w:ascii="宋体" w:hAnsi="宋体" w:cs="宋体"/>
          <w:color w:val="auto"/>
          <w:kern w:val="0"/>
          <w:szCs w:val="21"/>
          <w:highlight w:val="none"/>
        </w:rPr>
      </w:pPr>
      <w:r>
        <w:rPr>
          <w:rFonts w:hint="eastAsia" w:ascii="宋体" w:hAnsi="宋体" w:cs="仿宋_GB2312"/>
          <w:color w:val="auto"/>
          <w:szCs w:val="21"/>
          <w:highlight w:val="none"/>
        </w:rPr>
        <w:t>回执码：</w:t>
      </w:r>
      <w:r>
        <w:rPr>
          <w:rFonts w:hint="eastAsia" w:ascii="宋体" w:hAnsi="宋体" w:cs="仿宋_GB2312"/>
          <w:color w:val="auto"/>
          <w:szCs w:val="21"/>
          <w:highlight w:val="none"/>
          <w:u w:val="single"/>
        </w:rPr>
        <w:t xml:space="preserve">  </w:t>
      </w:r>
      <w:r>
        <w:rPr>
          <w:rFonts w:ascii="宋体" w:hAnsi="宋体" w:cs="仿宋_GB2312"/>
          <w:color w:val="auto"/>
          <w:szCs w:val="21"/>
          <w:highlight w:val="none"/>
          <w:u w:val="single"/>
        </w:rPr>
        <w:t xml:space="preserve">                             </w:t>
      </w:r>
      <w:r>
        <w:rPr>
          <w:rFonts w:hint="eastAsia" w:ascii="宋体" w:hAnsi="宋体" w:cs="仿宋_GB2312"/>
          <w:color w:val="auto"/>
          <w:szCs w:val="21"/>
          <w:highlight w:val="none"/>
          <w:u w:val="single"/>
        </w:rPr>
        <w:t xml:space="preserve">  </w:t>
      </w:r>
    </w:p>
    <w:bookmarkEnd w:id="406"/>
    <w:p w14:paraId="6CA72957">
      <w:pPr>
        <w:spacing w:before="72" w:beforeLines="30"/>
        <w:ind w:firstLine="4305" w:firstLineChars="2050"/>
        <w:rPr>
          <w:rFonts w:ascii="宋体" w:hAnsi="宋体"/>
          <w:color w:val="auto"/>
          <w:highlight w:val="none"/>
        </w:rPr>
      </w:pPr>
    </w:p>
    <w:p w14:paraId="0499B1A1">
      <w:pPr>
        <w:spacing w:line="400" w:lineRule="exact"/>
        <w:rPr>
          <w:rFonts w:ascii="宋体" w:hAnsi="宋体"/>
          <w:color w:val="auto"/>
          <w:highlight w:val="none"/>
        </w:rPr>
      </w:pPr>
    </w:p>
    <w:p w14:paraId="69697C06">
      <w:pPr>
        <w:spacing w:line="400" w:lineRule="exact"/>
        <w:rPr>
          <w:color w:val="auto"/>
          <w:sz w:val="24"/>
          <w:highlight w:val="none"/>
        </w:rPr>
      </w:pPr>
    </w:p>
    <w:p w14:paraId="27E75616">
      <w:pPr>
        <w:pStyle w:val="3"/>
        <w:rPr>
          <w:b w:val="0"/>
          <w:color w:val="auto"/>
          <w:sz w:val="24"/>
          <w:szCs w:val="24"/>
          <w:highlight w:val="none"/>
        </w:rPr>
        <w:sectPr>
          <w:pgSz w:w="11906" w:h="16838"/>
          <w:pgMar w:top="1440" w:right="1797" w:bottom="1440" w:left="1797" w:header="851" w:footer="851" w:gutter="0"/>
          <w:cols w:space="720" w:num="1"/>
          <w:docGrid w:linePitch="312" w:charSpace="0"/>
        </w:sectPr>
      </w:pPr>
    </w:p>
    <w:p w14:paraId="66B957C5">
      <w:pPr>
        <w:pStyle w:val="3"/>
        <w:rPr>
          <w:b w:val="0"/>
          <w:color w:val="auto"/>
          <w:sz w:val="24"/>
          <w:szCs w:val="24"/>
          <w:highlight w:val="none"/>
        </w:rPr>
      </w:pPr>
      <w:bookmarkStart w:id="407" w:name="_Toc5049"/>
      <w:bookmarkStart w:id="408" w:name="_Toc165804344"/>
      <w:r>
        <w:rPr>
          <w:rFonts w:hint="eastAsia"/>
          <w:b w:val="0"/>
          <w:color w:val="auto"/>
          <w:sz w:val="24"/>
          <w:szCs w:val="24"/>
          <w:highlight w:val="none"/>
        </w:rPr>
        <w:t>附表五：开标记录表</w:t>
      </w:r>
      <w:bookmarkEnd w:id="407"/>
      <w:bookmarkEnd w:id="408"/>
    </w:p>
    <w:p w14:paraId="6DFDC1B5">
      <w:pPr>
        <w:spacing w:before="240" w:beforeLines="100" w:after="240" w:afterLines="100" w:line="400" w:lineRule="exact"/>
        <w:ind w:firstLine="4620" w:firstLineChars="1650"/>
        <w:rPr>
          <w:rFonts w:ascii="黑体" w:eastAsia="黑体"/>
          <w:color w:val="auto"/>
          <w:sz w:val="28"/>
          <w:szCs w:val="28"/>
          <w:highlight w:val="none"/>
        </w:rPr>
      </w:pPr>
      <w:r>
        <w:rPr>
          <w:rFonts w:hint="eastAsia" w:ascii="黑体" w:eastAsia="黑体"/>
          <w:color w:val="auto"/>
          <w:sz w:val="28"/>
          <w:szCs w:val="28"/>
          <w:highlight w:val="none"/>
          <w:u w:val="single"/>
        </w:rPr>
        <w:t xml:space="preserve">    </w:t>
      </w:r>
      <w:r>
        <w:rPr>
          <w:rFonts w:ascii="黑体" w:eastAsia="黑体"/>
          <w:color w:val="auto"/>
          <w:sz w:val="28"/>
          <w:szCs w:val="28"/>
          <w:highlight w:val="none"/>
          <w:u w:val="single"/>
        </w:rPr>
        <w:t xml:space="preserve">                   </w:t>
      </w:r>
      <w:r>
        <w:rPr>
          <w:rFonts w:hint="eastAsia" w:ascii="黑体" w:eastAsia="黑体"/>
          <w:color w:val="auto"/>
          <w:sz w:val="28"/>
          <w:szCs w:val="28"/>
          <w:highlight w:val="none"/>
        </w:rPr>
        <w:t>（标段名称）项目开标记录表</w:t>
      </w:r>
    </w:p>
    <w:p w14:paraId="49F82CF8">
      <w:pPr>
        <w:spacing w:line="400" w:lineRule="exact"/>
        <w:ind w:firstLine="105" w:firstLineChars="50"/>
        <w:rPr>
          <w:rFonts w:ascii="宋体" w:hAnsi="宋体"/>
          <w:color w:val="auto"/>
          <w:highlight w:val="none"/>
        </w:rPr>
      </w:pPr>
      <w:r>
        <w:rPr>
          <w:rFonts w:hint="eastAsia" w:ascii="宋体" w:hAnsi="宋体"/>
          <w:color w:val="auto"/>
          <w:highlight w:val="none"/>
        </w:rPr>
        <w:t>开标时间：</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r>
        <w:rPr>
          <w:rFonts w:hint="eastAsia" w:ascii="宋体" w:hAnsi="宋体"/>
          <w:color w:val="auto"/>
          <w:highlight w:val="none"/>
          <w:u w:val="single"/>
        </w:rPr>
        <w:t xml:space="preserve">    </w:t>
      </w:r>
      <w:r>
        <w:rPr>
          <w:rFonts w:hint="eastAsia" w:ascii="宋体" w:hAnsi="宋体"/>
          <w:color w:val="auto"/>
          <w:highlight w:val="none"/>
        </w:rPr>
        <w:t>时</w:t>
      </w:r>
      <w:r>
        <w:rPr>
          <w:rFonts w:hint="eastAsia" w:ascii="宋体" w:hAnsi="宋体"/>
          <w:color w:val="auto"/>
          <w:highlight w:val="none"/>
          <w:u w:val="single"/>
        </w:rPr>
        <w:t xml:space="preserve">    </w:t>
      </w:r>
      <w:r>
        <w:rPr>
          <w:rFonts w:hint="eastAsia" w:ascii="宋体" w:hAnsi="宋体"/>
          <w:color w:val="auto"/>
          <w:highlight w:val="none"/>
        </w:rPr>
        <w:t>分     开标地点：</w:t>
      </w:r>
      <w:r>
        <w:rPr>
          <w:rFonts w:hint="eastAsia" w:ascii="宋体" w:hAnsi="宋体"/>
          <w:color w:val="auto"/>
          <w:highlight w:val="none"/>
          <w:u w:val="single"/>
        </w:rPr>
        <w:t xml:space="preserve">                            </w:t>
      </w:r>
      <w:r>
        <w:rPr>
          <w:rFonts w:hint="eastAsia" w:ascii="宋体" w:hAnsi="宋体"/>
          <w:color w:val="auto"/>
          <w:highlight w:val="none"/>
        </w:rPr>
        <w:t xml:space="preserve">    </w:t>
      </w:r>
      <w:r>
        <w:rPr>
          <w:rFonts w:ascii="宋体" w:hAnsi="宋体"/>
          <w:color w:val="auto"/>
          <w:highlight w:val="none"/>
        </w:rPr>
        <w:t xml:space="preserve">   </w:t>
      </w:r>
      <w:r>
        <w:rPr>
          <w:rFonts w:hint="eastAsia" w:ascii="宋体" w:hAnsi="宋体"/>
          <w:color w:val="auto"/>
          <w:highlight w:val="none"/>
        </w:rPr>
        <w:t>开标方式：</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u w:val="single"/>
        </w:rPr>
        <w:t xml:space="preserve">       </w:t>
      </w:r>
    </w:p>
    <w:tbl>
      <w:tblPr>
        <w:tblStyle w:val="18"/>
        <w:tblW w:w="140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2481"/>
        <w:gridCol w:w="992"/>
        <w:gridCol w:w="1134"/>
        <w:gridCol w:w="1134"/>
        <w:gridCol w:w="1134"/>
        <w:gridCol w:w="1134"/>
        <w:gridCol w:w="1134"/>
        <w:gridCol w:w="1276"/>
        <w:gridCol w:w="1701"/>
        <w:gridCol w:w="1276"/>
      </w:tblGrid>
      <w:tr w14:paraId="7033D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66" w:type="dxa"/>
            <w:vMerge w:val="restart"/>
            <w:tcMar>
              <w:left w:w="28" w:type="dxa"/>
              <w:right w:w="28" w:type="dxa"/>
            </w:tcMar>
            <w:vAlign w:val="center"/>
          </w:tcPr>
          <w:p w14:paraId="71813D0A">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序号</w:t>
            </w:r>
          </w:p>
        </w:tc>
        <w:tc>
          <w:tcPr>
            <w:tcW w:w="2481" w:type="dxa"/>
            <w:vMerge w:val="restart"/>
            <w:tcMar>
              <w:left w:w="28" w:type="dxa"/>
              <w:right w:w="28" w:type="dxa"/>
            </w:tcMar>
            <w:vAlign w:val="center"/>
          </w:tcPr>
          <w:p w14:paraId="6DE021DE">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投标人名称</w:t>
            </w:r>
          </w:p>
        </w:tc>
        <w:tc>
          <w:tcPr>
            <w:tcW w:w="992" w:type="dxa"/>
            <w:vMerge w:val="restart"/>
            <w:tcMar>
              <w:left w:w="28" w:type="dxa"/>
              <w:right w:w="28" w:type="dxa"/>
            </w:tcMar>
            <w:vAlign w:val="center"/>
          </w:tcPr>
          <w:p w14:paraId="306E96ED">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投标报价（元）</w:t>
            </w:r>
          </w:p>
        </w:tc>
        <w:tc>
          <w:tcPr>
            <w:tcW w:w="1134" w:type="dxa"/>
            <w:vMerge w:val="restart"/>
            <w:tcMar>
              <w:left w:w="28" w:type="dxa"/>
              <w:right w:w="28" w:type="dxa"/>
            </w:tcMar>
            <w:vAlign w:val="center"/>
          </w:tcPr>
          <w:p w14:paraId="67182F82">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工期</w:t>
            </w:r>
          </w:p>
          <w:p w14:paraId="3E929B67">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（日历天）</w:t>
            </w:r>
          </w:p>
        </w:tc>
        <w:tc>
          <w:tcPr>
            <w:tcW w:w="1134" w:type="dxa"/>
            <w:vMerge w:val="restart"/>
            <w:tcMar>
              <w:left w:w="28" w:type="dxa"/>
              <w:right w:w="28" w:type="dxa"/>
            </w:tcMar>
            <w:vAlign w:val="center"/>
          </w:tcPr>
          <w:p w14:paraId="64AB339B">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质量目标</w:t>
            </w:r>
          </w:p>
        </w:tc>
        <w:tc>
          <w:tcPr>
            <w:tcW w:w="1134" w:type="dxa"/>
            <w:vMerge w:val="restart"/>
            <w:vAlign w:val="center"/>
          </w:tcPr>
          <w:p w14:paraId="6969292C">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投标有效期（天）</w:t>
            </w:r>
          </w:p>
        </w:tc>
        <w:tc>
          <w:tcPr>
            <w:tcW w:w="1134" w:type="dxa"/>
            <w:vMerge w:val="restart"/>
            <w:tcMar>
              <w:left w:w="28" w:type="dxa"/>
              <w:right w:w="28" w:type="dxa"/>
            </w:tcMar>
            <w:vAlign w:val="center"/>
          </w:tcPr>
          <w:p w14:paraId="202E700D">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项目经理</w:t>
            </w:r>
          </w:p>
          <w:p w14:paraId="758F7EC0">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姓名</w:t>
            </w:r>
          </w:p>
        </w:tc>
        <w:tc>
          <w:tcPr>
            <w:tcW w:w="2410" w:type="dxa"/>
            <w:gridSpan w:val="2"/>
          </w:tcPr>
          <w:p w14:paraId="6EBE0C17">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投标保证金</w:t>
            </w:r>
          </w:p>
        </w:tc>
        <w:tc>
          <w:tcPr>
            <w:tcW w:w="1701" w:type="dxa"/>
            <w:vMerge w:val="restart"/>
            <w:tcMar>
              <w:left w:w="28" w:type="dxa"/>
              <w:right w:w="28" w:type="dxa"/>
            </w:tcMar>
            <w:vAlign w:val="center"/>
          </w:tcPr>
          <w:p w14:paraId="2FEC001B">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法定代表人或授权委托人确认</w:t>
            </w:r>
          </w:p>
        </w:tc>
        <w:tc>
          <w:tcPr>
            <w:tcW w:w="1276" w:type="dxa"/>
            <w:vMerge w:val="restart"/>
            <w:vAlign w:val="center"/>
          </w:tcPr>
          <w:p w14:paraId="00EA29FF">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联系电话</w:t>
            </w:r>
          </w:p>
        </w:tc>
      </w:tr>
      <w:tr w14:paraId="2060F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66" w:type="dxa"/>
            <w:vMerge w:val="continue"/>
            <w:tcMar>
              <w:left w:w="28" w:type="dxa"/>
              <w:right w:w="28" w:type="dxa"/>
            </w:tcMar>
            <w:vAlign w:val="center"/>
          </w:tcPr>
          <w:p w14:paraId="712E851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vMerge w:val="continue"/>
            <w:tcMar>
              <w:left w:w="28" w:type="dxa"/>
              <w:right w:w="28" w:type="dxa"/>
            </w:tcMar>
            <w:vAlign w:val="center"/>
          </w:tcPr>
          <w:p w14:paraId="577F873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vMerge w:val="continue"/>
            <w:tcMar>
              <w:left w:w="28" w:type="dxa"/>
              <w:right w:w="28" w:type="dxa"/>
            </w:tcMar>
            <w:vAlign w:val="center"/>
          </w:tcPr>
          <w:p w14:paraId="4974398A">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Merge w:val="continue"/>
            <w:tcMar>
              <w:left w:w="28" w:type="dxa"/>
              <w:right w:w="28" w:type="dxa"/>
            </w:tcMar>
            <w:vAlign w:val="center"/>
          </w:tcPr>
          <w:p w14:paraId="6F14B5B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Merge w:val="continue"/>
            <w:tcMar>
              <w:left w:w="28" w:type="dxa"/>
              <w:right w:w="28" w:type="dxa"/>
            </w:tcMar>
            <w:vAlign w:val="center"/>
          </w:tcPr>
          <w:p w14:paraId="0AC37D0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Merge w:val="continue"/>
            <w:vAlign w:val="center"/>
          </w:tcPr>
          <w:p w14:paraId="58B04DF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Merge w:val="continue"/>
            <w:tcMar>
              <w:left w:w="28" w:type="dxa"/>
              <w:right w:w="28" w:type="dxa"/>
            </w:tcMar>
            <w:vAlign w:val="center"/>
          </w:tcPr>
          <w:p w14:paraId="627FD6C3">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36947349">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金额（元）</w:t>
            </w:r>
          </w:p>
        </w:tc>
        <w:tc>
          <w:tcPr>
            <w:tcW w:w="1276" w:type="dxa"/>
            <w:tcMar>
              <w:left w:w="28" w:type="dxa"/>
              <w:right w:w="28" w:type="dxa"/>
            </w:tcMar>
            <w:vAlign w:val="center"/>
          </w:tcPr>
          <w:p w14:paraId="1DAAFD4C">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缴纳方式</w:t>
            </w:r>
          </w:p>
        </w:tc>
        <w:tc>
          <w:tcPr>
            <w:tcW w:w="1701" w:type="dxa"/>
            <w:vMerge w:val="continue"/>
            <w:tcMar>
              <w:left w:w="28" w:type="dxa"/>
              <w:right w:w="28" w:type="dxa"/>
            </w:tcMar>
            <w:vAlign w:val="center"/>
          </w:tcPr>
          <w:p w14:paraId="21E095E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Merge w:val="continue"/>
            <w:vAlign w:val="center"/>
          </w:tcPr>
          <w:p w14:paraId="1EBBFB76">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21479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486E7038">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728D3D8A">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1AC7E17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4E91C39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410767FB">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79EF2FF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6A608F9A">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4691A12D">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1D25F31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73BA6BB2">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5D941DDA">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20297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34CA77D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60B5BFDE">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4F38EFFE">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7BF692D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2812271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5A9D0B5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5FD5D0FA">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7E2C906F">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244912C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3783E9F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01941321">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67EF6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0A0889E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0E23F35B">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773A781B">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220C4F0F">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7341E87D">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324AD9C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7596852B">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6D4F16BD">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6D8E40B9">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03BDD7B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5A71297D">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3614D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44BC34D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2011BB2E">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44B6BDB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6E60B41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6E585CE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22304ED2">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127990B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7CFB001D">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1BB75DFB">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041FA89E">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3777E826">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005D8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2D8CCB24">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73A90E38">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66E210E9">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775F66F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796FD78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4CD5A87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07CA56C4">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353F217B">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0C89088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0AC4CF7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0C17A373">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4A727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4843D61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209E8A6D">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2187E3C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5A032E7A">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2484102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7B24047D">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31865C2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7083D902">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1C33097D">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36E7B96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7F19FEDA">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3C66B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566D6463">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7A44D5B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7FCEA304">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7FD3BEF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51C76662">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683D7B3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059FE32B">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137F42C4">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1FC91354">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4006ED43">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6A53F883">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31A3C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66" w:type="dxa"/>
            <w:tcMar>
              <w:left w:w="28" w:type="dxa"/>
              <w:right w:w="28" w:type="dxa"/>
            </w:tcMar>
            <w:vAlign w:val="center"/>
          </w:tcPr>
          <w:p w14:paraId="0AAA3484">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2481" w:type="dxa"/>
            <w:tcMar>
              <w:left w:w="28" w:type="dxa"/>
              <w:right w:w="28" w:type="dxa"/>
            </w:tcMar>
            <w:vAlign w:val="center"/>
          </w:tcPr>
          <w:p w14:paraId="7B1D3C03">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992" w:type="dxa"/>
            <w:tcMar>
              <w:left w:w="28" w:type="dxa"/>
              <w:right w:w="28" w:type="dxa"/>
            </w:tcMar>
            <w:vAlign w:val="center"/>
          </w:tcPr>
          <w:p w14:paraId="17491614">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134" w:type="dxa"/>
            <w:tcMar>
              <w:left w:w="28" w:type="dxa"/>
              <w:right w:w="28" w:type="dxa"/>
            </w:tcMar>
            <w:vAlign w:val="center"/>
          </w:tcPr>
          <w:p w14:paraId="7452196A">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134" w:type="dxa"/>
            <w:tcMar>
              <w:left w:w="28" w:type="dxa"/>
              <w:right w:w="28" w:type="dxa"/>
            </w:tcMar>
            <w:vAlign w:val="center"/>
          </w:tcPr>
          <w:p w14:paraId="6A7988E8">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134" w:type="dxa"/>
            <w:vAlign w:val="center"/>
          </w:tcPr>
          <w:p w14:paraId="1DF1C29E">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134" w:type="dxa"/>
            <w:tcMar>
              <w:left w:w="28" w:type="dxa"/>
              <w:right w:w="28" w:type="dxa"/>
            </w:tcMar>
            <w:vAlign w:val="center"/>
          </w:tcPr>
          <w:p w14:paraId="2B46D760">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134" w:type="dxa"/>
          </w:tcPr>
          <w:p w14:paraId="48245926">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276" w:type="dxa"/>
            <w:tcMar>
              <w:left w:w="28" w:type="dxa"/>
              <w:right w:w="28" w:type="dxa"/>
            </w:tcMar>
            <w:vAlign w:val="center"/>
          </w:tcPr>
          <w:p w14:paraId="11F6FB39">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701" w:type="dxa"/>
            <w:tcMar>
              <w:left w:w="28" w:type="dxa"/>
              <w:right w:w="28" w:type="dxa"/>
            </w:tcMar>
            <w:vAlign w:val="center"/>
          </w:tcPr>
          <w:p w14:paraId="41E1F8EE">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276" w:type="dxa"/>
            <w:vAlign w:val="center"/>
          </w:tcPr>
          <w:p w14:paraId="0687959B">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r>
      <w:tr w14:paraId="53218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3147" w:type="dxa"/>
            <w:gridSpan w:val="2"/>
            <w:tcMar>
              <w:left w:w="28" w:type="dxa"/>
              <w:right w:w="28" w:type="dxa"/>
            </w:tcMar>
            <w:vAlign w:val="center"/>
          </w:tcPr>
          <w:p w14:paraId="77DFFE88">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r>
              <w:rPr>
                <w:rFonts w:hint="eastAsia" w:ascii="宋体" w:hAnsi="宋体"/>
                <w:color w:val="auto"/>
                <w:highlight w:val="none"/>
              </w:rPr>
              <w:t>最高投标限价（元）</w:t>
            </w:r>
          </w:p>
        </w:tc>
        <w:tc>
          <w:tcPr>
            <w:tcW w:w="10915" w:type="dxa"/>
            <w:gridSpan w:val="9"/>
          </w:tcPr>
          <w:p w14:paraId="27694B7F">
            <w:pPr>
              <w:keepNext w:val="0"/>
              <w:keepLines w:val="0"/>
              <w:suppressLineNumbers w:val="0"/>
              <w:spacing w:before="0" w:beforeAutospacing="0" w:after="0" w:afterAutospacing="0" w:line="400" w:lineRule="exact"/>
              <w:ind w:left="0" w:right="0"/>
              <w:rPr>
                <w:rFonts w:hint="default" w:ascii="宋体" w:hAnsi="宋体"/>
                <w:color w:val="auto"/>
                <w:highlight w:val="none"/>
              </w:rPr>
            </w:pPr>
          </w:p>
        </w:tc>
      </w:tr>
      <w:tr w14:paraId="2E5FD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3147" w:type="dxa"/>
            <w:gridSpan w:val="2"/>
            <w:tcMar>
              <w:left w:w="28" w:type="dxa"/>
              <w:right w:w="28" w:type="dxa"/>
            </w:tcMar>
            <w:vAlign w:val="center"/>
          </w:tcPr>
          <w:p w14:paraId="653C7E20">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r>
              <w:rPr>
                <w:rFonts w:hint="eastAsia"/>
                <w:color w:val="auto"/>
                <w:szCs w:val="21"/>
                <w:highlight w:val="none"/>
              </w:rPr>
              <w:t>开标过程需记录的其他事项</w:t>
            </w:r>
          </w:p>
        </w:tc>
        <w:tc>
          <w:tcPr>
            <w:tcW w:w="10915" w:type="dxa"/>
            <w:gridSpan w:val="9"/>
          </w:tcPr>
          <w:p w14:paraId="5C03D4A0">
            <w:pPr>
              <w:keepNext w:val="0"/>
              <w:keepLines w:val="0"/>
              <w:suppressLineNumbers w:val="0"/>
              <w:spacing w:before="0" w:beforeAutospacing="0" w:after="0" w:afterAutospacing="0" w:line="400" w:lineRule="exact"/>
              <w:ind w:left="0" w:right="0"/>
              <w:rPr>
                <w:rFonts w:hint="default" w:ascii="宋体" w:hAnsi="宋体"/>
                <w:color w:val="auto"/>
                <w:highlight w:val="none"/>
              </w:rPr>
            </w:pPr>
          </w:p>
        </w:tc>
      </w:tr>
    </w:tbl>
    <w:p w14:paraId="4B30E84E">
      <w:pPr>
        <w:spacing w:line="400" w:lineRule="exact"/>
        <w:jc w:val="left"/>
        <w:rPr>
          <w:rFonts w:ascii="宋体" w:hAnsi="宋体"/>
          <w:color w:val="auto"/>
          <w:highlight w:val="none"/>
        </w:rPr>
        <w:sectPr>
          <w:pgSz w:w="16838" w:h="11906" w:orient="landscape"/>
          <w:pgMar w:top="1797" w:right="1440" w:bottom="1797" w:left="1440" w:header="851" w:footer="851" w:gutter="0"/>
          <w:cols w:space="720" w:num="1"/>
          <w:docGrid w:linePitch="312" w:charSpace="0"/>
        </w:sectPr>
      </w:pPr>
      <w:r>
        <w:rPr>
          <w:rFonts w:hint="eastAsia" w:ascii="宋体" w:hAnsi="宋体"/>
          <w:color w:val="auto"/>
          <w:highlight w:val="none"/>
        </w:rPr>
        <w:t xml:space="preserve">                                       </w:t>
      </w:r>
      <w:r>
        <w:rPr>
          <w:rFonts w:ascii="宋体" w:hAnsi="宋体"/>
          <w:color w:val="auto"/>
          <w:highlight w:val="none"/>
        </w:rPr>
        <w:t xml:space="preserve">                              </w:t>
      </w:r>
      <w:r>
        <w:rPr>
          <w:rFonts w:hint="eastAsia" w:ascii="宋体" w:hAnsi="宋体"/>
          <w:color w:val="auto"/>
          <w:highlight w:val="none"/>
        </w:rPr>
        <w:t xml:space="preserve"> </w:t>
      </w:r>
      <w:r>
        <w:rPr>
          <w:rFonts w:hint="eastAsia"/>
          <w:color w:val="auto"/>
          <w:highlight w:val="none"/>
        </w:rPr>
        <w:t>主持人</w:t>
      </w:r>
      <w:r>
        <w:rPr>
          <w:rFonts w:hint="eastAsia" w:ascii="宋体" w:hAnsi="宋体"/>
          <w:color w:val="auto"/>
          <w:highlight w:val="none"/>
        </w:rPr>
        <w:t>：</w:t>
      </w:r>
      <w:r>
        <w:rPr>
          <w:rFonts w:hint="eastAsia" w:ascii="宋体" w:hAnsi="宋体"/>
          <w:color w:val="auto"/>
          <w:highlight w:val="none"/>
          <w:u w:val="single"/>
        </w:rPr>
        <w:t xml:space="preserve">        </w:t>
      </w:r>
      <w:r>
        <w:rPr>
          <w:rFonts w:hint="eastAsia" w:ascii="宋体" w:hAnsi="宋体"/>
          <w:color w:val="auto"/>
          <w:highlight w:val="none"/>
        </w:rPr>
        <w:t>招标人代表：</w:t>
      </w:r>
      <w:r>
        <w:rPr>
          <w:rFonts w:hint="eastAsia" w:ascii="宋体" w:hAnsi="宋体"/>
          <w:color w:val="auto"/>
          <w:highlight w:val="none"/>
          <w:u w:val="single"/>
        </w:rPr>
        <w:t xml:space="preserve">      </w:t>
      </w:r>
      <w:r>
        <w:rPr>
          <w:rFonts w:hint="eastAsia" w:ascii="宋体" w:hAnsi="宋体"/>
          <w:color w:val="auto"/>
          <w:highlight w:val="none"/>
        </w:rPr>
        <w:t>监标人：</w:t>
      </w:r>
      <w:r>
        <w:rPr>
          <w:rFonts w:hint="eastAsia" w:ascii="宋体" w:hAnsi="宋体"/>
          <w:color w:val="auto"/>
          <w:highlight w:val="none"/>
          <w:u w:val="single"/>
        </w:rPr>
        <w:t xml:space="preserve">                </w:t>
      </w:r>
    </w:p>
    <w:p w14:paraId="210D7752">
      <w:pPr>
        <w:pStyle w:val="3"/>
        <w:rPr>
          <w:b w:val="0"/>
          <w:color w:val="auto"/>
          <w:sz w:val="24"/>
          <w:szCs w:val="24"/>
          <w:highlight w:val="none"/>
        </w:rPr>
      </w:pPr>
      <w:bookmarkStart w:id="409" w:name="_Toc25897"/>
      <w:bookmarkStart w:id="410" w:name="_Toc165804345"/>
      <w:r>
        <w:rPr>
          <w:rFonts w:hint="eastAsia"/>
          <w:b w:val="0"/>
          <w:color w:val="auto"/>
          <w:sz w:val="24"/>
          <w:szCs w:val="24"/>
          <w:highlight w:val="none"/>
        </w:rPr>
        <w:t>附表六：投标文件问题澄清通知</w:t>
      </w:r>
      <w:bookmarkEnd w:id="409"/>
      <w:bookmarkEnd w:id="410"/>
    </w:p>
    <w:p w14:paraId="0A6F5A43">
      <w:pPr>
        <w:rPr>
          <w:color w:val="auto"/>
          <w:highlight w:val="none"/>
        </w:rPr>
      </w:pPr>
    </w:p>
    <w:p w14:paraId="72D59498">
      <w:pPr>
        <w:spacing w:before="240" w:beforeLines="100" w:after="240" w:afterLines="100" w:line="400" w:lineRule="exact"/>
        <w:jc w:val="center"/>
        <w:rPr>
          <w:rFonts w:ascii="黑体" w:eastAsia="黑体"/>
          <w:color w:val="auto"/>
          <w:sz w:val="28"/>
          <w:szCs w:val="28"/>
          <w:highlight w:val="none"/>
        </w:rPr>
      </w:pPr>
      <w:r>
        <w:rPr>
          <w:rFonts w:hint="eastAsia" w:ascii="黑体" w:eastAsia="黑体"/>
          <w:color w:val="auto"/>
          <w:sz w:val="28"/>
          <w:szCs w:val="28"/>
          <w:highlight w:val="none"/>
        </w:rPr>
        <w:t>投标文件问题澄清通知</w:t>
      </w:r>
    </w:p>
    <w:p w14:paraId="0EE2AC79">
      <w:pPr>
        <w:spacing w:line="400" w:lineRule="exact"/>
        <w:ind w:firstLine="5355" w:firstLineChars="2550"/>
        <w:rPr>
          <w:color w:val="auto"/>
          <w:highlight w:val="none"/>
          <w:u w:val="single"/>
        </w:rPr>
      </w:pPr>
      <w:r>
        <w:rPr>
          <w:rFonts w:hint="eastAsia"/>
          <w:color w:val="auto"/>
          <w:highlight w:val="none"/>
        </w:rPr>
        <w:t>编号：</w:t>
      </w:r>
      <w:r>
        <w:rPr>
          <w:rFonts w:hint="eastAsia"/>
          <w:color w:val="auto"/>
          <w:highlight w:val="none"/>
          <w:u w:val="single"/>
        </w:rPr>
        <w:t xml:space="preserve">                  </w:t>
      </w:r>
    </w:p>
    <w:p w14:paraId="1D66A613">
      <w:pPr>
        <w:spacing w:line="480" w:lineRule="exact"/>
        <w:rPr>
          <w:color w:val="auto"/>
          <w:highlight w:val="none"/>
        </w:rPr>
      </w:pPr>
      <w:r>
        <w:rPr>
          <w:rFonts w:hint="eastAsia"/>
          <w:color w:val="auto"/>
          <w:highlight w:val="none"/>
          <w:u w:val="single"/>
        </w:rPr>
        <w:t xml:space="preserve"> </w:t>
      </w:r>
      <w:bookmarkStart w:id="411" w:name="_Hlk144988011"/>
      <w:r>
        <w:rPr>
          <w:rFonts w:hint="eastAsia"/>
          <w:color w:val="auto"/>
          <w:highlight w:val="none"/>
          <w:u w:val="single"/>
        </w:rPr>
        <w:t xml:space="preserve">           </w:t>
      </w:r>
      <w:r>
        <w:rPr>
          <w:rFonts w:hint="eastAsia" w:ascii="宋体" w:hAnsi="宋体"/>
          <w:color w:val="auto"/>
          <w:highlight w:val="none"/>
          <w:u w:val="single"/>
        </w:rPr>
        <w:t xml:space="preserve">         </w:t>
      </w:r>
      <w:r>
        <w:rPr>
          <w:rFonts w:hint="eastAsia"/>
          <w:color w:val="auto"/>
          <w:highlight w:val="none"/>
          <w:u w:val="single"/>
        </w:rPr>
        <w:t xml:space="preserve">      </w:t>
      </w:r>
      <w:bookmarkEnd w:id="411"/>
      <w:r>
        <w:rPr>
          <w:rFonts w:hint="eastAsia"/>
          <w:color w:val="auto"/>
          <w:highlight w:val="none"/>
        </w:rPr>
        <w:t>（投标人名称）：</w:t>
      </w:r>
    </w:p>
    <w:p w14:paraId="11A664CC">
      <w:pPr>
        <w:spacing w:line="480" w:lineRule="exact"/>
        <w:ind w:firstLine="420" w:firstLineChars="200"/>
        <w:rPr>
          <w:color w:val="auto"/>
          <w:highlight w:val="none"/>
          <w:u w:val="single"/>
        </w:rPr>
      </w:pPr>
    </w:p>
    <w:p w14:paraId="0EDC1EEC">
      <w:pPr>
        <w:spacing w:line="480" w:lineRule="exact"/>
        <w:ind w:firstLine="525" w:firstLineChars="250"/>
        <w:rPr>
          <w:color w:val="auto"/>
          <w:highlight w:val="none"/>
        </w:rPr>
      </w:pP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（标段名称）</w:t>
      </w:r>
      <w:bookmarkStart w:id="412" w:name="_Hlk120872985"/>
      <w:r>
        <w:rPr>
          <w:rFonts w:hint="eastAsia"/>
          <w:color w:val="auto"/>
          <w:highlight w:val="none"/>
        </w:rPr>
        <w:t>项目</w:t>
      </w:r>
      <w:bookmarkEnd w:id="412"/>
      <w:r>
        <w:rPr>
          <w:rFonts w:hint="eastAsia"/>
          <w:color w:val="auto"/>
          <w:highlight w:val="none"/>
        </w:rPr>
        <w:t>（标段唯一标识码：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）招标的评标委员会，对你方的投标文件进行了仔细的审查，现需你方对下列问题以书面形式予以澄清、说明或者补正，并将投标文件的澄清、说明或者补正于</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日</w:t>
      </w:r>
      <w:r>
        <w:rPr>
          <w:rFonts w:hint="eastAsia"/>
          <w:color w:val="auto"/>
          <w:highlight w:val="none"/>
          <w:u w:val="single"/>
        </w:rPr>
        <w:t xml:space="preserve">   </w:t>
      </w:r>
      <w:r>
        <w:rPr>
          <w:rFonts w:hint="eastAsia"/>
          <w:color w:val="auto"/>
          <w:highlight w:val="none"/>
        </w:rPr>
        <w:t>时</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分前，通过电子招标投标系统（</w:t>
      </w:r>
      <w:r>
        <w:rPr>
          <w:rFonts w:hint="eastAsia"/>
          <w:bCs/>
          <w:color w:val="auto"/>
          <w:highlight w:val="none"/>
        </w:rPr>
        <w:t>辽宁省工程建设项目数字化开标评标系统</w:t>
      </w:r>
      <w:r>
        <w:rPr>
          <w:rFonts w:hint="eastAsia"/>
          <w:color w:val="auto"/>
          <w:highlight w:val="none"/>
        </w:rPr>
        <w:t>）提交给本评标委员会。</w:t>
      </w:r>
    </w:p>
    <w:p w14:paraId="23FE6974">
      <w:pPr>
        <w:spacing w:line="440" w:lineRule="exact"/>
        <w:ind w:firstLine="420" w:firstLineChars="200"/>
        <w:rPr>
          <w:color w:val="auto"/>
          <w:highlight w:val="none"/>
        </w:rPr>
      </w:pPr>
      <w:r>
        <w:rPr>
          <w:color w:val="auto"/>
          <w:highlight w:val="none"/>
        </w:rPr>
        <w:t>1</w:t>
      </w:r>
      <w:r>
        <w:rPr>
          <w:rFonts w:hint="eastAsia"/>
          <w:color w:val="auto"/>
          <w:highlight w:val="none"/>
        </w:rPr>
        <w:t>.</w:t>
      </w:r>
      <w:r>
        <w:rPr>
          <w:rFonts w:hint="eastAsia" w:ascii="宋体" w:hAnsi="宋体"/>
          <w:color w:val="auto"/>
          <w:szCs w:val="21"/>
          <w:highlight w:val="none"/>
        </w:rPr>
        <w:t>……</w:t>
      </w:r>
    </w:p>
    <w:p w14:paraId="26AED8BF">
      <w:pPr>
        <w:spacing w:line="440" w:lineRule="exact"/>
        <w:rPr>
          <w:color w:val="auto"/>
          <w:highlight w:val="none"/>
        </w:rPr>
      </w:pPr>
      <w:r>
        <w:rPr>
          <w:color w:val="auto"/>
          <w:highlight w:val="none"/>
        </w:rPr>
        <w:t xml:space="preserve">   </w:t>
      </w:r>
      <w:r>
        <w:rPr>
          <w:rFonts w:hint="eastAsia"/>
          <w:color w:val="auto"/>
          <w:highlight w:val="none"/>
        </w:rPr>
        <w:t xml:space="preserve"> </w:t>
      </w:r>
      <w:r>
        <w:rPr>
          <w:color w:val="auto"/>
          <w:highlight w:val="none"/>
        </w:rPr>
        <w:t>2</w:t>
      </w:r>
      <w:r>
        <w:rPr>
          <w:rFonts w:hint="eastAsia"/>
          <w:color w:val="auto"/>
          <w:highlight w:val="none"/>
        </w:rPr>
        <w:t>.</w:t>
      </w:r>
      <w:r>
        <w:rPr>
          <w:rFonts w:hint="eastAsia" w:ascii="宋体" w:hAnsi="宋体"/>
          <w:color w:val="auto"/>
          <w:szCs w:val="21"/>
          <w:highlight w:val="none"/>
        </w:rPr>
        <w:t>……</w:t>
      </w:r>
    </w:p>
    <w:p w14:paraId="5DF99F30">
      <w:pPr>
        <w:spacing w:line="440" w:lineRule="exact"/>
        <w:rPr>
          <w:color w:val="auto"/>
          <w:highlight w:val="none"/>
        </w:rPr>
      </w:pPr>
      <w:r>
        <w:rPr>
          <w:color w:val="auto"/>
          <w:highlight w:val="none"/>
        </w:rPr>
        <w:t xml:space="preserve">    </w:t>
      </w:r>
      <w:r>
        <w:rPr>
          <w:rFonts w:hint="eastAsia" w:ascii="宋体" w:hAnsi="宋体"/>
          <w:color w:val="auto"/>
          <w:szCs w:val="21"/>
          <w:highlight w:val="none"/>
        </w:rPr>
        <w:t>……</w:t>
      </w:r>
    </w:p>
    <w:p w14:paraId="1D29160C">
      <w:pPr>
        <w:spacing w:line="480" w:lineRule="exact"/>
        <w:rPr>
          <w:color w:val="auto"/>
          <w:highlight w:val="none"/>
        </w:rPr>
      </w:pPr>
    </w:p>
    <w:p w14:paraId="14164E3B">
      <w:pPr>
        <w:spacing w:line="480" w:lineRule="exact"/>
        <w:jc w:val="right"/>
        <w:rPr>
          <w:rFonts w:ascii="宋体" w:hAnsi="宋体"/>
          <w:color w:val="auto"/>
          <w:highlight w:val="none"/>
        </w:rPr>
      </w:pPr>
      <w:r>
        <w:rPr>
          <w:rFonts w:hint="eastAsia" w:ascii="宋体" w:hAnsi="宋体"/>
          <w:color w:val="auto"/>
          <w:highlight w:val="none"/>
          <w:u w:val="single"/>
        </w:rPr>
        <w:t xml:space="preserve">            </w:t>
      </w:r>
      <w:r>
        <w:rPr>
          <w:rFonts w:hint="eastAsia"/>
          <w:color w:val="auto"/>
          <w:highlight w:val="none"/>
        </w:rPr>
        <w:t>（标段名称）</w:t>
      </w:r>
      <w:r>
        <w:rPr>
          <w:rFonts w:hint="eastAsia" w:ascii="宋体" w:hAnsi="宋体"/>
          <w:color w:val="auto"/>
          <w:highlight w:val="none"/>
        </w:rPr>
        <w:t>项目招标评标委员会</w:t>
      </w:r>
    </w:p>
    <w:p w14:paraId="18A230C9">
      <w:pPr>
        <w:spacing w:line="480" w:lineRule="exact"/>
        <w:jc w:val="right"/>
        <w:rPr>
          <w:rFonts w:hint="eastAsia"/>
          <w:color w:val="auto"/>
          <w:highlight w:val="none"/>
        </w:rPr>
      </w:pP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日</w:t>
      </w:r>
    </w:p>
    <w:p w14:paraId="495F6CC3">
      <w:pPr>
        <w:rPr>
          <w:rFonts w:hint="eastAsia"/>
          <w:color w:val="auto"/>
          <w:highlight w:val="none"/>
        </w:rPr>
      </w:pPr>
      <w:r>
        <w:rPr>
          <w:rFonts w:hint="eastAsia"/>
          <w:color w:val="auto"/>
          <w:highlight w:val="none"/>
        </w:rPr>
        <w:br w:type="page"/>
      </w:r>
    </w:p>
    <w:p w14:paraId="35719D8B">
      <w:pPr>
        <w:spacing w:line="480" w:lineRule="exact"/>
        <w:jc w:val="right"/>
        <w:rPr>
          <w:rFonts w:hint="eastAsia"/>
          <w:color w:val="auto"/>
          <w:highlight w:val="none"/>
        </w:rPr>
      </w:pPr>
    </w:p>
    <w:p w14:paraId="382DAA8A">
      <w:pPr>
        <w:pStyle w:val="3"/>
        <w:rPr>
          <w:rFonts w:ascii="黑体"/>
          <w:color w:val="auto"/>
          <w:sz w:val="24"/>
          <w:highlight w:val="none"/>
        </w:rPr>
      </w:pPr>
      <w:bookmarkStart w:id="413" w:name="_Toc165804346"/>
      <w:bookmarkStart w:id="414" w:name="_Toc13422"/>
      <w:r>
        <w:rPr>
          <w:rFonts w:hint="eastAsia"/>
          <w:b w:val="0"/>
          <w:color w:val="auto"/>
          <w:sz w:val="24"/>
          <w:szCs w:val="24"/>
          <w:highlight w:val="none"/>
        </w:rPr>
        <w:t>附表七：投标文件问题的澄清</w:t>
      </w:r>
      <w:bookmarkEnd w:id="413"/>
      <w:bookmarkEnd w:id="414"/>
    </w:p>
    <w:p w14:paraId="3A70571A">
      <w:pPr>
        <w:spacing w:line="480" w:lineRule="exact"/>
        <w:rPr>
          <w:rFonts w:ascii="黑体" w:eastAsia="黑体"/>
          <w:color w:val="auto"/>
          <w:sz w:val="24"/>
          <w:highlight w:val="none"/>
        </w:rPr>
      </w:pPr>
    </w:p>
    <w:p w14:paraId="30C5EF93">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投标文件问题的澄清、说明或补正</w:t>
      </w:r>
    </w:p>
    <w:p w14:paraId="455017B0">
      <w:pPr>
        <w:spacing w:line="400" w:lineRule="exact"/>
        <w:ind w:firstLine="5355" w:firstLineChars="2550"/>
        <w:rPr>
          <w:color w:val="auto"/>
          <w:highlight w:val="none"/>
          <w:u w:val="single"/>
        </w:rPr>
      </w:pPr>
      <w:r>
        <w:rPr>
          <w:rFonts w:hint="eastAsia"/>
          <w:color w:val="auto"/>
          <w:highlight w:val="none"/>
        </w:rPr>
        <w:t>编号：</w:t>
      </w:r>
      <w:r>
        <w:rPr>
          <w:rFonts w:hint="eastAsia"/>
          <w:color w:val="auto"/>
          <w:highlight w:val="none"/>
          <w:u w:val="single"/>
        </w:rPr>
        <w:t xml:space="preserve">                  </w:t>
      </w:r>
    </w:p>
    <w:p w14:paraId="0D5835F1">
      <w:pPr>
        <w:spacing w:line="480" w:lineRule="exact"/>
        <w:rPr>
          <w:color w:val="auto"/>
          <w:highlight w:val="none"/>
        </w:rPr>
      </w:pPr>
      <w:r>
        <w:rPr>
          <w:rFonts w:hint="eastAsia"/>
          <w:color w:val="auto"/>
          <w:highlight w:val="none"/>
        </w:rPr>
        <w:t xml:space="preserve">  </w:t>
      </w:r>
      <w:r>
        <w:rPr>
          <w:rFonts w:hint="eastAsia"/>
          <w:color w:val="auto"/>
          <w:highlight w:val="none"/>
          <w:u w:val="single"/>
        </w:rPr>
        <w:t xml:space="preserve">                </w:t>
      </w:r>
      <w:r>
        <w:rPr>
          <w:rFonts w:hint="eastAsia"/>
          <w:color w:val="auto"/>
          <w:highlight w:val="none"/>
        </w:rPr>
        <w:t>（标段名称）项目招标评标委员会：</w:t>
      </w:r>
    </w:p>
    <w:p w14:paraId="60E60489">
      <w:pPr>
        <w:spacing w:line="480" w:lineRule="exact"/>
        <w:ind w:firstLine="420" w:firstLineChars="200"/>
        <w:rPr>
          <w:color w:val="auto"/>
          <w:highlight w:val="none"/>
        </w:rPr>
      </w:pPr>
      <w:r>
        <w:rPr>
          <w:rFonts w:hint="eastAsia"/>
          <w:color w:val="auto"/>
          <w:highlight w:val="none"/>
        </w:rPr>
        <w:t>投标文件问题澄清通知（编号：</w:t>
      </w:r>
      <w:r>
        <w:rPr>
          <w:rFonts w:hint="eastAsia"/>
          <w:color w:val="auto"/>
          <w:highlight w:val="none"/>
          <w:u w:val="single"/>
        </w:rPr>
        <w:t xml:space="preserve">          </w:t>
      </w:r>
      <w:r>
        <w:rPr>
          <w:rFonts w:hint="eastAsia"/>
          <w:color w:val="auto"/>
          <w:highlight w:val="none"/>
        </w:rPr>
        <w:t>）已收悉，现澄清、说明或者补正如下：</w:t>
      </w:r>
    </w:p>
    <w:p w14:paraId="491A79CF">
      <w:pPr>
        <w:spacing w:line="480" w:lineRule="exact"/>
        <w:ind w:firstLine="420" w:firstLineChars="200"/>
        <w:rPr>
          <w:color w:val="auto"/>
          <w:highlight w:val="none"/>
        </w:rPr>
      </w:pPr>
      <w:r>
        <w:rPr>
          <w:rFonts w:hint="eastAsia"/>
          <w:color w:val="auto"/>
          <w:highlight w:val="none"/>
        </w:rPr>
        <w:t>1.</w:t>
      </w:r>
      <w:r>
        <w:rPr>
          <w:rFonts w:hint="eastAsia" w:ascii="宋体" w:hAnsi="宋体"/>
          <w:color w:val="auto"/>
          <w:szCs w:val="21"/>
          <w:highlight w:val="none"/>
        </w:rPr>
        <w:t>……</w:t>
      </w:r>
    </w:p>
    <w:p w14:paraId="2BE7FFFF">
      <w:pPr>
        <w:spacing w:line="480" w:lineRule="exact"/>
        <w:ind w:firstLine="420" w:firstLineChars="200"/>
        <w:rPr>
          <w:color w:val="auto"/>
          <w:highlight w:val="none"/>
        </w:rPr>
      </w:pPr>
      <w:r>
        <w:rPr>
          <w:rFonts w:hint="eastAsia"/>
          <w:color w:val="auto"/>
          <w:highlight w:val="none"/>
        </w:rPr>
        <w:t>2.</w:t>
      </w:r>
      <w:r>
        <w:rPr>
          <w:rFonts w:hint="eastAsia" w:ascii="宋体" w:hAnsi="宋体"/>
          <w:color w:val="auto"/>
          <w:szCs w:val="21"/>
          <w:highlight w:val="none"/>
        </w:rPr>
        <w:t>……</w:t>
      </w:r>
    </w:p>
    <w:p w14:paraId="472EDF67">
      <w:pPr>
        <w:spacing w:line="480" w:lineRule="exact"/>
        <w:ind w:firstLine="420" w:firstLineChars="200"/>
        <w:rPr>
          <w:color w:val="auto"/>
          <w:highlight w:val="none"/>
        </w:rPr>
      </w:pPr>
    </w:p>
    <w:p w14:paraId="6E9D2D77">
      <w:pPr>
        <w:spacing w:line="480" w:lineRule="exact"/>
        <w:ind w:firstLine="420" w:firstLineChars="200"/>
        <w:rPr>
          <w:color w:val="auto"/>
          <w:highlight w:val="none"/>
        </w:rPr>
      </w:pPr>
      <w:r>
        <w:rPr>
          <w:rFonts w:hint="eastAsia"/>
          <w:color w:val="auto"/>
          <w:highlight w:val="none"/>
        </w:rPr>
        <w:t>……</w:t>
      </w:r>
    </w:p>
    <w:p w14:paraId="63724B5E">
      <w:pPr>
        <w:spacing w:line="480" w:lineRule="exact"/>
        <w:ind w:firstLine="420" w:firstLineChars="200"/>
        <w:rPr>
          <w:color w:val="auto"/>
          <w:highlight w:val="none"/>
        </w:rPr>
      </w:pPr>
    </w:p>
    <w:p w14:paraId="640C0886">
      <w:pPr>
        <w:spacing w:line="480" w:lineRule="exact"/>
        <w:ind w:firstLine="420" w:firstLineChars="200"/>
        <w:rPr>
          <w:color w:val="auto"/>
          <w:highlight w:val="none"/>
        </w:rPr>
      </w:pPr>
    </w:p>
    <w:p w14:paraId="50AB6C42">
      <w:pPr>
        <w:spacing w:line="480" w:lineRule="exact"/>
        <w:ind w:firstLine="420" w:firstLineChars="200"/>
        <w:rPr>
          <w:color w:val="auto"/>
          <w:highlight w:val="none"/>
        </w:rPr>
      </w:pPr>
    </w:p>
    <w:p w14:paraId="7D850B8F">
      <w:pPr>
        <w:spacing w:line="480" w:lineRule="exact"/>
        <w:ind w:firstLine="420" w:firstLineChars="200"/>
        <w:rPr>
          <w:color w:val="auto"/>
          <w:highlight w:val="none"/>
        </w:rPr>
      </w:pPr>
    </w:p>
    <w:p w14:paraId="06325540">
      <w:pPr>
        <w:spacing w:line="480" w:lineRule="exact"/>
        <w:ind w:firstLine="420" w:firstLineChars="200"/>
        <w:rPr>
          <w:color w:val="auto"/>
          <w:highlight w:val="none"/>
        </w:rPr>
      </w:pPr>
    </w:p>
    <w:p w14:paraId="6174D596">
      <w:pPr>
        <w:spacing w:line="480" w:lineRule="exact"/>
        <w:ind w:firstLine="420" w:firstLineChars="200"/>
        <w:rPr>
          <w:color w:val="auto"/>
          <w:highlight w:val="none"/>
        </w:rPr>
      </w:pPr>
    </w:p>
    <w:p w14:paraId="3B9E60AE">
      <w:pPr>
        <w:wordWrap w:val="0"/>
        <w:spacing w:line="480" w:lineRule="exact"/>
        <w:ind w:right="105" w:firstLine="420" w:firstLineChars="200"/>
        <w:jc w:val="right"/>
        <w:rPr>
          <w:rFonts w:ascii="宋体" w:hAnsi="宋体"/>
          <w:color w:val="auto"/>
          <w:highlight w:val="none"/>
        </w:rPr>
      </w:pPr>
      <w:r>
        <w:rPr>
          <w:rFonts w:hint="eastAsia" w:ascii="宋体" w:hAnsi="宋体"/>
          <w:color w:val="auto"/>
          <w:highlight w:val="none"/>
        </w:rPr>
        <w:t>投标人：</w:t>
      </w:r>
      <w:r>
        <w:rPr>
          <w:rFonts w:hint="eastAsia" w:ascii="宋体" w:hAnsi="宋体"/>
          <w:color w:val="auto"/>
          <w:highlight w:val="none"/>
          <w:u w:val="single"/>
        </w:rPr>
        <w:t xml:space="preserve">                            </w:t>
      </w:r>
      <w:r>
        <w:rPr>
          <w:rFonts w:hint="eastAsia" w:ascii="宋体" w:hAnsi="宋体"/>
          <w:color w:val="auto"/>
          <w:highlight w:val="none"/>
        </w:rPr>
        <w:t>（盖单位章）</w:t>
      </w:r>
    </w:p>
    <w:p w14:paraId="1B1AC477">
      <w:pPr>
        <w:wordWrap w:val="0"/>
        <w:spacing w:before="120" w:beforeLines="50" w:after="120" w:afterLines="50" w:line="480" w:lineRule="exact"/>
        <w:ind w:right="105"/>
        <w:jc w:val="right"/>
        <w:rPr>
          <w:rFonts w:ascii="宋体" w:hAnsi="宋体"/>
          <w:color w:val="auto"/>
          <w:highlight w:val="none"/>
        </w:rPr>
      </w:pPr>
      <w:r>
        <w:rPr>
          <w:rFonts w:hint="eastAsia" w:ascii="宋体" w:hAnsi="宋体"/>
          <w:color w:val="auto"/>
          <w:highlight w:val="none"/>
        </w:rPr>
        <w:t>法定代表人：</w:t>
      </w:r>
      <w:r>
        <w:rPr>
          <w:rFonts w:hint="eastAsia" w:ascii="宋体" w:hAnsi="宋体"/>
          <w:color w:val="auto"/>
          <w:highlight w:val="none"/>
          <w:u w:val="single"/>
        </w:rPr>
        <w:t xml:space="preserve">                            </w:t>
      </w:r>
      <w:r>
        <w:rPr>
          <w:rFonts w:hint="eastAsia" w:ascii="宋体" w:hAnsi="宋体"/>
          <w:color w:val="auto"/>
          <w:highlight w:val="none"/>
        </w:rPr>
        <w:t>（签章）</w:t>
      </w:r>
    </w:p>
    <w:p w14:paraId="6AB9BD4C">
      <w:pPr>
        <w:spacing w:line="480" w:lineRule="exact"/>
        <w:ind w:firstLine="5775" w:firstLineChars="2750"/>
        <w:rPr>
          <w:rFonts w:ascii="宋体" w:hAnsi="宋体"/>
          <w:color w:val="auto"/>
          <w:highlight w:val="none"/>
        </w:rPr>
      </w:pP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7A0EB924">
      <w:pPr>
        <w:spacing w:line="480" w:lineRule="exact"/>
        <w:ind w:firstLine="5775" w:firstLineChars="2750"/>
        <w:rPr>
          <w:color w:val="auto"/>
          <w:highlight w:val="none"/>
        </w:rPr>
      </w:pPr>
    </w:p>
    <w:p w14:paraId="0C9DA00E">
      <w:pPr>
        <w:spacing w:line="480" w:lineRule="exact"/>
        <w:ind w:firstLine="5775" w:firstLineChars="2750"/>
        <w:rPr>
          <w:color w:val="auto"/>
          <w:highlight w:val="none"/>
        </w:rPr>
      </w:pPr>
    </w:p>
    <w:p w14:paraId="0F82B14B">
      <w:pPr>
        <w:spacing w:line="480" w:lineRule="exact"/>
        <w:ind w:firstLine="5775" w:firstLineChars="2750"/>
        <w:rPr>
          <w:color w:val="auto"/>
          <w:highlight w:val="none"/>
        </w:rPr>
      </w:pPr>
    </w:p>
    <w:p w14:paraId="17FD4B95">
      <w:pPr>
        <w:spacing w:line="480" w:lineRule="exact"/>
        <w:ind w:firstLine="5775" w:firstLineChars="2750"/>
        <w:rPr>
          <w:color w:val="auto"/>
          <w:highlight w:val="none"/>
        </w:rPr>
      </w:pPr>
    </w:p>
    <w:p w14:paraId="1974E64A">
      <w:pPr>
        <w:spacing w:line="480" w:lineRule="exact"/>
        <w:ind w:firstLine="5775" w:firstLineChars="2750"/>
        <w:rPr>
          <w:color w:val="auto"/>
          <w:highlight w:val="none"/>
        </w:rPr>
      </w:pPr>
    </w:p>
    <w:p w14:paraId="7B553795">
      <w:pPr>
        <w:spacing w:line="480" w:lineRule="exact"/>
        <w:ind w:firstLine="5145" w:firstLineChars="2450"/>
        <w:rPr>
          <w:color w:val="auto"/>
          <w:highlight w:val="none"/>
        </w:rPr>
      </w:pPr>
    </w:p>
    <w:p w14:paraId="41B7BDDB">
      <w:pPr>
        <w:spacing w:line="480" w:lineRule="exact"/>
        <w:jc w:val="left"/>
        <w:rPr>
          <w:color w:val="auto"/>
          <w:highlight w:val="none"/>
        </w:rPr>
        <w:sectPr>
          <w:footerReference r:id="rId7" w:type="default"/>
          <w:footerReference r:id="rId8" w:type="even"/>
          <w:pgSz w:w="11906" w:h="16838"/>
          <w:pgMar w:top="1440" w:right="1797" w:bottom="1440" w:left="1797" w:header="851" w:footer="851" w:gutter="0"/>
          <w:cols w:space="720" w:num="1"/>
          <w:docGrid w:linePitch="312" w:charSpace="0"/>
        </w:sectPr>
      </w:pPr>
    </w:p>
    <w:p w14:paraId="7124A51C">
      <w:pPr>
        <w:pStyle w:val="3"/>
        <w:spacing w:before="60" w:after="60" w:line="415" w:lineRule="auto"/>
        <w:rPr>
          <w:b w:val="0"/>
          <w:color w:val="auto"/>
          <w:sz w:val="24"/>
          <w:szCs w:val="24"/>
          <w:highlight w:val="none"/>
        </w:rPr>
      </w:pPr>
      <w:bookmarkStart w:id="415" w:name="_Toc165804347"/>
      <w:bookmarkStart w:id="416" w:name="_Toc20114"/>
      <w:r>
        <w:rPr>
          <w:rFonts w:hint="eastAsia"/>
          <w:b w:val="0"/>
          <w:color w:val="auto"/>
          <w:sz w:val="24"/>
          <w:szCs w:val="24"/>
          <w:highlight w:val="none"/>
        </w:rPr>
        <w:t>附表八：中标通知书</w:t>
      </w:r>
      <w:bookmarkEnd w:id="415"/>
      <w:bookmarkEnd w:id="416"/>
    </w:p>
    <w:p w14:paraId="744B5920">
      <w:pPr>
        <w:spacing w:line="360" w:lineRule="auto"/>
        <w:jc w:val="center"/>
        <w:rPr>
          <w:rFonts w:ascii="黑体" w:hAnsi="黑体" w:eastAsia="黑体"/>
          <w:b/>
          <w:color w:val="auto"/>
          <w:sz w:val="32"/>
          <w:highlight w:val="none"/>
        </w:rPr>
      </w:pPr>
      <w:r>
        <w:rPr>
          <w:rFonts w:hint="eastAsia" w:ascii="黑体" w:hAnsi="黑体" w:eastAsia="黑体"/>
          <w:b/>
          <w:color w:val="auto"/>
          <w:sz w:val="32"/>
          <w:highlight w:val="none"/>
        </w:rPr>
        <w:t>中标通知书（工程类）</w:t>
      </w:r>
    </w:p>
    <w:tbl>
      <w:tblPr>
        <w:tblStyle w:val="18"/>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7"/>
        <w:gridCol w:w="7087"/>
      </w:tblGrid>
      <w:tr w14:paraId="5F945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7" w:type="dxa"/>
            <w:tcBorders>
              <w:top w:val="nil"/>
              <w:left w:val="nil"/>
              <w:bottom w:val="nil"/>
              <w:right w:val="nil"/>
            </w:tcBorders>
            <w:shd w:val="clear" w:color="auto" w:fill="auto"/>
          </w:tcPr>
          <w:p w14:paraId="05844347">
            <w:pPr>
              <w:keepNext w:val="0"/>
              <w:keepLines w:val="0"/>
              <w:suppressLineNumbers w:val="0"/>
              <w:spacing w:before="0" w:beforeAutospacing="0" w:after="0" w:afterAutospacing="0" w:line="360" w:lineRule="auto"/>
              <w:ind w:left="0" w:right="0"/>
              <w:jc w:val="left"/>
              <w:rPr>
                <w:rFonts w:hint="default" w:ascii="宋体" w:hAnsi="宋体"/>
                <w:color w:val="auto"/>
                <w:szCs w:val="21"/>
                <w:highlight w:val="none"/>
              </w:rPr>
            </w:pPr>
            <w:r>
              <w:rPr>
                <w:rFonts w:hint="eastAsia" w:ascii="宋体" w:hAnsi="宋体"/>
                <w:color w:val="auto"/>
                <w:szCs w:val="21"/>
                <w:highlight w:val="none"/>
              </w:rPr>
              <w:t>_</w:t>
            </w:r>
            <w:r>
              <w:rPr>
                <w:rFonts w:hint="default" w:ascii="宋体" w:hAnsi="宋体"/>
                <w:color w:val="auto"/>
                <w:szCs w:val="21"/>
                <w:highlight w:val="none"/>
              </w:rPr>
              <w:t>___________</w:t>
            </w:r>
            <w:r>
              <w:rPr>
                <w:rFonts w:hint="eastAsia" w:ascii="宋体" w:hAnsi="宋体"/>
                <w:color w:val="auto"/>
                <w:szCs w:val="21"/>
                <w:highlight w:val="none"/>
              </w:rPr>
              <w:t>：</w:t>
            </w:r>
          </w:p>
        </w:tc>
        <w:tc>
          <w:tcPr>
            <w:tcW w:w="7087" w:type="dxa"/>
            <w:tcBorders>
              <w:top w:val="nil"/>
              <w:left w:val="nil"/>
              <w:bottom w:val="nil"/>
              <w:right w:val="nil"/>
            </w:tcBorders>
            <w:shd w:val="clear" w:color="auto" w:fill="auto"/>
          </w:tcPr>
          <w:p w14:paraId="638A1FD8">
            <w:pPr>
              <w:keepNext w:val="0"/>
              <w:keepLines w:val="0"/>
              <w:suppressLineNumbers w:val="0"/>
              <w:spacing w:before="0" w:beforeAutospacing="0" w:after="0" w:afterAutospacing="0" w:line="360" w:lineRule="auto"/>
              <w:ind w:left="0" w:right="210"/>
              <w:jc w:val="right"/>
              <w:rPr>
                <w:rFonts w:hint="default" w:ascii="宋体" w:hAnsi="宋体"/>
                <w:color w:val="auto"/>
                <w:szCs w:val="21"/>
                <w:highlight w:val="none"/>
              </w:rPr>
            </w:pPr>
            <w:r>
              <w:rPr>
                <w:rFonts w:hint="eastAsia" w:ascii="宋体" w:hAnsi="宋体"/>
                <w:color w:val="auto"/>
                <w:szCs w:val="21"/>
                <w:highlight w:val="none"/>
              </w:rPr>
              <w:t>编号：_</w:t>
            </w:r>
            <w:r>
              <w:rPr>
                <w:rFonts w:hint="default" w:ascii="宋体" w:hAnsi="宋体"/>
                <w:color w:val="auto"/>
                <w:szCs w:val="21"/>
                <w:highlight w:val="none"/>
              </w:rPr>
              <w:t>___________</w:t>
            </w:r>
          </w:p>
        </w:tc>
      </w:tr>
    </w:tbl>
    <w:p w14:paraId="72561F64">
      <w:pPr>
        <w:spacing w:line="360" w:lineRule="auto"/>
        <w:ind w:firstLine="420"/>
        <w:rPr>
          <w:rFonts w:ascii="宋体" w:hAnsi="宋体"/>
          <w:color w:val="auto"/>
          <w:szCs w:val="21"/>
          <w:highlight w:val="none"/>
        </w:rPr>
      </w:pPr>
      <w:r>
        <w:rPr>
          <w:rFonts w:hint="eastAsia" w:ascii="宋体" w:hAnsi="宋体"/>
          <w:color w:val="auto"/>
          <w:szCs w:val="21"/>
          <w:highlight w:val="none"/>
        </w:rPr>
        <w:t>你方于_</w:t>
      </w:r>
      <w:r>
        <w:rPr>
          <w:rFonts w:ascii="宋体" w:hAnsi="宋体"/>
          <w:color w:val="auto"/>
          <w:szCs w:val="21"/>
          <w:highlight w:val="none"/>
        </w:rPr>
        <w:t>____</w:t>
      </w:r>
      <w:r>
        <w:rPr>
          <w:rFonts w:hint="eastAsia" w:ascii="宋体" w:hAnsi="宋体"/>
          <w:color w:val="auto"/>
          <w:szCs w:val="21"/>
          <w:highlight w:val="none"/>
        </w:rPr>
        <w:t>年</w:t>
      </w:r>
      <w:r>
        <w:rPr>
          <w:rFonts w:ascii="宋体" w:hAnsi="宋体"/>
          <w:color w:val="auto"/>
          <w:szCs w:val="21"/>
          <w:highlight w:val="none"/>
        </w:rPr>
        <w:t>____</w:t>
      </w:r>
      <w:r>
        <w:rPr>
          <w:rFonts w:hint="eastAsia" w:ascii="宋体" w:hAnsi="宋体"/>
          <w:color w:val="auto"/>
          <w:szCs w:val="21"/>
          <w:highlight w:val="none"/>
        </w:rPr>
        <w:t>月</w:t>
      </w:r>
      <w:r>
        <w:rPr>
          <w:rFonts w:ascii="宋体" w:hAnsi="宋体"/>
          <w:color w:val="auto"/>
          <w:szCs w:val="21"/>
          <w:highlight w:val="none"/>
        </w:rPr>
        <w:t>____</w:t>
      </w:r>
      <w:r>
        <w:rPr>
          <w:rFonts w:hint="eastAsia" w:ascii="宋体" w:hAnsi="宋体"/>
          <w:color w:val="auto"/>
          <w:szCs w:val="21"/>
          <w:highlight w:val="none"/>
        </w:rPr>
        <w:t>日所递交的</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s="宋体"/>
          <w:color w:val="auto"/>
          <w:szCs w:val="21"/>
          <w:highlight w:val="none"/>
          <w:u w:val="single"/>
        </w:rPr>
        <w:t xml:space="preserve">（标段名称） </w:t>
      </w:r>
      <w:r>
        <w:rPr>
          <w:rFonts w:ascii="宋体" w:hAnsi="宋体" w:cs="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的投标文件已被我方接受，被确定为中标人，请你单位派代表持本通知书及相关资料在接到本通知书后30日内到</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与我方签订承包合同。在此之前按照招标文件规定向我方提交履约担保。</w:t>
      </w:r>
    </w:p>
    <w:p w14:paraId="3020607E">
      <w:pPr>
        <w:spacing w:line="360" w:lineRule="auto"/>
        <w:jc w:val="center"/>
        <w:rPr>
          <w:rFonts w:ascii="宋体" w:hAnsi="宋体"/>
          <w:b/>
          <w:color w:val="auto"/>
          <w:szCs w:val="21"/>
          <w:highlight w:val="none"/>
        </w:rPr>
      </w:pPr>
      <w:r>
        <w:rPr>
          <w:rFonts w:hint="eastAsia" w:ascii="宋体" w:hAnsi="宋体"/>
          <w:b/>
          <w:color w:val="auto"/>
          <w:szCs w:val="21"/>
          <w:highlight w:val="none"/>
        </w:rPr>
        <w:t>工程概况及中标内容</w:t>
      </w:r>
    </w:p>
    <w:tbl>
      <w:tblPr>
        <w:tblStyle w:val="18"/>
        <w:tblW w:w="141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4"/>
        <w:gridCol w:w="2766"/>
        <w:gridCol w:w="2304"/>
        <w:gridCol w:w="51"/>
        <w:gridCol w:w="2308"/>
        <w:gridCol w:w="48"/>
        <w:gridCol w:w="4714"/>
      </w:tblGrid>
      <w:tr w14:paraId="10E83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62DFA6B4">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项目名称</w:t>
            </w:r>
          </w:p>
        </w:tc>
        <w:tc>
          <w:tcPr>
            <w:tcW w:w="12191" w:type="dxa"/>
            <w:gridSpan w:val="6"/>
            <w:shd w:val="clear" w:color="auto" w:fill="auto"/>
            <w:vAlign w:val="center"/>
          </w:tcPr>
          <w:p w14:paraId="43CAFA8C">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68F20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478502F2">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标段名称</w:t>
            </w:r>
          </w:p>
        </w:tc>
        <w:tc>
          <w:tcPr>
            <w:tcW w:w="12191" w:type="dxa"/>
            <w:gridSpan w:val="6"/>
            <w:shd w:val="clear" w:color="auto" w:fill="auto"/>
            <w:vAlign w:val="center"/>
          </w:tcPr>
          <w:p w14:paraId="3FD4455A">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26FD5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59F80EE4">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工程性质</w:t>
            </w:r>
          </w:p>
        </w:tc>
        <w:tc>
          <w:tcPr>
            <w:tcW w:w="5070" w:type="dxa"/>
            <w:gridSpan w:val="2"/>
            <w:shd w:val="clear" w:color="auto" w:fill="auto"/>
            <w:vAlign w:val="center"/>
          </w:tcPr>
          <w:p w14:paraId="745C93A5">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359" w:type="dxa"/>
            <w:gridSpan w:val="2"/>
            <w:shd w:val="clear" w:color="auto" w:fill="auto"/>
            <w:vAlign w:val="center"/>
          </w:tcPr>
          <w:p w14:paraId="6ACF2A26">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资金来源及比例</w:t>
            </w:r>
          </w:p>
        </w:tc>
        <w:tc>
          <w:tcPr>
            <w:tcW w:w="4760" w:type="dxa"/>
            <w:gridSpan w:val="2"/>
            <w:shd w:val="clear" w:color="auto" w:fill="auto"/>
            <w:vAlign w:val="center"/>
          </w:tcPr>
          <w:p w14:paraId="1108EC26">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0C573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6C51B2A3">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建设地址</w:t>
            </w:r>
          </w:p>
        </w:tc>
        <w:tc>
          <w:tcPr>
            <w:tcW w:w="12191" w:type="dxa"/>
            <w:gridSpan w:val="6"/>
            <w:shd w:val="clear" w:color="auto" w:fill="auto"/>
            <w:vAlign w:val="center"/>
          </w:tcPr>
          <w:p w14:paraId="10A85D45">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7C362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63A9A9F9">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中标内容</w:t>
            </w:r>
          </w:p>
        </w:tc>
        <w:tc>
          <w:tcPr>
            <w:tcW w:w="12191" w:type="dxa"/>
            <w:gridSpan w:val="6"/>
            <w:shd w:val="clear" w:color="auto" w:fill="auto"/>
            <w:vAlign w:val="center"/>
          </w:tcPr>
          <w:p w14:paraId="28F0365F">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22BBB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944" w:type="dxa"/>
            <w:shd w:val="clear" w:color="auto" w:fill="auto"/>
            <w:vAlign w:val="center"/>
          </w:tcPr>
          <w:p w14:paraId="741E95F8">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计划工期</w:t>
            </w:r>
          </w:p>
        </w:tc>
        <w:tc>
          <w:tcPr>
            <w:tcW w:w="5120" w:type="dxa"/>
            <w:gridSpan w:val="3"/>
            <w:shd w:val="clear" w:color="auto" w:fill="auto"/>
            <w:vAlign w:val="center"/>
          </w:tcPr>
          <w:p w14:paraId="335E76AB">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356" w:type="dxa"/>
            <w:gridSpan w:val="2"/>
            <w:shd w:val="clear" w:color="auto" w:fill="auto"/>
            <w:vAlign w:val="center"/>
          </w:tcPr>
          <w:p w14:paraId="5EF33B83">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总工期（日历天）</w:t>
            </w:r>
          </w:p>
        </w:tc>
        <w:tc>
          <w:tcPr>
            <w:tcW w:w="4714" w:type="dxa"/>
            <w:shd w:val="clear" w:color="auto" w:fill="auto"/>
            <w:vAlign w:val="center"/>
          </w:tcPr>
          <w:p w14:paraId="034A1DDA">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781CF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060D4125">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资质等级</w:t>
            </w:r>
          </w:p>
        </w:tc>
        <w:tc>
          <w:tcPr>
            <w:tcW w:w="5120" w:type="dxa"/>
            <w:gridSpan w:val="3"/>
            <w:shd w:val="clear" w:color="auto" w:fill="auto"/>
            <w:vAlign w:val="center"/>
          </w:tcPr>
          <w:p w14:paraId="42108D69">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356" w:type="dxa"/>
            <w:gridSpan w:val="2"/>
            <w:shd w:val="clear" w:color="auto" w:fill="auto"/>
            <w:vAlign w:val="center"/>
          </w:tcPr>
          <w:p w14:paraId="47ECB24B">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质量标准</w:t>
            </w:r>
          </w:p>
        </w:tc>
        <w:tc>
          <w:tcPr>
            <w:tcW w:w="4714" w:type="dxa"/>
            <w:shd w:val="clear" w:color="auto" w:fill="auto"/>
            <w:vAlign w:val="center"/>
          </w:tcPr>
          <w:p w14:paraId="6A32BC42">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3B766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7BC41C77">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项目经理</w:t>
            </w:r>
          </w:p>
        </w:tc>
        <w:tc>
          <w:tcPr>
            <w:tcW w:w="2765" w:type="dxa"/>
            <w:shd w:val="clear" w:color="auto" w:fill="auto"/>
            <w:vAlign w:val="center"/>
          </w:tcPr>
          <w:p w14:paraId="0555206F">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355" w:type="dxa"/>
            <w:gridSpan w:val="2"/>
            <w:shd w:val="clear" w:color="auto" w:fill="auto"/>
            <w:vAlign w:val="center"/>
          </w:tcPr>
          <w:p w14:paraId="5ECA30A8">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资格证书及编号</w:t>
            </w:r>
          </w:p>
        </w:tc>
        <w:tc>
          <w:tcPr>
            <w:tcW w:w="7070" w:type="dxa"/>
            <w:gridSpan w:val="3"/>
            <w:shd w:val="clear" w:color="auto" w:fill="auto"/>
            <w:vAlign w:val="center"/>
          </w:tcPr>
          <w:p w14:paraId="77902A87">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61E7A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vMerge w:val="restart"/>
            <w:shd w:val="clear" w:color="auto" w:fill="auto"/>
            <w:vAlign w:val="center"/>
          </w:tcPr>
          <w:p w14:paraId="1F8175DC">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中标金额</w:t>
            </w:r>
          </w:p>
        </w:tc>
        <w:tc>
          <w:tcPr>
            <w:tcW w:w="12191" w:type="dxa"/>
            <w:gridSpan w:val="6"/>
            <w:shd w:val="clear" w:color="auto" w:fill="auto"/>
            <w:vAlign w:val="center"/>
          </w:tcPr>
          <w:p w14:paraId="6EE9A6FD">
            <w:pPr>
              <w:keepNext w:val="0"/>
              <w:keepLines w:val="0"/>
              <w:suppressLineNumbers w:val="0"/>
              <w:spacing w:before="0" w:beforeAutospacing="0" w:after="0" w:afterAutospacing="0"/>
              <w:ind w:left="0" w:right="0"/>
              <w:jc w:val="left"/>
              <w:rPr>
                <w:rFonts w:hint="default" w:ascii="宋体" w:hAnsi="宋体" w:cs="微软雅黑"/>
                <w:color w:val="auto"/>
                <w:szCs w:val="21"/>
                <w:highlight w:val="none"/>
              </w:rPr>
            </w:pPr>
            <w:r>
              <w:rPr>
                <w:rFonts w:hint="eastAsia" w:ascii="宋体" w:hAnsi="宋体" w:cs="微软雅黑"/>
                <w:color w:val="auto"/>
                <w:szCs w:val="21"/>
                <w:highlight w:val="none"/>
              </w:rPr>
              <w:t>大写：</w:t>
            </w:r>
          </w:p>
        </w:tc>
      </w:tr>
      <w:tr w14:paraId="7FD1D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944" w:type="dxa"/>
            <w:vMerge w:val="continue"/>
            <w:shd w:val="clear" w:color="auto" w:fill="auto"/>
            <w:vAlign w:val="center"/>
          </w:tcPr>
          <w:p w14:paraId="0CFD5D9C">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2191" w:type="dxa"/>
            <w:gridSpan w:val="6"/>
            <w:shd w:val="clear" w:color="auto" w:fill="auto"/>
            <w:vAlign w:val="center"/>
          </w:tcPr>
          <w:p w14:paraId="01507BCB">
            <w:pPr>
              <w:keepNext w:val="0"/>
              <w:keepLines w:val="0"/>
              <w:suppressLineNumbers w:val="0"/>
              <w:spacing w:before="0" w:beforeAutospacing="0" w:after="0" w:afterAutospacing="0"/>
              <w:ind w:left="0" w:right="0"/>
              <w:jc w:val="left"/>
              <w:rPr>
                <w:rFonts w:hint="default" w:ascii="宋体" w:hAnsi="宋体" w:cs="微软雅黑"/>
                <w:color w:val="auto"/>
                <w:szCs w:val="21"/>
                <w:highlight w:val="none"/>
              </w:rPr>
            </w:pPr>
            <w:r>
              <w:rPr>
                <w:rFonts w:hint="eastAsia" w:ascii="宋体" w:hAnsi="宋体" w:cs="微软雅黑"/>
                <w:color w:val="auto"/>
                <w:szCs w:val="21"/>
                <w:highlight w:val="none"/>
              </w:rPr>
              <w:t>小写：</w:t>
            </w:r>
          </w:p>
        </w:tc>
      </w:tr>
      <w:tr w14:paraId="1470B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5A97B06A">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需要说明的事项</w:t>
            </w:r>
          </w:p>
        </w:tc>
        <w:tc>
          <w:tcPr>
            <w:tcW w:w="12191" w:type="dxa"/>
            <w:gridSpan w:val="6"/>
            <w:shd w:val="clear" w:color="auto" w:fill="auto"/>
            <w:vAlign w:val="center"/>
          </w:tcPr>
          <w:p w14:paraId="6CB4981A">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1AABD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trPr>
        <w:tc>
          <w:tcPr>
            <w:tcW w:w="4710" w:type="dxa"/>
            <w:gridSpan w:val="2"/>
            <w:shd w:val="clear" w:color="auto" w:fill="auto"/>
            <w:vAlign w:val="center"/>
          </w:tcPr>
          <w:p w14:paraId="325DA0B5">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p>
          <w:p w14:paraId="0CB637CF">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r>
              <w:rPr>
                <w:rFonts w:hint="eastAsia" w:ascii="宋体" w:hAnsi="宋体"/>
                <w:color w:val="auto"/>
                <w:szCs w:val="21"/>
                <w:highlight w:val="none"/>
              </w:rPr>
              <w:t>招标人（盖章）</w:t>
            </w:r>
          </w:p>
          <w:p w14:paraId="02F5E675">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r>
              <w:rPr>
                <w:rFonts w:hint="eastAsia" w:ascii="宋体" w:hAnsi="宋体"/>
                <w:color w:val="auto"/>
                <w:szCs w:val="21"/>
                <w:highlight w:val="none"/>
              </w:rPr>
              <w:t>法定代表</w:t>
            </w:r>
            <w:r>
              <w:rPr>
                <w:rFonts w:hint="eastAsia" w:ascii="宋体" w:hAnsi="宋体"/>
                <w:color w:val="auto"/>
                <w:szCs w:val="21"/>
                <w:highlight w:val="none"/>
                <w:lang w:val="en-US" w:eastAsia="zh-CN"/>
              </w:rPr>
              <w:t>人</w:t>
            </w:r>
            <w:r>
              <w:rPr>
                <w:rFonts w:hint="eastAsia" w:ascii="宋体" w:hAnsi="宋体"/>
                <w:color w:val="auto"/>
                <w:szCs w:val="21"/>
                <w:highlight w:val="none"/>
              </w:rPr>
              <w:t>（签章）</w:t>
            </w:r>
          </w:p>
          <w:p w14:paraId="2D5F7B12">
            <w:pPr>
              <w:keepNext w:val="0"/>
              <w:keepLines w:val="0"/>
              <w:suppressLineNumbers w:val="0"/>
              <w:spacing w:before="0" w:beforeAutospacing="0" w:after="0" w:afterAutospacing="0" w:line="400" w:lineRule="exact"/>
              <w:ind w:left="0" w:right="0"/>
              <w:jc w:val="center"/>
              <w:rPr>
                <w:rFonts w:hint="default" w:ascii="宋体" w:hAnsi="宋体"/>
                <w:color w:val="auto"/>
                <w:szCs w:val="21"/>
                <w:highlight w:val="none"/>
              </w:rPr>
            </w:pPr>
            <w:r>
              <w:rPr>
                <w:rFonts w:hint="eastAsia" w:ascii="宋体" w:hAnsi="宋体"/>
                <w:color w:val="auto"/>
                <w:szCs w:val="21"/>
                <w:highlight w:val="none"/>
              </w:rPr>
              <w:t xml:space="preserve">                 年  月  日</w:t>
            </w:r>
          </w:p>
        </w:tc>
        <w:tc>
          <w:tcPr>
            <w:tcW w:w="4711" w:type="dxa"/>
            <w:gridSpan w:val="4"/>
            <w:shd w:val="clear" w:color="auto" w:fill="auto"/>
            <w:vAlign w:val="center"/>
          </w:tcPr>
          <w:p w14:paraId="7B93B84D">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p>
          <w:p w14:paraId="44D09C85">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r>
              <w:rPr>
                <w:rFonts w:hint="eastAsia" w:ascii="宋体" w:hAnsi="宋体"/>
                <w:color w:val="auto"/>
                <w:szCs w:val="21"/>
                <w:highlight w:val="none"/>
              </w:rPr>
              <w:t>招标代理（盖章）</w:t>
            </w:r>
          </w:p>
          <w:p w14:paraId="780ABA60">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r>
              <w:rPr>
                <w:rFonts w:hint="eastAsia" w:ascii="宋体" w:hAnsi="宋体"/>
                <w:color w:val="auto"/>
                <w:szCs w:val="21"/>
                <w:highlight w:val="none"/>
              </w:rPr>
              <w:t>法定代表</w:t>
            </w:r>
            <w:r>
              <w:rPr>
                <w:rFonts w:hint="eastAsia" w:ascii="宋体" w:hAnsi="宋体"/>
                <w:color w:val="auto"/>
                <w:szCs w:val="21"/>
                <w:highlight w:val="none"/>
                <w:lang w:val="en-US" w:eastAsia="zh-CN"/>
              </w:rPr>
              <w:t>人</w:t>
            </w:r>
            <w:r>
              <w:rPr>
                <w:rFonts w:hint="eastAsia" w:ascii="宋体" w:hAnsi="宋体"/>
                <w:color w:val="auto"/>
                <w:szCs w:val="21"/>
                <w:highlight w:val="none"/>
              </w:rPr>
              <w:t>（签章）</w:t>
            </w:r>
          </w:p>
          <w:p w14:paraId="78DF7AB7">
            <w:pPr>
              <w:keepNext w:val="0"/>
              <w:keepLines w:val="0"/>
              <w:suppressLineNumbers w:val="0"/>
              <w:spacing w:before="0" w:beforeAutospacing="0" w:after="0" w:afterAutospacing="0" w:line="400" w:lineRule="exact"/>
              <w:ind w:left="0" w:right="0"/>
              <w:jc w:val="center"/>
              <w:rPr>
                <w:rFonts w:hint="default" w:ascii="宋体" w:hAnsi="宋体"/>
                <w:color w:val="auto"/>
                <w:szCs w:val="21"/>
                <w:highlight w:val="none"/>
              </w:rPr>
            </w:pPr>
            <w:r>
              <w:rPr>
                <w:rFonts w:hint="eastAsia" w:ascii="宋体" w:hAnsi="宋体"/>
                <w:color w:val="auto"/>
                <w:szCs w:val="21"/>
                <w:highlight w:val="none"/>
              </w:rPr>
              <w:t xml:space="preserve">                  年  月  日</w:t>
            </w:r>
          </w:p>
        </w:tc>
        <w:tc>
          <w:tcPr>
            <w:tcW w:w="4714" w:type="dxa"/>
            <w:shd w:val="clear" w:color="auto" w:fill="auto"/>
            <w:vAlign w:val="center"/>
          </w:tcPr>
          <w:p w14:paraId="508863C3">
            <w:pPr>
              <w:keepNext w:val="0"/>
              <w:keepLines w:val="0"/>
              <w:suppressLineNumbers w:val="0"/>
              <w:spacing w:before="0" w:beforeAutospacing="0" w:after="0" w:afterAutospacing="0" w:line="400" w:lineRule="exact"/>
              <w:ind w:left="0" w:right="0"/>
              <w:jc w:val="center"/>
              <w:rPr>
                <w:rFonts w:hint="default" w:ascii="宋体" w:hAnsi="宋体"/>
                <w:color w:val="auto"/>
                <w:szCs w:val="21"/>
                <w:highlight w:val="none"/>
              </w:rPr>
            </w:pPr>
          </w:p>
          <w:p w14:paraId="73949DA8">
            <w:pPr>
              <w:keepNext w:val="0"/>
              <w:keepLines w:val="0"/>
              <w:suppressLineNumbers w:val="0"/>
              <w:spacing w:before="0" w:beforeAutospacing="0" w:after="0" w:afterAutospacing="0" w:line="400" w:lineRule="exact"/>
              <w:ind w:left="0" w:right="0" w:firstLine="525" w:firstLineChars="250"/>
              <w:rPr>
                <w:rFonts w:hint="default" w:ascii="宋体" w:hAnsi="宋体"/>
                <w:color w:val="auto"/>
                <w:szCs w:val="21"/>
                <w:highlight w:val="none"/>
              </w:rPr>
            </w:pPr>
            <w:r>
              <w:rPr>
                <w:rFonts w:hint="eastAsia" w:ascii="宋体" w:hAnsi="宋体"/>
                <w:color w:val="auto"/>
                <w:szCs w:val="21"/>
                <w:highlight w:val="none"/>
              </w:rPr>
              <w:t>监管部门（盖章）</w:t>
            </w:r>
          </w:p>
          <w:p w14:paraId="19939232">
            <w:pPr>
              <w:keepNext w:val="0"/>
              <w:keepLines w:val="0"/>
              <w:suppressLineNumbers w:val="0"/>
              <w:spacing w:before="0" w:beforeAutospacing="0" w:after="0" w:afterAutospacing="0" w:line="400" w:lineRule="exact"/>
              <w:ind w:left="0" w:right="0" w:firstLine="525" w:firstLineChars="250"/>
              <w:rPr>
                <w:rFonts w:hint="default" w:ascii="宋体" w:hAnsi="宋体"/>
                <w:color w:val="auto"/>
                <w:szCs w:val="21"/>
                <w:highlight w:val="none"/>
              </w:rPr>
            </w:pPr>
            <w:r>
              <w:rPr>
                <w:rFonts w:hint="eastAsia" w:ascii="宋体" w:hAnsi="宋体"/>
                <w:color w:val="auto"/>
                <w:szCs w:val="21"/>
                <w:highlight w:val="none"/>
              </w:rPr>
              <w:t>经办人（签章）</w:t>
            </w:r>
          </w:p>
          <w:p w14:paraId="2C9CB05D">
            <w:pPr>
              <w:keepNext w:val="0"/>
              <w:keepLines w:val="0"/>
              <w:suppressLineNumbers w:val="0"/>
              <w:spacing w:before="0" w:beforeAutospacing="0" w:after="0" w:afterAutospacing="0" w:line="400" w:lineRule="exact"/>
              <w:ind w:left="0" w:right="0"/>
              <w:jc w:val="center"/>
              <w:rPr>
                <w:rFonts w:hint="default" w:ascii="宋体" w:hAnsi="宋体"/>
                <w:color w:val="auto"/>
                <w:szCs w:val="21"/>
                <w:highlight w:val="none"/>
              </w:rPr>
            </w:pPr>
            <w:r>
              <w:rPr>
                <w:rFonts w:hint="eastAsia" w:ascii="宋体" w:hAnsi="宋体"/>
                <w:color w:val="auto"/>
                <w:szCs w:val="21"/>
                <w:highlight w:val="none"/>
              </w:rPr>
              <w:t xml:space="preserve">               年  月  日</w:t>
            </w:r>
          </w:p>
        </w:tc>
      </w:tr>
    </w:tbl>
    <w:p w14:paraId="2FE299CD">
      <w:pPr>
        <w:widowControl/>
        <w:jc w:val="left"/>
        <w:rPr>
          <w:color w:val="auto"/>
          <w:highlight w:val="none"/>
        </w:rPr>
        <w:sectPr>
          <w:pgSz w:w="16838" w:h="11906" w:orient="landscape"/>
          <w:pgMar w:top="1276" w:right="1440" w:bottom="1134" w:left="1440" w:header="851" w:footer="851" w:gutter="0"/>
          <w:cols w:space="720" w:num="1"/>
          <w:docGrid w:linePitch="312" w:charSpace="0"/>
        </w:sectPr>
      </w:pPr>
      <w:r>
        <w:rPr>
          <w:color w:val="auto"/>
          <w:highlight w:val="none"/>
        </w:rPr>
        <w:br w:type="page"/>
      </w:r>
    </w:p>
    <w:p w14:paraId="49DFCC23">
      <w:pPr>
        <w:widowControl/>
        <w:jc w:val="left"/>
        <w:rPr>
          <w:color w:val="auto"/>
          <w:highlight w:val="none"/>
        </w:rPr>
      </w:pPr>
    </w:p>
    <w:p w14:paraId="788D7E75">
      <w:pPr>
        <w:pStyle w:val="3"/>
        <w:rPr>
          <w:rFonts w:ascii="黑体"/>
          <w:color w:val="auto"/>
          <w:sz w:val="24"/>
          <w:highlight w:val="none"/>
        </w:rPr>
      </w:pPr>
      <w:bookmarkStart w:id="417" w:name="_Toc12354"/>
      <w:bookmarkStart w:id="418" w:name="_Toc165804348"/>
      <w:r>
        <w:rPr>
          <w:rFonts w:hint="eastAsia"/>
          <w:b w:val="0"/>
          <w:color w:val="auto"/>
          <w:sz w:val="24"/>
          <w:szCs w:val="24"/>
          <w:highlight w:val="none"/>
        </w:rPr>
        <w:t>附表九：中标结果通知书</w:t>
      </w:r>
      <w:bookmarkEnd w:id="417"/>
      <w:bookmarkEnd w:id="418"/>
    </w:p>
    <w:p w14:paraId="5973E053">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中标结果通知书</w:t>
      </w:r>
    </w:p>
    <w:p w14:paraId="28B512BF">
      <w:pPr>
        <w:spacing w:line="480" w:lineRule="exact"/>
        <w:rPr>
          <w:color w:val="auto"/>
          <w:highlight w:val="none"/>
        </w:rPr>
      </w:pPr>
      <w:r>
        <w:rPr>
          <w:rFonts w:hint="eastAsia"/>
          <w:color w:val="auto"/>
          <w:highlight w:val="none"/>
          <w:u w:val="single"/>
        </w:rPr>
        <w:t xml:space="preserve">                      </w:t>
      </w:r>
      <w:r>
        <w:rPr>
          <w:rFonts w:hint="eastAsia"/>
          <w:color w:val="auto"/>
          <w:highlight w:val="none"/>
        </w:rPr>
        <w:t>（未中标人名称）：</w:t>
      </w:r>
    </w:p>
    <w:p w14:paraId="0D79FA3B">
      <w:pPr>
        <w:spacing w:line="480" w:lineRule="exact"/>
        <w:rPr>
          <w:color w:val="auto"/>
          <w:highlight w:val="none"/>
        </w:rPr>
      </w:pPr>
    </w:p>
    <w:p w14:paraId="3E3F1DFB">
      <w:pPr>
        <w:spacing w:line="480" w:lineRule="exact"/>
        <w:ind w:firstLine="420" w:firstLineChars="200"/>
        <w:rPr>
          <w:color w:val="auto"/>
          <w:highlight w:val="none"/>
        </w:rPr>
      </w:pPr>
      <w:r>
        <w:rPr>
          <w:rFonts w:hint="eastAsia"/>
          <w:color w:val="auto"/>
          <w:highlight w:val="none"/>
        </w:rPr>
        <w:t>我方已接受</w:t>
      </w:r>
      <w:r>
        <w:rPr>
          <w:rFonts w:hint="eastAsia"/>
          <w:color w:val="auto"/>
          <w:highlight w:val="none"/>
          <w:u w:val="single"/>
        </w:rPr>
        <w:t xml:space="preserve">                   </w:t>
      </w:r>
      <w:r>
        <w:rPr>
          <w:rFonts w:hint="eastAsia"/>
          <w:color w:val="auto"/>
          <w:highlight w:val="none"/>
        </w:rPr>
        <w:t>（中标人名称）于</w:t>
      </w:r>
      <w:r>
        <w:rPr>
          <w:rFonts w:hint="eastAsia"/>
          <w:color w:val="auto"/>
          <w:highlight w:val="none"/>
          <w:u w:val="single"/>
        </w:rPr>
        <w:t xml:space="preserve">                       </w:t>
      </w:r>
      <w:r>
        <w:rPr>
          <w:rFonts w:hint="eastAsia"/>
          <w:color w:val="auto"/>
          <w:highlight w:val="none"/>
        </w:rPr>
        <w:t>（投标日期）所递交的</w:t>
      </w:r>
      <w:r>
        <w:rPr>
          <w:rFonts w:hint="eastAsia"/>
          <w:color w:val="auto"/>
          <w:highlight w:val="none"/>
          <w:u w:val="single"/>
        </w:rPr>
        <w:t xml:space="preserve">             </w:t>
      </w:r>
      <w:r>
        <w:rPr>
          <w:rFonts w:hint="eastAsia"/>
          <w:color w:val="auto"/>
          <w:highlight w:val="none"/>
        </w:rPr>
        <w:t>（标段名称）项目（标段唯一标识码：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）投标文件，确定</w:t>
      </w:r>
      <w:r>
        <w:rPr>
          <w:rFonts w:hint="eastAsia"/>
          <w:color w:val="auto"/>
          <w:highlight w:val="none"/>
          <w:u w:val="single"/>
        </w:rPr>
        <w:t xml:space="preserve">         </w:t>
      </w:r>
      <w:r>
        <w:rPr>
          <w:rFonts w:hint="eastAsia"/>
          <w:color w:val="auto"/>
          <w:highlight w:val="none"/>
        </w:rPr>
        <w:t>（中标人名称）为中标人。</w:t>
      </w:r>
    </w:p>
    <w:p w14:paraId="680DAB2D">
      <w:pPr>
        <w:spacing w:line="480" w:lineRule="exact"/>
        <w:ind w:firstLine="420" w:firstLineChars="200"/>
        <w:rPr>
          <w:color w:val="auto"/>
          <w:highlight w:val="none"/>
        </w:rPr>
      </w:pPr>
    </w:p>
    <w:p w14:paraId="7C88BE75">
      <w:pPr>
        <w:spacing w:line="480" w:lineRule="exact"/>
        <w:ind w:firstLine="420" w:firstLineChars="200"/>
        <w:rPr>
          <w:color w:val="auto"/>
          <w:highlight w:val="none"/>
        </w:rPr>
      </w:pPr>
      <w:r>
        <w:rPr>
          <w:rFonts w:hint="eastAsia"/>
          <w:color w:val="auto"/>
          <w:highlight w:val="none"/>
        </w:rPr>
        <w:t>感谢你单位对我方工作的大力支持</w:t>
      </w:r>
      <w:r>
        <w:rPr>
          <w:rFonts w:hint="eastAsia"/>
          <w:color w:val="auto"/>
          <w:highlight w:val="none"/>
          <w:lang w:eastAsia="zh-CN"/>
        </w:rPr>
        <w:t>！</w:t>
      </w:r>
    </w:p>
    <w:p w14:paraId="6AD8FD84">
      <w:pPr>
        <w:spacing w:line="480" w:lineRule="exact"/>
        <w:ind w:firstLine="420" w:firstLineChars="200"/>
        <w:rPr>
          <w:color w:val="auto"/>
          <w:highlight w:val="none"/>
        </w:rPr>
      </w:pPr>
    </w:p>
    <w:p w14:paraId="4B92E290">
      <w:pPr>
        <w:spacing w:line="480" w:lineRule="exact"/>
        <w:ind w:firstLine="420" w:firstLineChars="200"/>
        <w:rPr>
          <w:color w:val="auto"/>
          <w:highlight w:val="none"/>
        </w:rPr>
      </w:pPr>
    </w:p>
    <w:p w14:paraId="51BDCFF9">
      <w:pPr>
        <w:spacing w:line="480" w:lineRule="exact"/>
        <w:ind w:firstLine="420" w:firstLineChars="200"/>
        <w:rPr>
          <w:color w:val="auto"/>
          <w:highlight w:val="none"/>
        </w:rPr>
      </w:pPr>
    </w:p>
    <w:p w14:paraId="6B456BF5">
      <w:pPr>
        <w:spacing w:line="480" w:lineRule="exact"/>
        <w:ind w:firstLine="420" w:firstLineChars="200"/>
        <w:rPr>
          <w:color w:val="auto"/>
          <w:highlight w:val="none"/>
        </w:rPr>
      </w:pPr>
    </w:p>
    <w:p w14:paraId="444BC97E">
      <w:pPr>
        <w:wordWrap w:val="0"/>
        <w:spacing w:line="480" w:lineRule="exact"/>
        <w:ind w:firstLine="420" w:firstLineChars="200"/>
        <w:jc w:val="right"/>
        <w:rPr>
          <w:rFonts w:ascii="宋体" w:hAnsi="宋体"/>
          <w:color w:val="auto"/>
          <w:highlight w:val="none"/>
        </w:rPr>
      </w:pPr>
      <w:r>
        <w:rPr>
          <w:rFonts w:hint="eastAsia" w:ascii="宋体" w:hAnsi="宋体"/>
          <w:color w:val="auto"/>
          <w:highlight w:val="none"/>
        </w:rPr>
        <w:t>招标人：</w:t>
      </w:r>
      <w:r>
        <w:rPr>
          <w:rFonts w:hint="eastAsia" w:ascii="宋体" w:hAnsi="宋体"/>
          <w:color w:val="auto"/>
          <w:highlight w:val="none"/>
          <w:u w:val="single"/>
        </w:rPr>
        <w:t xml:space="preserve">               </w:t>
      </w:r>
      <w:r>
        <w:rPr>
          <w:rFonts w:hint="eastAsia" w:ascii="宋体" w:hAnsi="宋体"/>
          <w:color w:val="auto"/>
          <w:highlight w:val="none"/>
        </w:rPr>
        <w:t xml:space="preserve">（盖单位章） </w:t>
      </w:r>
    </w:p>
    <w:p w14:paraId="6C6DEDFF">
      <w:pPr>
        <w:wordWrap w:val="0"/>
        <w:spacing w:line="480" w:lineRule="exact"/>
        <w:ind w:firstLine="420" w:firstLineChars="200"/>
        <w:jc w:val="right"/>
        <w:rPr>
          <w:rFonts w:ascii="宋体" w:hAnsi="宋体"/>
          <w:color w:val="auto"/>
          <w:highlight w:val="none"/>
        </w:rPr>
      </w:pPr>
      <w:r>
        <w:rPr>
          <w:rFonts w:hint="eastAsia" w:ascii="宋体" w:hAnsi="宋体"/>
          <w:color w:val="auto"/>
          <w:highlight w:val="none"/>
        </w:rPr>
        <w:t>法定代表人：</w:t>
      </w:r>
      <w:r>
        <w:rPr>
          <w:rFonts w:hint="eastAsia" w:ascii="宋体" w:hAnsi="宋体"/>
          <w:color w:val="auto"/>
          <w:highlight w:val="none"/>
          <w:u w:val="single"/>
        </w:rPr>
        <w:t xml:space="preserve">              </w:t>
      </w:r>
      <w:r>
        <w:rPr>
          <w:rFonts w:hint="eastAsia" w:ascii="宋体" w:hAnsi="宋体"/>
          <w:color w:val="auto"/>
          <w:highlight w:val="none"/>
        </w:rPr>
        <w:t xml:space="preserve"> （</w:t>
      </w:r>
      <w:bookmarkStart w:id="419" w:name="_Hlk152171080"/>
      <w:r>
        <w:rPr>
          <w:rFonts w:hint="eastAsia" w:ascii="宋体" w:hAnsi="宋体"/>
          <w:color w:val="auto"/>
          <w:highlight w:val="none"/>
        </w:rPr>
        <w:t>签章</w:t>
      </w:r>
      <w:bookmarkEnd w:id="419"/>
      <w:r>
        <w:rPr>
          <w:rFonts w:hint="eastAsia" w:ascii="宋体" w:hAnsi="宋体"/>
          <w:color w:val="auto"/>
          <w:highlight w:val="none"/>
        </w:rPr>
        <w:t xml:space="preserve">） </w:t>
      </w:r>
    </w:p>
    <w:p w14:paraId="4B6F2C7E">
      <w:pPr>
        <w:wordWrap w:val="0"/>
        <w:spacing w:line="480" w:lineRule="exact"/>
        <w:ind w:firstLine="4689" w:firstLineChars="2233"/>
        <w:jc w:val="right"/>
        <w:rPr>
          <w:color w:val="auto"/>
          <w:highlight w:val="none"/>
        </w:rPr>
      </w:pP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 xml:space="preserve">日  </w:t>
      </w:r>
    </w:p>
    <w:p w14:paraId="0395B1A1">
      <w:pPr>
        <w:spacing w:line="480" w:lineRule="exact"/>
        <w:ind w:firstLine="4689" w:firstLineChars="2233"/>
        <w:jc w:val="right"/>
        <w:rPr>
          <w:color w:val="auto"/>
          <w:highlight w:val="none"/>
        </w:rPr>
      </w:pPr>
    </w:p>
    <w:p w14:paraId="5C6EFCA0">
      <w:pPr>
        <w:spacing w:line="480" w:lineRule="exact"/>
        <w:ind w:firstLine="4689" w:firstLineChars="2233"/>
        <w:jc w:val="right"/>
        <w:rPr>
          <w:color w:val="auto"/>
          <w:highlight w:val="none"/>
        </w:rPr>
      </w:pPr>
    </w:p>
    <w:p w14:paraId="530E35E2">
      <w:pPr>
        <w:spacing w:line="480" w:lineRule="exact"/>
        <w:ind w:firstLine="4689" w:firstLineChars="2233"/>
        <w:jc w:val="right"/>
        <w:rPr>
          <w:color w:val="auto"/>
          <w:highlight w:val="none"/>
        </w:rPr>
      </w:pPr>
    </w:p>
    <w:p w14:paraId="502F8E05">
      <w:pPr>
        <w:spacing w:line="480" w:lineRule="exact"/>
        <w:ind w:firstLine="4689" w:firstLineChars="2233"/>
        <w:jc w:val="right"/>
        <w:rPr>
          <w:color w:val="auto"/>
          <w:highlight w:val="none"/>
        </w:rPr>
      </w:pPr>
    </w:p>
    <w:p w14:paraId="0CB15D2B">
      <w:pPr>
        <w:spacing w:line="480" w:lineRule="exact"/>
        <w:rPr>
          <w:color w:val="auto"/>
          <w:highlight w:val="none"/>
        </w:rPr>
      </w:pPr>
    </w:p>
    <w:p w14:paraId="7ABC5651">
      <w:pPr>
        <w:spacing w:line="480" w:lineRule="exact"/>
        <w:rPr>
          <w:color w:val="auto"/>
          <w:highlight w:val="none"/>
        </w:rPr>
      </w:pPr>
    </w:p>
    <w:p w14:paraId="593B3C62">
      <w:pPr>
        <w:spacing w:line="480" w:lineRule="exact"/>
        <w:rPr>
          <w:color w:val="auto"/>
          <w:highlight w:val="none"/>
        </w:rPr>
      </w:pPr>
      <w:r>
        <w:rPr>
          <w:color w:val="auto"/>
          <w:highlight w:val="none"/>
        </w:rPr>
        <w:br w:type="page"/>
      </w:r>
    </w:p>
    <w:p w14:paraId="218EC237">
      <w:pPr>
        <w:pStyle w:val="3"/>
        <w:rPr>
          <w:rFonts w:ascii="仿宋_GB2312" w:hAnsi="黑体" w:eastAsia="仿宋_GB2312"/>
          <w:b w:val="0"/>
          <w:bCs w:val="0"/>
          <w:color w:val="auto"/>
          <w:spacing w:val="12"/>
          <w:sz w:val="24"/>
          <w:highlight w:val="none"/>
        </w:rPr>
      </w:pPr>
      <w:bookmarkStart w:id="420" w:name="_Toc165804349"/>
      <w:bookmarkStart w:id="421" w:name="_Toc25355"/>
      <w:r>
        <w:rPr>
          <w:rFonts w:hint="eastAsia"/>
          <w:b w:val="0"/>
          <w:color w:val="auto"/>
          <w:sz w:val="24"/>
          <w:szCs w:val="24"/>
          <w:highlight w:val="none"/>
        </w:rPr>
        <w:t>附表十：异议书</w:t>
      </w:r>
      <w:bookmarkEnd w:id="420"/>
      <w:bookmarkEnd w:id="421"/>
    </w:p>
    <w:p w14:paraId="1CCF6F8D">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异议书</w:t>
      </w:r>
    </w:p>
    <w:p w14:paraId="6766E96A">
      <w:pPr>
        <w:widowControl/>
        <w:adjustRightInd w:val="0"/>
        <w:snapToGrid w:val="0"/>
        <w:spacing w:line="500" w:lineRule="exact"/>
        <w:jc w:val="left"/>
        <w:rPr>
          <w:rFonts w:ascii="宋体" w:hAnsi="宋体" w:cs="黑体"/>
          <w:b/>
          <w:bCs/>
          <w:color w:val="auto"/>
          <w:kern w:val="0"/>
          <w:szCs w:val="21"/>
          <w:highlight w:val="none"/>
        </w:rPr>
      </w:pPr>
      <w:r>
        <w:rPr>
          <w:rFonts w:hint="eastAsia" w:ascii="宋体" w:hAnsi="宋体" w:cs="黑体"/>
          <w:b/>
          <w:bCs/>
          <w:color w:val="auto"/>
          <w:kern w:val="0"/>
          <w:szCs w:val="21"/>
          <w:highlight w:val="none"/>
        </w:rPr>
        <w:t>一、异议项目基本情况</w:t>
      </w:r>
    </w:p>
    <w:p w14:paraId="16556290">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标段名称：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0BD665E7">
      <w:pPr>
        <w:adjustRightInd w:val="0"/>
        <w:snapToGrid w:val="0"/>
        <w:spacing w:line="500" w:lineRule="exact"/>
        <w:ind w:firstLine="420" w:firstLineChars="200"/>
        <w:rPr>
          <w:rFonts w:ascii="宋体" w:hAnsi="宋体" w:cs="仿宋_GB2312"/>
          <w:color w:val="auto"/>
          <w:kern w:val="0"/>
          <w:szCs w:val="21"/>
          <w:highlight w:val="none"/>
          <w:u w:val="single"/>
        </w:rPr>
      </w:pPr>
      <w:r>
        <w:rPr>
          <w:rFonts w:hint="eastAsia"/>
          <w:color w:val="auto"/>
          <w:highlight w:val="none"/>
        </w:rPr>
        <w:t>标段唯一标识码：</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162B2A56">
      <w:pPr>
        <w:widowControl/>
        <w:adjustRightInd w:val="0"/>
        <w:snapToGrid w:val="0"/>
        <w:spacing w:line="500" w:lineRule="exact"/>
        <w:ind w:firstLine="420" w:firstLineChars="200"/>
        <w:jc w:val="left"/>
        <w:rPr>
          <w:rFonts w:ascii="宋体" w:hAnsi="宋体" w:cs="仿宋_GB2312"/>
          <w:color w:val="auto"/>
          <w:kern w:val="0"/>
          <w:szCs w:val="21"/>
          <w:highlight w:val="none"/>
          <w:u w:val="single"/>
        </w:rPr>
      </w:pPr>
      <w:r>
        <w:rPr>
          <w:rFonts w:hint="eastAsia" w:ascii="宋体" w:hAnsi="宋体" w:cs="仿宋_GB2312"/>
          <w:color w:val="auto"/>
          <w:kern w:val="0"/>
          <w:szCs w:val="21"/>
          <w:highlight w:val="none"/>
        </w:rPr>
        <w:t>招标人名称：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50D738B7">
      <w:pPr>
        <w:widowControl/>
        <w:adjustRightInd w:val="0"/>
        <w:snapToGrid w:val="0"/>
        <w:spacing w:line="500" w:lineRule="exact"/>
        <w:ind w:firstLine="420" w:firstLineChars="200"/>
        <w:jc w:val="left"/>
        <w:rPr>
          <w:rFonts w:ascii="宋体" w:hAnsi="宋体" w:cs="仿宋_GB2312"/>
          <w:color w:val="auto"/>
          <w:kern w:val="0"/>
          <w:szCs w:val="21"/>
          <w:highlight w:val="none"/>
          <w:u w:val="single"/>
        </w:rPr>
      </w:pPr>
      <w:r>
        <w:rPr>
          <w:rFonts w:hint="eastAsia" w:ascii="宋体" w:hAnsi="宋体" w:cs="仿宋_GB2312"/>
          <w:color w:val="auto"/>
          <w:kern w:val="0"/>
          <w:szCs w:val="21"/>
          <w:highlight w:val="none"/>
        </w:rPr>
        <w:t>招标代理机构名称：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0A4014AC">
      <w:pPr>
        <w:widowControl/>
        <w:adjustRightInd w:val="0"/>
        <w:snapToGrid w:val="0"/>
        <w:spacing w:line="500" w:lineRule="exact"/>
        <w:jc w:val="left"/>
        <w:rPr>
          <w:rFonts w:ascii="宋体" w:hAnsi="宋体" w:cs="黑体"/>
          <w:b/>
          <w:bCs/>
          <w:color w:val="auto"/>
          <w:kern w:val="0"/>
          <w:szCs w:val="21"/>
          <w:highlight w:val="none"/>
        </w:rPr>
      </w:pPr>
      <w:r>
        <w:rPr>
          <w:rFonts w:hint="eastAsia" w:ascii="宋体" w:hAnsi="宋体" w:cs="黑体"/>
          <w:b/>
          <w:bCs/>
          <w:color w:val="auto"/>
          <w:kern w:val="0"/>
          <w:szCs w:val="21"/>
          <w:highlight w:val="none"/>
        </w:rPr>
        <w:t>二、异议人基本情况</w:t>
      </w:r>
    </w:p>
    <w:p w14:paraId="53B1183B">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单位名称：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12F1E0B6">
      <w:pPr>
        <w:adjustRightInd w:val="0"/>
        <w:snapToGrid w:val="0"/>
        <w:spacing w:line="500" w:lineRule="exact"/>
        <w:ind w:firstLine="420" w:firstLineChars="200"/>
        <w:rPr>
          <w:rFonts w:ascii="宋体" w:hAnsi="宋体" w:cs="仿宋_GB2312"/>
          <w:b/>
          <w:bCs/>
          <w:color w:val="auto"/>
          <w:kern w:val="0"/>
          <w:szCs w:val="21"/>
          <w:highlight w:val="none"/>
          <w:u w:val="single"/>
        </w:rPr>
      </w:pPr>
      <w:r>
        <w:rPr>
          <w:rFonts w:ascii="宋体" w:hAnsi="宋体"/>
          <w:color w:val="auto"/>
          <w:kern w:val="0"/>
          <w:szCs w:val="21"/>
          <w:highlight w:val="none"/>
        </w:rPr>
        <w:t>住所地：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邮编</w:t>
      </w:r>
      <w:r>
        <w:rPr>
          <w:rFonts w:hint="eastAsia" w:ascii="宋体" w:hAnsi="宋体"/>
          <w:color w:val="auto"/>
          <w:kern w:val="0"/>
          <w:szCs w:val="21"/>
          <w:highlight w:val="none"/>
        </w:rPr>
        <w:t>：</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3F4526A2">
      <w:pPr>
        <w:adjustRightInd w:val="0"/>
        <w:snapToGrid w:val="0"/>
        <w:spacing w:line="500" w:lineRule="exact"/>
        <w:ind w:firstLine="420" w:firstLineChars="200"/>
        <w:rPr>
          <w:rFonts w:ascii="宋体" w:hAnsi="宋体"/>
          <w:color w:val="auto"/>
          <w:kern w:val="0"/>
          <w:szCs w:val="21"/>
          <w:highlight w:val="none"/>
        </w:rPr>
      </w:pPr>
      <w:r>
        <w:rPr>
          <w:rFonts w:ascii="宋体" w:hAnsi="宋体"/>
          <w:color w:val="auto"/>
          <w:kern w:val="0"/>
          <w:szCs w:val="21"/>
          <w:highlight w:val="none"/>
        </w:rPr>
        <w:t>法定代表人：</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联系电话：</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73C87574">
      <w:pPr>
        <w:adjustRightInd w:val="0"/>
        <w:snapToGrid w:val="0"/>
        <w:spacing w:line="500" w:lineRule="exact"/>
        <w:ind w:firstLine="420" w:firstLineChars="200"/>
        <w:rPr>
          <w:rFonts w:ascii="宋体" w:hAnsi="宋体"/>
          <w:color w:val="auto"/>
          <w:kern w:val="0"/>
          <w:szCs w:val="21"/>
          <w:highlight w:val="none"/>
        </w:rPr>
      </w:pPr>
      <w:r>
        <w:rPr>
          <w:rFonts w:ascii="宋体" w:hAnsi="宋体"/>
          <w:color w:val="auto"/>
          <w:kern w:val="0"/>
          <w:szCs w:val="21"/>
          <w:highlight w:val="none"/>
        </w:rPr>
        <w:t>异议人授权代表：</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性别：</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p>
    <w:p w14:paraId="7AB6A955">
      <w:pPr>
        <w:adjustRightInd w:val="0"/>
        <w:snapToGrid w:val="0"/>
        <w:spacing w:line="500" w:lineRule="exact"/>
        <w:ind w:firstLine="420" w:firstLineChars="200"/>
        <w:rPr>
          <w:rFonts w:ascii="宋体" w:hAnsi="宋体"/>
          <w:color w:val="auto"/>
          <w:kern w:val="0"/>
          <w:szCs w:val="21"/>
          <w:highlight w:val="none"/>
        </w:rPr>
      </w:pPr>
      <w:r>
        <w:rPr>
          <w:rFonts w:ascii="宋体" w:hAnsi="宋体"/>
          <w:color w:val="auto"/>
          <w:kern w:val="0"/>
          <w:szCs w:val="21"/>
          <w:highlight w:val="none"/>
        </w:rPr>
        <w:t>地址：</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 xml:space="preserve"> 联系电话：</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p>
    <w:p w14:paraId="03D708F5">
      <w:pPr>
        <w:widowControl/>
        <w:adjustRightInd w:val="0"/>
        <w:snapToGrid w:val="0"/>
        <w:spacing w:line="500" w:lineRule="exact"/>
        <w:jc w:val="left"/>
        <w:rPr>
          <w:rFonts w:ascii="宋体" w:hAnsi="宋体" w:cs="黑体"/>
          <w:b/>
          <w:bCs/>
          <w:color w:val="auto"/>
          <w:kern w:val="0"/>
          <w:szCs w:val="21"/>
          <w:highlight w:val="none"/>
        </w:rPr>
      </w:pPr>
      <w:r>
        <w:rPr>
          <w:rFonts w:hint="eastAsia" w:ascii="宋体" w:hAnsi="宋体" w:cs="黑体"/>
          <w:b/>
          <w:bCs/>
          <w:color w:val="auto"/>
          <w:kern w:val="0"/>
          <w:szCs w:val="21"/>
          <w:highlight w:val="none"/>
        </w:rPr>
        <w:t>三、异议事项基本事实</w:t>
      </w:r>
    </w:p>
    <w:p w14:paraId="2BFD4F6F">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异议事项1：</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 xml:space="preserve">； </w:t>
      </w:r>
    </w:p>
    <w:p w14:paraId="160F5B41">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异议事项2：</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 xml:space="preserve">； </w:t>
      </w:r>
    </w:p>
    <w:p w14:paraId="431BB9CD">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异议事项3：</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 xml:space="preserve">。 </w:t>
      </w:r>
    </w:p>
    <w:p w14:paraId="04C0836E">
      <w:pPr>
        <w:widowControl/>
        <w:adjustRightInd w:val="0"/>
        <w:snapToGrid w:val="0"/>
        <w:spacing w:line="500" w:lineRule="exact"/>
        <w:jc w:val="left"/>
        <w:rPr>
          <w:rFonts w:ascii="宋体" w:hAnsi="宋体" w:cs="黑体"/>
          <w:b/>
          <w:bCs/>
          <w:color w:val="auto"/>
          <w:kern w:val="0"/>
          <w:szCs w:val="21"/>
          <w:highlight w:val="none"/>
        </w:rPr>
      </w:pPr>
      <w:r>
        <w:rPr>
          <w:rFonts w:hint="eastAsia" w:ascii="宋体" w:hAnsi="宋体" w:cs="黑体"/>
          <w:b/>
          <w:bCs/>
          <w:color w:val="auto"/>
          <w:kern w:val="0"/>
          <w:szCs w:val="21"/>
          <w:highlight w:val="none"/>
        </w:rPr>
        <w:t>四、有效线索和相关证明材料：见附件</w:t>
      </w:r>
    </w:p>
    <w:p w14:paraId="27A50F9F">
      <w:pPr>
        <w:widowControl/>
        <w:adjustRightInd w:val="0"/>
        <w:snapToGrid w:val="0"/>
        <w:spacing w:line="500" w:lineRule="exact"/>
        <w:jc w:val="left"/>
        <w:rPr>
          <w:rFonts w:ascii="宋体" w:hAnsi="宋体" w:cs="黑体"/>
          <w:b/>
          <w:bCs/>
          <w:color w:val="auto"/>
          <w:kern w:val="0"/>
          <w:szCs w:val="21"/>
          <w:highlight w:val="none"/>
        </w:rPr>
      </w:pPr>
      <w:r>
        <w:rPr>
          <w:rFonts w:hint="eastAsia" w:ascii="宋体" w:hAnsi="宋体" w:cs="黑体"/>
          <w:b/>
          <w:bCs/>
          <w:color w:val="auto"/>
          <w:kern w:val="0"/>
          <w:szCs w:val="21"/>
          <w:highlight w:val="none"/>
        </w:rPr>
        <w:t>五、相关请求及主张：</w:t>
      </w:r>
    </w:p>
    <w:p w14:paraId="3353FCB4">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 xml:space="preserve">（一）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w:t>
      </w:r>
    </w:p>
    <w:p w14:paraId="728C49C2">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（二）</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w:t>
      </w:r>
    </w:p>
    <w:p w14:paraId="197EBF18">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（三）</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w:t>
      </w:r>
    </w:p>
    <w:p w14:paraId="7B26CCE9">
      <w:pPr>
        <w:widowControl/>
        <w:adjustRightInd w:val="0"/>
        <w:snapToGrid w:val="0"/>
        <w:spacing w:line="500" w:lineRule="exact"/>
        <w:jc w:val="left"/>
        <w:rPr>
          <w:rFonts w:ascii="宋体" w:hAnsi="宋体" w:cs="宋体"/>
          <w:color w:val="auto"/>
          <w:kern w:val="0"/>
          <w:szCs w:val="21"/>
          <w:highlight w:val="none"/>
        </w:rPr>
      </w:pPr>
    </w:p>
    <w:p w14:paraId="4EA11C0D">
      <w:pPr>
        <w:widowControl/>
        <w:spacing w:line="360" w:lineRule="auto"/>
        <w:ind w:left="99" w:leftChars="47" w:firstLine="4200" w:firstLineChars="2000"/>
        <w:jc w:val="left"/>
        <w:rPr>
          <w:rFonts w:ascii="宋体" w:hAnsi="宋体" w:cs="宋体"/>
          <w:color w:val="auto"/>
          <w:kern w:val="0"/>
          <w:szCs w:val="21"/>
          <w:highlight w:val="none"/>
        </w:rPr>
      </w:pPr>
      <w:r>
        <w:rPr>
          <w:rFonts w:hint="eastAsia" w:ascii="宋体" w:hAnsi="宋体" w:cs="仿宋_GB2312"/>
          <w:color w:val="auto"/>
          <w:kern w:val="0"/>
          <w:szCs w:val="21"/>
          <w:highlight w:val="none"/>
        </w:rPr>
        <w:t>异议人（公章）：</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p>
    <w:p w14:paraId="585E8649">
      <w:pPr>
        <w:widowControl/>
        <w:spacing w:line="360" w:lineRule="auto"/>
        <w:ind w:left="99" w:leftChars="47" w:firstLine="2520" w:firstLineChars="1200"/>
        <w:jc w:val="left"/>
        <w:rPr>
          <w:rFonts w:ascii="宋体" w:hAnsi="宋体" w:cs="仿宋_GB2312"/>
          <w:color w:val="auto"/>
          <w:kern w:val="0"/>
          <w:szCs w:val="21"/>
          <w:highlight w:val="none"/>
          <w:u w:val="single"/>
        </w:rPr>
      </w:pPr>
      <w:r>
        <w:rPr>
          <w:rFonts w:hint="eastAsia" w:ascii="宋体" w:hAnsi="宋体" w:cs="仿宋_GB2312"/>
          <w:color w:val="auto"/>
          <w:kern w:val="0"/>
          <w:szCs w:val="21"/>
          <w:highlight w:val="none"/>
        </w:rPr>
        <w:t>法定代表人或授权代表（签字或盖章）</w:t>
      </w:r>
      <w:r>
        <w:rPr>
          <w:rFonts w:hint="eastAsia" w:ascii="宋体" w:hAnsi="宋体" w:cs="仿宋_GB2312"/>
          <w:color w:val="auto"/>
          <w:kern w:val="0"/>
          <w:szCs w:val="21"/>
          <w:highlight w:val="none"/>
          <w:u w:val="single"/>
        </w:rPr>
        <w:t xml:space="preserve">                   </w:t>
      </w:r>
    </w:p>
    <w:p w14:paraId="3307C75D">
      <w:pPr>
        <w:ind w:firstLine="420"/>
        <w:rPr>
          <w:color w:val="auto"/>
          <w:szCs w:val="21"/>
          <w:highlight w:val="none"/>
        </w:rPr>
      </w:pPr>
      <w:r>
        <w:rPr>
          <w:rFonts w:hint="eastAsia" w:ascii="宋体" w:hAnsi="宋体" w:cs="仿宋_GB2312"/>
          <w:color w:val="auto"/>
          <w:kern w:val="0"/>
          <w:szCs w:val="21"/>
          <w:highlight w:val="none"/>
        </w:rPr>
        <w:t xml:space="preserve">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         日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期：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  年    月   日</w:t>
      </w:r>
    </w:p>
    <w:p w14:paraId="6E00C2A3">
      <w:pPr>
        <w:ind w:firstLine="420"/>
        <w:rPr>
          <w:rFonts w:ascii="仿宋_GB2312" w:eastAsia="仿宋_GB2312"/>
          <w:color w:val="auto"/>
          <w:szCs w:val="21"/>
          <w:highlight w:val="none"/>
        </w:rPr>
      </w:pPr>
      <w:r>
        <w:rPr>
          <w:rFonts w:ascii="仿宋_GB2312" w:eastAsia="仿宋_GB2312"/>
          <w:color w:val="auto"/>
          <w:szCs w:val="21"/>
          <w:highlight w:val="none"/>
        </w:rPr>
        <w:br w:type="page"/>
      </w:r>
    </w:p>
    <w:p w14:paraId="507EAC7A">
      <w:pPr>
        <w:ind w:firstLine="420"/>
        <w:jc w:val="right"/>
        <w:rPr>
          <w:rFonts w:ascii="仿宋_GB2312" w:eastAsia="仿宋_GB2312"/>
          <w:color w:val="auto"/>
          <w:szCs w:val="21"/>
          <w:highlight w:val="none"/>
        </w:rPr>
      </w:pPr>
    </w:p>
    <w:p w14:paraId="756FEB4C">
      <w:pPr>
        <w:pStyle w:val="3"/>
        <w:rPr>
          <w:b w:val="0"/>
          <w:color w:val="auto"/>
          <w:sz w:val="24"/>
          <w:szCs w:val="24"/>
          <w:highlight w:val="none"/>
        </w:rPr>
      </w:pPr>
      <w:bookmarkStart w:id="422" w:name="_Toc165804350"/>
      <w:bookmarkStart w:id="423" w:name="_Toc353544011"/>
      <w:bookmarkStart w:id="424" w:name="_Toc19087"/>
      <w:r>
        <w:rPr>
          <w:rFonts w:hint="eastAsia"/>
          <w:b w:val="0"/>
          <w:color w:val="auto"/>
          <w:sz w:val="24"/>
          <w:szCs w:val="24"/>
          <w:highlight w:val="none"/>
        </w:rPr>
        <w:t>附表十一：异议答复函</w:t>
      </w:r>
      <w:bookmarkEnd w:id="422"/>
      <w:bookmarkEnd w:id="423"/>
      <w:bookmarkEnd w:id="424"/>
    </w:p>
    <w:p w14:paraId="745B7EEC">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异议答复函</w:t>
      </w:r>
    </w:p>
    <w:p w14:paraId="10FB20B6">
      <w:pPr>
        <w:rPr>
          <w:rFonts w:ascii="宋体" w:hAnsi="宋体" w:cs="宋体"/>
          <w:color w:val="auto"/>
          <w:kern w:val="0"/>
          <w:szCs w:val="21"/>
          <w:highlight w:val="none"/>
        </w:rPr>
      </w:pPr>
      <w:r>
        <w:rPr>
          <w:rFonts w:hint="eastAsia" w:ascii="宋体" w:hAnsi="宋体" w:cs="宋体"/>
          <w:color w:val="auto"/>
          <w:kern w:val="0"/>
          <w:szCs w:val="21"/>
          <w:highlight w:val="none"/>
          <w:u w:val="single"/>
        </w:rPr>
        <w:t>（</w:t>
      </w:r>
      <w:r>
        <w:rPr>
          <w:rFonts w:hint="eastAsia" w:ascii="宋体" w:hAnsi="宋体" w:cs="宋体"/>
          <w:i/>
          <w:iCs/>
          <w:color w:val="auto"/>
          <w:kern w:val="0"/>
          <w:szCs w:val="21"/>
          <w:highlight w:val="none"/>
          <w:u w:val="single"/>
        </w:rPr>
        <w:t>异议人名称</w:t>
      </w:r>
      <w:r>
        <w:rPr>
          <w:rFonts w:hint="eastAsia" w:ascii="宋体" w:hAnsi="宋体" w:cs="宋体"/>
          <w:color w:val="auto"/>
          <w:kern w:val="0"/>
          <w:szCs w:val="21"/>
          <w:highlight w:val="none"/>
          <w:u w:val="single"/>
        </w:rPr>
        <w:t>）</w:t>
      </w:r>
      <w:r>
        <w:rPr>
          <w:rFonts w:hint="eastAsia" w:ascii="宋体" w:hAnsi="宋体" w:cs="宋体"/>
          <w:color w:val="auto"/>
          <w:kern w:val="0"/>
          <w:szCs w:val="21"/>
          <w:highlight w:val="none"/>
        </w:rPr>
        <w:t>：</w:t>
      </w:r>
    </w:p>
    <w:p w14:paraId="6D40E074">
      <w:pPr>
        <w:spacing w:line="360" w:lineRule="auto"/>
        <w:ind w:firstLine="420" w:firstLineChars="200"/>
        <w:rPr>
          <w:rFonts w:ascii="宋体" w:hAnsi="宋体" w:cs="宋体"/>
          <w:color w:val="auto"/>
          <w:kern w:val="0"/>
          <w:szCs w:val="21"/>
          <w:highlight w:val="none"/>
        </w:rPr>
      </w:pPr>
    </w:p>
    <w:p w14:paraId="698FEB13">
      <w:pPr>
        <w:spacing w:line="360" w:lineRule="auto"/>
        <w:ind w:firstLine="420" w:firstLineChars="200"/>
        <w:rPr>
          <w:rFonts w:ascii="宋体" w:hAnsi="宋体"/>
          <w:color w:val="auto"/>
          <w:szCs w:val="21"/>
          <w:highlight w:val="none"/>
        </w:rPr>
      </w:pPr>
      <w:r>
        <w:rPr>
          <w:rFonts w:hint="eastAsia" w:ascii="宋体" w:hAnsi="宋体" w:cs="宋体"/>
          <w:color w:val="auto"/>
          <w:kern w:val="0"/>
          <w:szCs w:val="21"/>
          <w:highlight w:val="none"/>
        </w:rPr>
        <w:t>您单位对</w:t>
      </w:r>
      <w:r>
        <w:rPr>
          <w:rFonts w:hint="eastAsia"/>
          <w:color w:val="auto"/>
          <w:highlight w:val="none"/>
          <w:u w:val="single"/>
        </w:rPr>
        <w:t xml:space="preserve">             </w:t>
      </w:r>
      <w:r>
        <w:rPr>
          <w:rFonts w:hint="eastAsia"/>
          <w:color w:val="auto"/>
          <w:highlight w:val="none"/>
        </w:rPr>
        <w:t>（标段名称）项目（标段唯一标识码：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rPr>
        <w:t>）</w:t>
      </w:r>
      <w:r>
        <w:rPr>
          <w:rFonts w:hint="eastAsia" w:ascii="宋体" w:hAnsi="宋体" w:cs="宋体"/>
          <w:color w:val="auto"/>
          <w:kern w:val="0"/>
          <w:szCs w:val="21"/>
          <w:highlight w:val="none"/>
        </w:rPr>
        <w:t>的异议书于</w:t>
      </w:r>
      <w:r>
        <w:rPr>
          <w:rFonts w:hint="eastAsia" w:ascii="宋体" w:hAnsi="宋体" w:cs="宋体"/>
          <w:color w:val="auto"/>
          <w:kern w:val="0"/>
          <w:szCs w:val="21"/>
          <w:highlight w:val="none"/>
          <w:u w:val="single"/>
        </w:rPr>
        <w:t xml:space="preserve"> </w:t>
      </w:r>
      <w:r>
        <w:rPr>
          <w:rFonts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年</w:t>
      </w:r>
      <w:r>
        <w:rPr>
          <w:rFonts w:hint="eastAsia" w:ascii="宋体" w:hAnsi="宋体" w:cs="宋体"/>
          <w:color w:val="auto"/>
          <w:kern w:val="0"/>
          <w:szCs w:val="21"/>
          <w:highlight w:val="none"/>
          <w:u w:val="single"/>
        </w:rPr>
        <w:t xml:space="preserve"> </w:t>
      </w:r>
      <w:r>
        <w:rPr>
          <w:rFonts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月</w:t>
      </w:r>
      <w:r>
        <w:rPr>
          <w:rFonts w:hint="eastAsia" w:ascii="宋体" w:hAnsi="宋体" w:cs="宋体"/>
          <w:color w:val="auto"/>
          <w:kern w:val="0"/>
          <w:szCs w:val="21"/>
          <w:highlight w:val="none"/>
          <w:u w:val="single"/>
        </w:rPr>
        <w:t xml:space="preserve"> </w:t>
      </w:r>
      <w:r>
        <w:rPr>
          <w:rFonts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日收悉。经查，针对异议内容，现答复如下：</w:t>
      </w:r>
    </w:p>
    <w:p w14:paraId="01E8944E">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异议事项1：</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p>
    <w:p w14:paraId="55AAD1C4">
      <w:pPr>
        <w:spacing w:line="360" w:lineRule="auto"/>
        <w:ind w:firstLine="420" w:firstLineChars="200"/>
        <w:rPr>
          <w:rFonts w:ascii="宋体" w:hAnsi="宋体" w:cs="仿宋_GB2312"/>
          <w:color w:val="auto"/>
          <w:kern w:val="0"/>
          <w:szCs w:val="21"/>
          <w:highlight w:val="none"/>
        </w:rPr>
      </w:pPr>
    </w:p>
    <w:p w14:paraId="2375EED6">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答复1：</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7FB6993F">
      <w:pPr>
        <w:spacing w:line="360" w:lineRule="auto"/>
        <w:ind w:firstLine="420" w:firstLineChars="200"/>
        <w:rPr>
          <w:rFonts w:ascii="宋体" w:hAnsi="宋体" w:cs="仿宋_GB2312"/>
          <w:color w:val="auto"/>
          <w:kern w:val="0"/>
          <w:szCs w:val="21"/>
          <w:highlight w:val="none"/>
        </w:rPr>
      </w:pPr>
    </w:p>
    <w:p w14:paraId="01D11834">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异议事项2：</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64BFED8F">
      <w:pPr>
        <w:spacing w:line="360" w:lineRule="auto"/>
        <w:ind w:firstLine="420" w:firstLineChars="200"/>
        <w:rPr>
          <w:rFonts w:ascii="宋体" w:hAnsi="宋体" w:cs="仿宋_GB2312"/>
          <w:bCs/>
          <w:color w:val="auto"/>
          <w:kern w:val="0"/>
          <w:szCs w:val="21"/>
          <w:highlight w:val="none"/>
          <w:u w:val="single"/>
        </w:rPr>
      </w:pPr>
    </w:p>
    <w:p w14:paraId="5F15701A">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答复2：</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0B013F98">
      <w:pPr>
        <w:spacing w:line="360" w:lineRule="auto"/>
        <w:ind w:firstLine="420" w:firstLineChars="200"/>
        <w:rPr>
          <w:rFonts w:ascii="宋体" w:hAnsi="宋体" w:cs="仿宋_GB2312"/>
          <w:bCs/>
          <w:color w:val="auto"/>
          <w:kern w:val="0"/>
          <w:szCs w:val="21"/>
          <w:highlight w:val="none"/>
          <w:u w:val="single"/>
        </w:rPr>
      </w:pPr>
    </w:p>
    <w:p w14:paraId="3F13EFDD">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异议事项3：</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70F59783">
      <w:pPr>
        <w:spacing w:line="360" w:lineRule="auto"/>
        <w:ind w:firstLine="420" w:firstLineChars="200"/>
        <w:rPr>
          <w:rFonts w:ascii="宋体" w:hAnsi="宋体" w:cs="仿宋_GB2312"/>
          <w:bCs/>
          <w:color w:val="auto"/>
          <w:kern w:val="0"/>
          <w:szCs w:val="21"/>
          <w:highlight w:val="none"/>
          <w:u w:val="single"/>
        </w:rPr>
      </w:pPr>
    </w:p>
    <w:p w14:paraId="5CC233FC">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答复3：</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00742BB5">
      <w:pPr>
        <w:adjustRightInd w:val="0"/>
        <w:snapToGrid w:val="0"/>
        <w:spacing w:line="360" w:lineRule="auto"/>
        <w:ind w:firstLine="422" w:firstLineChars="200"/>
        <w:rPr>
          <w:rFonts w:ascii="宋体" w:hAnsi="宋体" w:cs="黑体"/>
          <w:b/>
          <w:bCs/>
          <w:color w:val="auto"/>
          <w:kern w:val="0"/>
          <w:szCs w:val="21"/>
          <w:highlight w:val="none"/>
        </w:rPr>
      </w:pPr>
      <w:r>
        <w:rPr>
          <w:rFonts w:hint="eastAsia" w:ascii="宋体" w:hAnsi="宋体" w:cs="黑体"/>
          <w:b/>
          <w:bCs/>
          <w:color w:val="auto"/>
          <w:kern w:val="0"/>
          <w:szCs w:val="21"/>
          <w:highlight w:val="none"/>
        </w:rPr>
        <w:t>相关证明材料：见附件（如有）</w:t>
      </w:r>
    </w:p>
    <w:p w14:paraId="0C27F72B">
      <w:pPr>
        <w:adjustRightInd w:val="0"/>
        <w:snapToGrid w:val="0"/>
        <w:rPr>
          <w:rFonts w:ascii="宋体" w:hAnsi="宋体" w:cs="黑体"/>
          <w:color w:val="auto"/>
          <w:kern w:val="0"/>
          <w:szCs w:val="21"/>
          <w:highlight w:val="none"/>
        </w:rPr>
      </w:pPr>
    </w:p>
    <w:p w14:paraId="566E3552">
      <w:pPr>
        <w:snapToGrid w:val="0"/>
        <w:spacing w:line="360" w:lineRule="auto"/>
        <w:ind w:firstLine="420" w:firstLineChars="200"/>
        <w:rPr>
          <w:rFonts w:ascii="宋体" w:hAnsi="宋体"/>
          <w:color w:val="auto"/>
          <w:szCs w:val="21"/>
          <w:highlight w:val="none"/>
        </w:rPr>
      </w:pPr>
      <w:r>
        <w:rPr>
          <w:rFonts w:ascii="宋体" w:hAnsi="宋体"/>
          <w:bCs/>
          <w:color w:val="auto"/>
          <w:szCs w:val="21"/>
          <w:highlight w:val="none"/>
        </w:rPr>
        <w:t>如</w:t>
      </w:r>
      <w:r>
        <w:rPr>
          <w:rFonts w:hint="eastAsia" w:ascii="宋体" w:hAnsi="宋体"/>
          <w:bCs/>
          <w:color w:val="auto"/>
          <w:szCs w:val="21"/>
          <w:highlight w:val="none"/>
        </w:rPr>
        <w:t>您单位</w:t>
      </w:r>
      <w:r>
        <w:rPr>
          <w:rFonts w:ascii="宋体" w:hAnsi="宋体"/>
          <w:bCs/>
          <w:color w:val="auto"/>
          <w:szCs w:val="21"/>
          <w:highlight w:val="none"/>
        </w:rPr>
        <w:t>对本</w:t>
      </w:r>
      <w:r>
        <w:rPr>
          <w:rFonts w:hint="eastAsia" w:ascii="宋体" w:hAnsi="宋体"/>
          <w:bCs/>
          <w:color w:val="auto"/>
          <w:szCs w:val="21"/>
          <w:highlight w:val="none"/>
        </w:rPr>
        <w:t>答</w:t>
      </w:r>
      <w:r>
        <w:rPr>
          <w:rFonts w:ascii="宋体" w:hAnsi="宋体"/>
          <w:bCs/>
          <w:color w:val="auto"/>
          <w:szCs w:val="21"/>
          <w:highlight w:val="none"/>
        </w:rPr>
        <w:t>复不满意，可以在</w:t>
      </w:r>
      <w:r>
        <w:rPr>
          <w:rFonts w:hint="eastAsia" w:ascii="宋体" w:hAnsi="宋体"/>
          <w:bCs/>
          <w:color w:val="auto"/>
          <w:szCs w:val="21"/>
          <w:highlight w:val="none"/>
        </w:rPr>
        <w:t>异议</w:t>
      </w:r>
      <w:r>
        <w:rPr>
          <w:rFonts w:ascii="宋体" w:hAnsi="宋体"/>
          <w:bCs/>
          <w:color w:val="auto"/>
          <w:szCs w:val="21"/>
          <w:highlight w:val="none"/>
        </w:rPr>
        <w:t>答复期满十日内向</w:t>
      </w:r>
      <w:r>
        <w:rPr>
          <w:rFonts w:hint="eastAsia" w:ascii="宋体" w:hAnsi="宋体"/>
          <w:bCs/>
          <w:color w:val="auto"/>
          <w:szCs w:val="21"/>
          <w:highlight w:val="none"/>
        </w:rPr>
        <w:t>有关行政监督部门</w:t>
      </w:r>
      <w:r>
        <w:rPr>
          <w:rFonts w:ascii="宋体" w:hAnsi="宋体"/>
          <w:bCs/>
          <w:color w:val="auto"/>
          <w:szCs w:val="21"/>
          <w:highlight w:val="none"/>
        </w:rPr>
        <w:t>依法提起投诉。感谢您对我们工作的监督和支持。</w:t>
      </w:r>
    </w:p>
    <w:p w14:paraId="4432D1D5">
      <w:pPr>
        <w:widowControl/>
        <w:spacing w:line="360" w:lineRule="auto"/>
        <w:ind w:firstLine="4200" w:firstLineChars="2000"/>
        <w:jc w:val="left"/>
        <w:rPr>
          <w:rFonts w:ascii="宋体" w:hAnsi="宋体" w:cs="仿宋_GB2312"/>
          <w:color w:val="auto"/>
          <w:kern w:val="0"/>
          <w:szCs w:val="21"/>
          <w:highlight w:val="none"/>
        </w:rPr>
      </w:pPr>
    </w:p>
    <w:p w14:paraId="0DD30479">
      <w:pPr>
        <w:widowControl/>
        <w:spacing w:line="360" w:lineRule="auto"/>
        <w:ind w:firstLine="4200" w:firstLineChars="2000"/>
        <w:jc w:val="left"/>
        <w:rPr>
          <w:rFonts w:ascii="宋体" w:hAnsi="宋体" w:cs="仿宋_GB2312"/>
          <w:color w:val="auto"/>
          <w:kern w:val="0"/>
          <w:szCs w:val="21"/>
          <w:highlight w:val="none"/>
        </w:rPr>
      </w:pPr>
    </w:p>
    <w:p w14:paraId="24B511AC">
      <w:pPr>
        <w:widowControl/>
        <w:spacing w:line="360" w:lineRule="auto"/>
        <w:ind w:firstLine="4200" w:firstLineChars="2000"/>
        <w:jc w:val="left"/>
        <w:rPr>
          <w:rFonts w:ascii="宋体" w:hAnsi="宋体" w:cs="仿宋_GB2312"/>
          <w:color w:val="auto"/>
          <w:kern w:val="0"/>
          <w:szCs w:val="21"/>
          <w:highlight w:val="none"/>
        </w:rPr>
      </w:pPr>
    </w:p>
    <w:p w14:paraId="1240D2D9">
      <w:pPr>
        <w:widowControl/>
        <w:spacing w:line="360" w:lineRule="auto"/>
        <w:ind w:firstLine="4200" w:firstLineChars="2000"/>
        <w:jc w:val="left"/>
        <w:rPr>
          <w:rFonts w:ascii="宋体" w:hAnsi="宋体" w:cs="宋体"/>
          <w:color w:val="auto"/>
          <w:kern w:val="0"/>
          <w:szCs w:val="21"/>
          <w:highlight w:val="none"/>
        </w:rPr>
      </w:pPr>
      <w:r>
        <w:rPr>
          <w:rFonts w:hint="eastAsia" w:ascii="宋体" w:hAnsi="宋体" w:cs="仿宋_GB2312"/>
          <w:color w:val="auto"/>
          <w:kern w:val="0"/>
          <w:szCs w:val="21"/>
          <w:highlight w:val="none"/>
        </w:rPr>
        <w:t>招标人或招标代理机构（公章）：</w:t>
      </w:r>
      <w:r>
        <w:rPr>
          <w:rFonts w:hint="eastAsia" w:ascii="宋体" w:hAnsi="宋体" w:cs="仿宋_GB2312"/>
          <w:color w:val="auto"/>
          <w:kern w:val="0"/>
          <w:szCs w:val="21"/>
          <w:highlight w:val="none"/>
          <w:u w:val="single"/>
        </w:rPr>
        <w:t xml:space="preserve">         </w:t>
      </w:r>
    </w:p>
    <w:p w14:paraId="5B300E91">
      <w:pPr>
        <w:widowControl/>
        <w:spacing w:line="360" w:lineRule="auto"/>
        <w:ind w:left="99" w:leftChars="47" w:firstLine="3780" w:firstLineChars="1800"/>
        <w:jc w:val="left"/>
        <w:rPr>
          <w:rFonts w:ascii="宋体" w:hAnsi="宋体" w:cs="仿宋_GB2312"/>
          <w:color w:val="auto"/>
          <w:kern w:val="0"/>
          <w:szCs w:val="21"/>
          <w:highlight w:val="none"/>
          <w:u w:val="single"/>
        </w:rPr>
      </w:pPr>
      <w:r>
        <w:rPr>
          <w:rFonts w:hint="eastAsia" w:ascii="宋体" w:hAnsi="宋体" w:cs="仿宋_GB2312"/>
          <w:color w:val="auto"/>
          <w:kern w:val="0"/>
          <w:szCs w:val="21"/>
          <w:highlight w:val="none"/>
        </w:rPr>
        <w:t>法定代表人或授权代表（签字或盖章）</w:t>
      </w:r>
      <w:r>
        <w:rPr>
          <w:rFonts w:hint="eastAsia" w:ascii="宋体" w:hAnsi="宋体" w:cs="仿宋_GB2312"/>
          <w:color w:val="auto"/>
          <w:kern w:val="0"/>
          <w:szCs w:val="21"/>
          <w:highlight w:val="none"/>
          <w:u w:val="single"/>
        </w:rPr>
        <w:t xml:space="preserve">    </w:t>
      </w:r>
    </w:p>
    <w:p w14:paraId="14C28FA0">
      <w:pPr>
        <w:spacing w:line="360" w:lineRule="auto"/>
        <w:rPr>
          <w:color w:val="auto"/>
          <w:highlight w:val="none"/>
        </w:rPr>
      </w:pPr>
      <w:r>
        <w:rPr>
          <w:rFonts w:hint="eastAsia" w:ascii="宋体" w:hAnsi="宋体" w:cs="仿宋_GB2312"/>
          <w:color w:val="auto"/>
          <w:kern w:val="0"/>
          <w:szCs w:val="21"/>
          <w:highlight w:val="none"/>
        </w:rPr>
        <w:t xml:space="preserve">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 日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期：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年    月   日</w:t>
      </w:r>
    </w:p>
    <w:p w14:paraId="121B5A7C">
      <w:pPr>
        <w:ind w:left="630" w:hanging="630" w:hangingChars="300"/>
        <w:rPr>
          <w:rFonts w:ascii="宋体" w:hAnsi="宋体"/>
          <w:color w:val="auto"/>
          <w:szCs w:val="21"/>
          <w:highlight w:val="none"/>
        </w:rPr>
      </w:pPr>
      <w:r>
        <w:rPr>
          <w:rFonts w:hint="eastAsia" w:ascii="宋体" w:hAnsi="宋体"/>
          <w:color w:val="auto"/>
          <w:szCs w:val="21"/>
          <w:highlight w:val="none"/>
        </w:rPr>
        <w:t xml:space="preserve">                      </w:t>
      </w:r>
    </w:p>
    <w:p w14:paraId="6CB4D5F3">
      <w:pPr>
        <w:rPr>
          <w:color w:val="auto"/>
          <w:highlight w:val="none"/>
        </w:rPr>
        <w:sectPr>
          <w:headerReference r:id="rId9" w:type="default"/>
          <w:footerReference r:id="rId10" w:type="default"/>
          <w:pgSz w:w="11906" w:h="16838"/>
          <w:pgMar w:top="1440" w:right="1797" w:bottom="1440" w:left="1797" w:header="851" w:footer="851" w:gutter="0"/>
          <w:pgNumType w:fmt="decimal"/>
          <w:cols w:space="720" w:num="1"/>
          <w:docGrid w:linePitch="312" w:charSpace="0"/>
        </w:sectPr>
      </w:pPr>
    </w:p>
    <w:p w14:paraId="409DA9F7">
      <w:pPr>
        <w:bidi w:val="0"/>
        <w:rPr>
          <w:color w:val="auto"/>
        </w:rPr>
      </w:pPr>
      <w:bookmarkStart w:id="425" w:name="_Toc152265814_0"/>
    </w:p>
    <w:p w14:paraId="23915989">
      <w:pPr>
        <w:bidi w:val="0"/>
        <w:rPr>
          <w:color w:val="auto"/>
        </w:rPr>
      </w:pPr>
    </w:p>
    <w:p w14:paraId="6E237F9F">
      <w:pPr>
        <w:bidi w:val="0"/>
        <w:rPr>
          <w:color w:val="auto"/>
        </w:rPr>
      </w:pPr>
    </w:p>
    <w:p w14:paraId="520B359E">
      <w:pPr>
        <w:bidi w:val="0"/>
        <w:rPr>
          <w:color w:val="auto"/>
        </w:rPr>
      </w:pPr>
    </w:p>
    <w:p w14:paraId="4E537287">
      <w:pPr>
        <w:bidi w:val="0"/>
        <w:rPr>
          <w:color w:val="auto"/>
        </w:rPr>
      </w:pPr>
    </w:p>
    <w:p w14:paraId="783A1D56">
      <w:pPr>
        <w:bidi w:val="0"/>
        <w:rPr>
          <w:color w:val="auto"/>
        </w:rPr>
      </w:pPr>
    </w:p>
    <w:p w14:paraId="008A7D72">
      <w:pPr>
        <w:bidi w:val="0"/>
        <w:rPr>
          <w:color w:val="auto"/>
        </w:rPr>
      </w:pPr>
    </w:p>
    <w:p w14:paraId="296695B0">
      <w:pPr>
        <w:bidi w:val="0"/>
        <w:rPr>
          <w:color w:val="auto"/>
        </w:rPr>
      </w:pPr>
    </w:p>
    <w:p w14:paraId="0B6B2E4F">
      <w:pPr>
        <w:bidi w:val="0"/>
        <w:rPr>
          <w:color w:val="auto"/>
        </w:rPr>
      </w:pPr>
    </w:p>
    <w:p w14:paraId="1FA4632A">
      <w:pPr>
        <w:bidi w:val="0"/>
        <w:rPr>
          <w:color w:val="auto"/>
        </w:rPr>
      </w:pPr>
    </w:p>
    <w:p w14:paraId="78E2C844">
      <w:pPr>
        <w:bidi w:val="0"/>
        <w:rPr>
          <w:color w:val="auto"/>
        </w:rPr>
      </w:pPr>
    </w:p>
    <w:p w14:paraId="564D8B53">
      <w:pPr>
        <w:bidi w:val="0"/>
        <w:rPr>
          <w:color w:val="auto"/>
        </w:rPr>
      </w:pPr>
    </w:p>
    <w:p w14:paraId="23E3D497">
      <w:pPr>
        <w:bidi w:val="0"/>
        <w:rPr>
          <w:color w:val="auto"/>
        </w:rPr>
      </w:pPr>
    </w:p>
    <w:p w14:paraId="0D005D8B">
      <w:pPr>
        <w:bidi w:val="0"/>
        <w:rPr>
          <w:color w:val="auto"/>
        </w:rPr>
      </w:pPr>
    </w:p>
    <w:p w14:paraId="1AE36DAF">
      <w:pPr>
        <w:bidi w:val="0"/>
        <w:rPr>
          <w:color w:val="auto"/>
        </w:rPr>
      </w:pPr>
    </w:p>
    <w:p w14:paraId="0A57DB62">
      <w:pPr>
        <w:bidi w:val="0"/>
        <w:rPr>
          <w:color w:val="auto"/>
        </w:rPr>
      </w:pPr>
    </w:p>
    <w:p w14:paraId="584464BD">
      <w:pPr>
        <w:bidi w:val="0"/>
        <w:rPr>
          <w:color w:val="auto"/>
        </w:rPr>
      </w:pPr>
    </w:p>
    <w:p w14:paraId="4BAC6201">
      <w:pPr>
        <w:bidi w:val="0"/>
        <w:rPr>
          <w:color w:val="auto"/>
        </w:rPr>
      </w:pPr>
    </w:p>
    <w:p w14:paraId="3EAA439C">
      <w:pPr>
        <w:bidi w:val="0"/>
        <w:rPr>
          <w:color w:val="auto"/>
        </w:rPr>
      </w:pPr>
    </w:p>
    <w:p w14:paraId="1FCE669F">
      <w:pPr>
        <w:pStyle w:val="2"/>
        <w:spacing w:before="120" w:after="120" w:line="400" w:lineRule="exact"/>
        <w:jc w:val="center"/>
        <w:rPr>
          <w:color w:val="auto"/>
        </w:rPr>
        <w:sectPr>
          <w:footerReference r:id="rId11" w:type="default"/>
          <w:pgSz w:w="11906" w:h="16838"/>
          <w:pgMar w:top="1440" w:right="1800" w:bottom="1440" w:left="1800" w:header="851" w:footer="992" w:gutter="0"/>
          <w:pgNumType w:fmt="decimal"/>
          <w:cols w:space="425" w:num="1"/>
          <w:docGrid w:type="lines" w:linePitch="312" w:charSpace="0"/>
        </w:sectPr>
      </w:pPr>
      <w:bookmarkStart w:id="426" w:name="_Toc15897"/>
      <w:r>
        <w:rPr>
          <w:rFonts w:ascii="黑体" w:hAnsi="黑体" w:eastAsia="黑体"/>
          <w:b w:val="0"/>
          <w:bCs w:val="0"/>
          <w:color w:val="auto"/>
          <w:sz w:val="32"/>
        </w:rPr>
        <w:t>第三章</w:t>
      </w:r>
      <w:r>
        <w:rPr>
          <w:rFonts w:hint="eastAsia" w:ascii="黑体" w:hAnsi="黑体" w:eastAsia="黑体"/>
          <w:b w:val="0"/>
          <w:bCs w:val="0"/>
          <w:color w:val="auto"/>
          <w:sz w:val="32"/>
        </w:rPr>
        <w:t xml:space="preserve"> </w:t>
      </w:r>
      <w:r>
        <w:rPr>
          <w:rFonts w:hint="eastAsia" w:ascii="黑体" w:hAnsi="黑体" w:eastAsia="黑体"/>
          <w:b w:val="0"/>
          <w:bCs w:val="0"/>
          <w:color w:val="auto"/>
          <w:sz w:val="32"/>
          <w:lang w:val="en-US" w:eastAsia="zh-CN"/>
        </w:rPr>
        <w:t xml:space="preserve"> </w:t>
      </w:r>
      <w:r>
        <w:rPr>
          <w:rFonts w:ascii="黑体" w:hAnsi="黑体" w:eastAsia="黑体"/>
          <w:b w:val="0"/>
          <w:bCs w:val="0"/>
          <w:color w:val="auto"/>
          <w:sz w:val="32"/>
        </w:rPr>
        <w:t>评标办法</w:t>
      </w:r>
      <w:bookmarkEnd w:id="425"/>
      <w:bookmarkEnd w:id="426"/>
    </w:p>
    <w:p w14:paraId="68A6007F">
      <w:pPr>
        <w:pStyle w:val="25"/>
        <w:jc w:val="center"/>
        <w:rPr>
          <w:color w:val="auto"/>
          <w:highlight w:val="none"/>
        </w:rPr>
      </w:pPr>
      <w:bookmarkStart w:id="427" w:name="_Toc155889699"/>
      <w:bookmarkStart w:id="428" w:name="_Toc10285"/>
      <w:r>
        <w:rPr>
          <w:rFonts w:hint="eastAsia"/>
          <w:color w:val="auto"/>
          <w:highlight w:val="none"/>
        </w:rPr>
        <w:t>评标办法前附表</w:t>
      </w:r>
      <w:bookmarkEnd w:id="427"/>
      <w:r>
        <w:rPr>
          <w:rFonts w:hint="eastAsia"/>
          <w:color w:val="auto"/>
          <w:highlight w:val="none"/>
        </w:rPr>
        <w:t>（综合评估法）</w:t>
      </w:r>
      <w:bookmarkEnd w:id="428"/>
    </w:p>
    <w:p w14:paraId="32B50C14">
      <w:pPr>
        <w:rPr>
          <w:rFonts w:ascii="黑体" w:hAnsi="宋体" w:eastAsia="黑体"/>
          <w:color w:val="auto"/>
          <w:sz w:val="28"/>
          <w:szCs w:val="28"/>
          <w:highlight w:val="none"/>
        </w:rPr>
      </w:pPr>
    </w:p>
    <w:tbl>
      <w:tblPr>
        <w:tblStyle w:val="18"/>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059"/>
        <w:gridCol w:w="2085"/>
        <w:gridCol w:w="255"/>
        <w:gridCol w:w="680"/>
        <w:gridCol w:w="4111"/>
      </w:tblGrid>
      <w:tr w14:paraId="25260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0" w:type="dxa"/>
            <w:gridSpan w:val="2"/>
            <w:vAlign w:val="center"/>
          </w:tcPr>
          <w:p w14:paraId="300619EF">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b/>
                <w:color w:val="auto"/>
                <w:szCs w:val="21"/>
                <w:highlight w:val="none"/>
              </w:rPr>
            </w:pPr>
            <w:bookmarkStart w:id="429" w:name="_Hlk121668541"/>
            <w:bookmarkStart w:id="430" w:name="_Hlk154665296"/>
            <w:r>
              <w:rPr>
                <w:rFonts w:hint="eastAsia" w:ascii="宋体" w:hAnsi="宋体"/>
                <w:b/>
                <w:color w:val="auto"/>
                <w:szCs w:val="21"/>
                <w:highlight w:val="none"/>
              </w:rPr>
              <w:t>条款号</w:t>
            </w:r>
          </w:p>
        </w:tc>
        <w:tc>
          <w:tcPr>
            <w:tcW w:w="2340" w:type="dxa"/>
            <w:gridSpan w:val="2"/>
            <w:vAlign w:val="center"/>
          </w:tcPr>
          <w:p w14:paraId="1CF704D9">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b/>
                <w:color w:val="auto"/>
                <w:szCs w:val="21"/>
                <w:highlight w:val="none"/>
              </w:rPr>
            </w:pPr>
            <w:r>
              <w:rPr>
                <w:rFonts w:hint="eastAsia" w:ascii="宋体" w:hAnsi="宋体"/>
                <w:b/>
                <w:color w:val="auto"/>
                <w:szCs w:val="21"/>
                <w:highlight w:val="none"/>
              </w:rPr>
              <w:t>评审因素</w:t>
            </w:r>
          </w:p>
        </w:tc>
        <w:tc>
          <w:tcPr>
            <w:tcW w:w="4791" w:type="dxa"/>
            <w:gridSpan w:val="2"/>
            <w:vAlign w:val="center"/>
          </w:tcPr>
          <w:p w14:paraId="79F2C0DE">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b/>
                <w:color w:val="auto"/>
                <w:szCs w:val="21"/>
                <w:highlight w:val="none"/>
              </w:rPr>
            </w:pPr>
            <w:r>
              <w:rPr>
                <w:rFonts w:hint="eastAsia" w:ascii="宋体" w:hAnsi="宋体"/>
                <w:b/>
                <w:color w:val="auto"/>
                <w:szCs w:val="21"/>
                <w:highlight w:val="none"/>
              </w:rPr>
              <w:t>评审标准</w:t>
            </w:r>
          </w:p>
        </w:tc>
      </w:tr>
      <w:tr w14:paraId="7BA79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restart"/>
            <w:vAlign w:val="center"/>
          </w:tcPr>
          <w:p w14:paraId="23497455">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restart"/>
            <w:vAlign w:val="center"/>
          </w:tcPr>
          <w:p w14:paraId="0AA2B573">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28E91877">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投标人名称</w:t>
            </w:r>
          </w:p>
        </w:tc>
        <w:tc>
          <w:tcPr>
            <w:tcW w:w="4791" w:type="dxa"/>
            <w:gridSpan w:val="2"/>
            <w:vAlign w:val="center"/>
          </w:tcPr>
          <w:p w14:paraId="73CBF1BE">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textAlignment w:val="auto"/>
              <w:rPr>
                <w:rFonts w:ascii="宋体" w:hAnsi="宋体"/>
                <w:color w:val="auto"/>
                <w:szCs w:val="21"/>
                <w:highlight w:val="none"/>
              </w:rPr>
            </w:pPr>
            <w:r>
              <w:rPr>
                <w:rFonts w:hint="eastAsia" w:ascii="宋体" w:hAnsi="宋体" w:eastAsia="宋体" w:cs="宋体"/>
                <w:b w:val="0"/>
                <w:i w:val="0"/>
                <w:color w:val="auto"/>
                <w:szCs w:val="21"/>
                <w:highlight w:val="none"/>
                <w:u w:val="none" w:color="auto"/>
              </w:rPr>
              <w:t>与营业执照、资质证书、安全生产许可证一致</w:t>
            </w:r>
          </w:p>
        </w:tc>
      </w:tr>
      <w:tr w14:paraId="192BD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54C0832F">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7C4CCBAD">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1581F886">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投标文件签字盖章</w:t>
            </w:r>
          </w:p>
        </w:tc>
        <w:tc>
          <w:tcPr>
            <w:tcW w:w="4791" w:type="dxa"/>
            <w:gridSpan w:val="2"/>
            <w:vAlign w:val="center"/>
          </w:tcPr>
          <w:p w14:paraId="78BDBEDF">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textAlignment w:val="auto"/>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符合第二章“投标人须知”第3.7.3（4）目规定</w:t>
            </w:r>
          </w:p>
        </w:tc>
      </w:tr>
      <w:tr w14:paraId="050B2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741" w:type="dxa"/>
            <w:vMerge w:val="continue"/>
            <w:vAlign w:val="center"/>
          </w:tcPr>
          <w:p w14:paraId="74FB0060">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0E31324E">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0C8EB163">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投标文件格式、内容</w:t>
            </w:r>
          </w:p>
        </w:tc>
        <w:tc>
          <w:tcPr>
            <w:tcW w:w="4791" w:type="dxa"/>
            <w:gridSpan w:val="2"/>
            <w:vAlign w:val="center"/>
          </w:tcPr>
          <w:p w14:paraId="6DF20008">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textAlignment w:val="auto"/>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符合第八章“投标文件格式”的要求且实质性内容齐全</w:t>
            </w:r>
          </w:p>
        </w:tc>
      </w:tr>
      <w:tr w14:paraId="31726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741" w:type="dxa"/>
            <w:vMerge w:val="continue"/>
            <w:vAlign w:val="center"/>
          </w:tcPr>
          <w:p w14:paraId="5F9A34E5">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0A8BE0C4">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7074BD10">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报价唯一</w:t>
            </w:r>
          </w:p>
        </w:tc>
        <w:tc>
          <w:tcPr>
            <w:tcW w:w="4791" w:type="dxa"/>
            <w:gridSpan w:val="2"/>
            <w:vAlign w:val="center"/>
          </w:tcPr>
          <w:p w14:paraId="1B1FF681">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textAlignment w:val="auto"/>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投标报价文件（包括投标函）中的任何单价、合价或总价只能有一个有效报价</w:t>
            </w:r>
          </w:p>
        </w:tc>
      </w:tr>
      <w:tr w14:paraId="5B80B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741" w:type="dxa"/>
            <w:vMerge w:val="continue"/>
            <w:vAlign w:val="center"/>
          </w:tcPr>
          <w:p w14:paraId="3DFEFC41">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554C370D">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231BF8AD">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ascii="宋体" w:hAnsi="宋体" w:eastAsia="宋体" w:cs="宋体"/>
                <w:b w:val="0"/>
                <w:i w:val="0"/>
                <w:color w:val="auto"/>
                <w:szCs w:val="21"/>
                <w:highlight w:val="none"/>
                <w:u w:val="none" w:color="auto"/>
              </w:rPr>
              <w:t>项目经理实名认证</w:t>
            </w:r>
          </w:p>
        </w:tc>
        <w:tc>
          <w:tcPr>
            <w:tcW w:w="4791" w:type="dxa"/>
            <w:gridSpan w:val="2"/>
            <w:vAlign w:val="center"/>
          </w:tcPr>
          <w:p w14:paraId="6DBFFD86">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textAlignment w:val="auto"/>
              <w:rPr>
                <w:rFonts w:ascii="宋体" w:hAnsi="宋体"/>
                <w:color w:val="auto"/>
                <w:szCs w:val="21"/>
                <w:highlight w:val="none"/>
              </w:rPr>
            </w:pPr>
            <w:r>
              <w:rPr>
                <w:rFonts w:hint="eastAsia" w:ascii="宋体" w:hAnsi="宋体" w:eastAsia="宋体" w:cs="宋体"/>
                <w:b w:val="0"/>
                <w:i w:val="0"/>
                <w:color w:val="auto"/>
                <w:szCs w:val="21"/>
                <w:highlight w:val="none"/>
                <w:u w:val="none" w:color="auto"/>
              </w:rPr>
              <w:t>项目经理通过二次刷卡实名认证（无在建工程和不良行为）</w:t>
            </w:r>
          </w:p>
        </w:tc>
      </w:tr>
      <w:tr w14:paraId="658AF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741" w:type="dxa"/>
            <w:vMerge w:val="continue"/>
            <w:vAlign w:val="center"/>
          </w:tcPr>
          <w:p w14:paraId="0B1FD726">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5742F72D">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5E25202C">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ascii="宋体" w:hAnsi="宋体" w:eastAsia="宋体" w:cs="宋体"/>
                <w:b w:val="0"/>
                <w:i w:val="0"/>
                <w:color w:val="auto"/>
                <w:szCs w:val="21"/>
                <w:highlight w:val="none"/>
                <w:u w:val="none" w:color="auto"/>
              </w:rPr>
              <w:t>法定代表人或授权委托人实名认证</w:t>
            </w:r>
          </w:p>
        </w:tc>
        <w:tc>
          <w:tcPr>
            <w:tcW w:w="4791" w:type="dxa"/>
            <w:gridSpan w:val="2"/>
            <w:vAlign w:val="center"/>
          </w:tcPr>
          <w:p w14:paraId="6E406E21">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textAlignment w:val="auto"/>
              <w:rPr>
                <w:rFonts w:ascii="宋体" w:hAnsi="宋体"/>
                <w:color w:val="auto"/>
                <w:szCs w:val="21"/>
                <w:highlight w:val="none"/>
              </w:rPr>
            </w:pPr>
            <w:r>
              <w:rPr>
                <w:rFonts w:hint="eastAsia" w:ascii="宋体" w:hAnsi="宋体" w:eastAsia="宋体" w:cs="宋体"/>
                <w:b w:val="0"/>
                <w:i w:val="0"/>
                <w:color w:val="auto"/>
                <w:szCs w:val="21"/>
                <w:highlight w:val="none"/>
                <w:u w:val="none" w:color="auto"/>
              </w:rPr>
              <w:t>法定代表人或授权委托人完成实名认证</w:t>
            </w:r>
          </w:p>
        </w:tc>
      </w:tr>
      <w:tr w14:paraId="52343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695061E1">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6D058407">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5EC599B5">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ascii="宋体" w:hAnsi="宋体" w:eastAsia="宋体" w:cs="宋体"/>
                <w:b w:val="0"/>
                <w:i w:val="0"/>
                <w:color w:val="auto"/>
                <w:szCs w:val="21"/>
                <w:highlight w:val="none"/>
                <w:u w:val="none" w:color="auto"/>
              </w:rPr>
              <w:t>行为雷同分析</w:t>
            </w:r>
          </w:p>
        </w:tc>
        <w:tc>
          <w:tcPr>
            <w:tcW w:w="4791" w:type="dxa"/>
            <w:gridSpan w:val="2"/>
            <w:vAlign w:val="center"/>
          </w:tcPr>
          <w:p w14:paraId="1093300A">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textAlignment w:val="auto"/>
              <w:rPr>
                <w:rFonts w:ascii="宋体" w:hAnsi="宋体"/>
                <w:color w:val="auto"/>
                <w:szCs w:val="21"/>
                <w:highlight w:val="none"/>
              </w:rPr>
            </w:pPr>
            <w:r>
              <w:rPr>
                <w:rFonts w:hint="eastAsia" w:ascii="宋体" w:hAnsi="宋体" w:eastAsia="宋体" w:cs="宋体"/>
                <w:b w:val="0"/>
                <w:i w:val="0"/>
                <w:color w:val="auto"/>
                <w:szCs w:val="21"/>
                <w:highlight w:val="none"/>
                <w:u w:val="none" w:color="auto"/>
              </w:rPr>
              <w:t>不存在投标行为雷同情形</w:t>
            </w:r>
          </w:p>
        </w:tc>
      </w:tr>
      <w:tr w14:paraId="0F586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restart"/>
            <w:vAlign w:val="center"/>
          </w:tcPr>
          <w:p w14:paraId="7E34145B">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restart"/>
            <w:vAlign w:val="center"/>
          </w:tcPr>
          <w:p w14:paraId="19905891">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3ED75992">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ascii="宋体" w:hAnsi="宋体" w:eastAsia="宋体" w:cs="宋体"/>
                <w:b w:val="0"/>
                <w:i w:val="0"/>
                <w:color w:val="auto"/>
                <w:szCs w:val="21"/>
                <w:highlight w:val="none"/>
                <w:u w:val="none" w:color="auto"/>
              </w:rPr>
              <w:t>营业执照</w:t>
            </w:r>
          </w:p>
        </w:tc>
        <w:tc>
          <w:tcPr>
            <w:tcW w:w="4791" w:type="dxa"/>
            <w:gridSpan w:val="2"/>
            <w:vAlign w:val="center"/>
          </w:tcPr>
          <w:p w14:paraId="7F0D0B1B">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textAlignment w:val="auto"/>
              <w:rPr>
                <w:rFonts w:ascii="宋体" w:hAnsi="宋体"/>
                <w:color w:val="auto"/>
                <w:szCs w:val="21"/>
                <w:highlight w:val="none"/>
              </w:rPr>
            </w:pPr>
            <w:r>
              <w:rPr>
                <w:rFonts w:hint="eastAsia" w:ascii="宋体" w:hAnsi="宋体" w:eastAsia="宋体" w:cs="宋体"/>
                <w:b w:val="0"/>
                <w:i w:val="0"/>
                <w:color w:val="auto"/>
                <w:szCs w:val="21"/>
                <w:highlight w:val="none"/>
                <w:u w:val="none" w:color="auto"/>
              </w:rPr>
              <w:t>具备有效的营业执照</w:t>
            </w:r>
          </w:p>
        </w:tc>
      </w:tr>
      <w:tr w14:paraId="2F778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14844EA5">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0706979A">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3B3EFF04">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ascii="宋体" w:hAnsi="宋体" w:eastAsia="宋体" w:cs="宋体"/>
                <w:b w:val="0"/>
                <w:i w:val="0"/>
                <w:color w:val="auto"/>
                <w:szCs w:val="21"/>
                <w:highlight w:val="none"/>
                <w:u w:val="none" w:color="auto"/>
              </w:rPr>
              <w:t>安全生产许可证</w:t>
            </w:r>
          </w:p>
        </w:tc>
        <w:tc>
          <w:tcPr>
            <w:tcW w:w="4791" w:type="dxa"/>
            <w:gridSpan w:val="2"/>
            <w:vAlign w:val="center"/>
          </w:tcPr>
          <w:p w14:paraId="18659A37">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textAlignment w:val="auto"/>
              <w:rPr>
                <w:rFonts w:ascii="宋体" w:hAnsi="宋体"/>
                <w:color w:val="auto"/>
                <w:szCs w:val="21"/>
                <w:highlight w:val="none"/>
              </w:rPr>
            </w:pPr>
            <w:r>
              <w:rPr>
                <w:rFonts w:hint="eastAsia" w:ascii="宋体" w:hAnsi="宋体" w:eastAsia="宋体" w:cs="宋体"/>
                <w:b w:val="0"/>
                <w:i w:val="0"/>
                <w:color w:val="auto"/>
                <w:szCs w:val="21"/>
                <w:highlight w:val="none"/>
                <w:u w:val="none" w:color="auto"/>
              </w:rPr>
              <w:t>具备有效的安全生产许可证</w:t>
            </w:r>
          </w:p>
        </w:tc>
      </w:tr>
      <w:tr w14:paraId="29666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3B513992">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431B353F">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2A9067EA">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ascii="宋体" w:hAnsi="宋体" w:eastAsia="宋体" w:cs="宋体"/>
                <w:b w:val="0"/>
                <w:i w:val="0"/>
                <w:color w:val="auto"/>
                <w:szCs w:val="21"/>
                <w:highlight w:val="none"/>
                <w:u w:val="none" w:color="auto"/>
              </w:rPr>
              <w:t>资质等级</w:t>
            </w:r>
          </w:p>
        </w:tc>
        <w:tc>
          <w:tcPr>
            <w:tcW w:w="4791" w:type="dxa"/>
            <w:gridSpan w:val="2"/>
            <w:vAlign w:val="center"/>
          </w:tcPr>
          <w:p w14:paraId="4B8F494D">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textAlignment w:val="auto"/>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符合第二章“投标人须知”第1.4.1项规定</w:t>
            </w:r>
          </w:p>
        </w:tc>
      </w:tr>
      <w:tr w14:paraId="3192F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37D07212">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1C9F83BC">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7B971A3A">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ascii="宋体" w:hAnsi="宋体" w:eastAsia="宋体" w:cs="宋体"/>
                <w:b w:val="0"/>
                <w:i w:val="0"/>
                <w:color w:val="auto"/>
                <w:szCs w:val="21"/>
                <w:highlight w:val="none"/>
                <w:u w:val="none" w:color="auto"/>
              </w:rPr>
              <w:t>项目经理资格</w:t>
            </w:r>
          </w:p>
        </w:tc>
        <w:tc>
          <w:tcPr>
            <w:tcW w:w="4791" w:type="dxa"/>
            <w:gridSpan w:val="2"/>
            <w:vAlign w:val="center"/>
          </w:tcPr>
          <w:p w14:paraId="73A6B854">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textAlignment w:val="auto"/>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符合第二章“投标人须知”第1.4.1项规定</w:t>
            </w:r>
          </w:p>
        </w:tc>
      </w:tr>
      <w:tr w14:paraId="3F2DC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516010F6">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24CCE3A6">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2A88202A">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ascii="宋体" w:hAnsi="宋体" w:eastAsia="宋体" w:cs="宋体"/>
                <w:b w:val="0"/>
                <w:i w:val="0"/>
                <w:color w:val="auto"/>
                <w:szCs w:val="21"/>
                <w:highlight w:val="none"/>
                <w:u w:val="none" w:color="auto"/>
              </w:rPr>
              <w:t>其他要求</w:t>
            </w:r>
          </w:p>
        </w:tc>
        <w:tc>
          <w:tcPr>
            <w:tcW w:w="4791" w:type="dxa"/>
            <w:gridSpan w:val="2"/>
            <w:vAlign w:val="center"/>
          </w:tcPr>
          <w:p w14:paraId="7C4BAC51">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textAlignment w:val="auto"/>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符合第二章“投标人须知”第1.4.1项规定</w:t>
            </w:r>
          </w:p>
        </w:tc>
      </w:tr>
      <w:tr w14:paraId="738A4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3442838F">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2091CED5">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30F63E12">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ascii="宋体" w:hAnsi="宋体" w:eastAsia="宋体" w:cs="宋体"/>
                <w:b w:val="0"/>
                <w:i w:val="0"/>
                <w:color w:val="auto"/>
                <w:szCs w:val="21"/>
                <w:highlight w:val="none"/>
                <w:u w:val="none" w:color="auto"/>
              </w:rPr>
              <w:t>不存在禁止投标的情形</w:t>
            </w:r>
          </w:p>
        </w:tc>
        <w:tc>
          <w:tcPr>
            <w:tcW w:w="4791" w:type="dxa"/>
            <w:gridSpan w:val="2"/>
            <w:vAlign w:val="center"/>
          </w:tcPr>
          <w:p w14:paraId="6904504F">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textAlignment w:val="auto"/>
              <w:rPr>
                <w:rFonts w:ascii="宋体" w:hAnsi="宋体"/>
                <w:color w:val="auto"/>
                <w:szCs w:val="21"/>
                <w:highlight w:val="none"/>
              </w:rPr>
            </w:pPr>
            <w:r>
              <w:rPr>
                <w:rFonts w:hint="eastAsia" w:ascii="宋体" w:hAnsi="宋体" w:eastAsia="宋体" w:cs="宋体"/>
                <w:b w:val="0"/>
                <w:i w:val="0"/>
                <w:color w:val="auto"/>
                <w:szCs w:val="21"/>
                <w:highlight w:val="none"/>
                <w:u w:val="none" w:color="auto"/>
              </w:rPr>
              <w:t>不存在第二章“投标人须知”第1.4.3项规定的任何一种情形</w:t>
            </w:r>
          </w:p>
        </w:tc>
      </w:tr>
      <w:tr w14:paraId="0C60A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restart"/>
            <w:vAlign w:val="center"/>
          </w:tcPr>
          <w:p w14:paraId="448769A3">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restart"/>
            <w:vAlign w:val="center"/>
          </w:tcPr>
          <w:p w14:paraId="4BD34AED">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4A851FB1">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投标内容</w:t>
            </w:r>
          </w:p>
        </w:tc>
        <w:tc>
          <w:tcPr>
            <w:tcW w:w="4791" w:type="dxa"/>
            <w:gridSpan w:val="2"/>
            <w:vAlign w:val="center"/>
          </w:tcPr>
          <w:p w14:paraId="08A995C6">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textAlignment w:val="auto"/>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符合第二章“投标人须知”第1.3.1项规定</w:t>
            </w:r>
          </w:p>
        </w:tc>
      </w:tr>
      <w:tr w14:paraId="25FE4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1C5115BD">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55F86103">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5EDB6933">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ascii="宋体" w:hAnsi="宋体" w:eastAsia="宋体" w:cs="宋体"/>
                <w:b w:val="0"/>
                <w:i w:val="0"/>
                <w:color w:val="auto"/>
                <w:szCs w:val="21"/>
                <w:highlight w:val="none"/>
                <w:u w:val="none" w:color="auto"/>
              </w:rPr>
              <w:t>计划工期</w:t>
            </w:r>
          </w:p>
        </w:tc>
        <w:tc>
          <w:tcPr>
            <w:tcW w:w="4791" w:type="dxa"/>
            <w:gridSpan w:val="2"/>
            <w:vAlign w:val="center"/>
          </w:tcPr>
          <w:p w14:paraId="450683D3">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textAlignment w:val="auto"/>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符合第二章“投标人须知”第1.3.2项规定</w:t>
            </w:r>
          </w:p>
        </w:tc>
      </w:tr>
      <w:tr w14:paraId="09D41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05CAE376">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749DD7F6">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74DDD0DF">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ascii="宋体" w:hAnsi="宋体" w:eastAsia="宋体" w:cs="宋体"/>
                <w:b w:val="0"/>
                <w:i w:val="0"/>
                <w:color w:val="auto"/>
                <w:szCs w:val="21"/>
                <w:highlight w:val="none"/>
                <w:u w:val="none" w:color="auto"/>
              </w:rPr>
              <w:t>工程质量</w:t>
            </w:r>
          </w:p>
        </w:tc>
        <w:tc>
          <w:tcPr>
            <w:tcW w:w="4791" w:type="dxa"/>
            <w:gridSpan w:val="2"/>
            <w:vAlign w:val="center"/>
          </w:tcPr>
          <w:p w14:paraId="59E84006">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textAlignment w:val="auto"/>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符合第二章“投标人须知”第1.3.3项规定</w:t>
            </w:r>
          </w:p>
        </w:tc>
      </w:tr>
      <w:tr w14:paraId="28FD3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6D18760A">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5FBFF8D7">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5D1F22AA">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投标有效期</w:t>
            </w:r>
          </w:p>
        </w:tc>
        <w:tc>
          <w:tcPr>
            <w:tcW w:w="4791" w:type="dxa"/>
            <w:gridSpan w:val="2"/>
            <w:vAlign w:val="center"/>
          </w:tcPr>
          <w:p w14:paraId="471010F5">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textAlignment w:val="auto"/>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符合第二章“投标人须知”第3.3.1项规定</w:t>
            </w:r>
          </w:p>
        </w:tc>
      </w:tr>
      <w:tr w14:paraId="5F033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6C0A08B4">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22A0EF91">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481DE720">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投标保证金</w:t>
            </w:r>
          </w:p>
        </w:tc>
        <w:tc>
          <w:tcPr>
            <w:tcW w:w="4791" w:type="dxa"/>
            <w:gridSpan w:val="2"/>
            <w:vAlign w:val="center"/>
          </w:tcPr>
          <w:p w14:paraId="32D172F9">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textAlignment w:val="auto"/>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符合第二章“投标人须知”第3.4.1项规定</w:t>
            </w:r>
          </w:p>
        </w:tc>
      </w:tr>
      <w:tr w14:paraId="317A3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5FD77209">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31A56AF7">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5DC13DD6">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投标价格</w:t>
            </w:r>
          </w:p>
        </w:tc>
        <w:tc>
          <w:tcPr>
            <w:tcW w:w="4791" w:type="dxa"/>
            <w:gridSpan w:val="2"/>
            <w:vAlign w:val="center"/>
          </w:tcPr>
          <w:p w14:paraId="0FB999E8">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textAlignment w:val="auto"/>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投标报价（含修正后）不大于本标段最高投标限价</w:t>
            </w:r>
          </w:p>
        </w:tc>
      </w:tr>
      <w:tr w14:paraId="3BC44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15941857">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14D9B8C3">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1BAB8C3F">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ascii="宋体" w:hAnsi="宋体" w:eastAsia="宋体" w:cs="宋体"/>
                <w:b w:val="0"/>
                <w:i w:val="0"/>
                <w:color w:val="auto"/>
                <w:szCs w:val="21"/>
                <w:highlight w:val="none"/>
                <w:u w:val="none" w:color="auto"/>
              </w:rPr>
              <w:t>已标价工程量清单</w:t>
            </w:r>
          </w:p>
        </w:tc>
        <w:tc>
          <w:tcPr>
            <w:tcW w:w="4791" w:type="dxa"/>
            <w:gridSpan w:val="2"/>
            <w:vAlign w:val="center"/>
          </w:tcPr>
          <w:p w14:paraId="1F7F314A">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textAlignment w:val="auto"/>
              <w:rPr>
                <w:rFonts w:ascii="宋体" w:hAnsi="宋体"/>
                <w:color w:val="auto"/>
                <w:szCs w:val="21"/>
                <w:highlight w:val="none"/>
              </w:rPr>
            </w:pPr>
            <w:r>
              <w:rPr>
                <w:rFonts w:hint="eastAsia" w:ascii="宋体" w:hAnsi="宋体" w:eastAsia="宋体" w:cs="宋体"/>
                <w:b w:val="0"/>
                <w:i w:val="0"/>
                <w:color w:val="auto"/>
                <w:szCs w:val="21"/>
                <w:highlight w:val="none"/>
                <w:u w:val="none" w:color="auto"/>
              </w:rPr>
              <w:t>按照招标人提供的工程量清单及其报价要求进行全面准确的报价</w:t>
            </w:r>
          </w:p>
        </w:tc>
      </w:tr>
      <w:tr w14:paraId="3BDD1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800" w:type="dxa"/>
            <w:gridSpan w:val="2"/>
            <w:vAlign w:val="center"/>
          </w:tcPr>
          <w:p w14:paraId="3B596054">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color w:val="auto"/>
                <w:highlight w:val="none"/>
              </w:rPr>
            </w:pPr>
            <w:r>
              <w:rPr>
                <w:rFonts w:hint="eastAsia"/>
                <w:color w:val="auto"/>
                <w:szCs w:val="21"/>
                <w:highlight w:val="none"/>
              </w:rPr>
              <w:t>3.</w:t>
            </w:r>
            <w:r>
              <w:rPr>
                <w:color w:val="auto"/>
                <w:szCs w:val="21"/>
                <w:highlight w:val="none"/>
              </w:rPr>
              <w:t>1</w:t>
            </w:r>
            <w:r>
              <w:rPr>
                <w:rFonts w:hint="eastAsia"/>
                <w:color w:val="auto"/>
                <w:szCs w:val="21"/>
                <w:highlight w:val="none"/>
              </w:rPr>
              <w:t>.2</w:t>
            </w:r>
          </w:p>
        </w:tc>
        <w:tc>
          <w:tcPr>
            <w:tcW w:w="7131" w:type="dxa"/>
            <w:gridSpan w:val="4"/>
            <w:vAlign w:val="center"/>
          </w:tcPr>
          <w:p w14:paraId="491DC589">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textAlignment w:val="auto"/>
              <w:rPr>
                <w:rFonts w:ascii="宋体" w:hAnsi="宋体"/>
                <w:color w:val="auto"/>
                <w:szCs w:val="21"/>
                <w:highlight w:val="none"/>
              </w:rPr>
            </w:pPr>
            <w:r>
              <w:rPr>
                <w:rFonts w:hint="eastAsia" w:ascii="宋体" w:hAnsi="宋体"/>
                <w:color w:val="auto"/>
                <w:szCs w:val="21"/>
                <w:highlight w:val="none"/>
              </w:rPr>
              <w:t>投标人不得存在的其他情形：</w:t>
            </w:r>
          </w:p>
          <w:p w14:paraId="3F0A2B30">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textAlignment w:val="auto"/>
              <w:rPr>
                <w:rFonts w:ascii="宋体" w:hAnsi="宋体"/>
                <w:color w:val="auto"/>
                <w:szCs w:val="21"/>
                <w:highlight w:val="none"/>
              </w:rPr>
            </w:pPr>
            <w:r>
              <w:rPr>
                <w:rFonts w:hint="eastAsia" w:ascii="宋体" w:hAnsi="宋体"/>
                <w:color w:val="auto"/>
                <w:szCs w:val="21"/>
                <w:highlight w:val="none"/>
              </w:rPr>
              <w:t>（1）不按评标委员会要求澄清、说明或补正；</w:t>
            </w:r>
          </w:p>
          <w:p w14:paraId="5FEF4E79">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textAlignment w:val="auto"/>
              <w:rPr>
                <w:color w:val="auto"/>
                <w:highlight w:val="none"/>
              </w:rPr>
            </w:pPr>
            <w:r>
              <w:rPr>
                <w:rFonts w:hint="eastAsia" w:ascii="宋体" w:hAnsi="宋体"/>
                <w:color w:val="auto"/>
                <w:szCs w:val="21"/>
                <w:highlight w:val="none"/>
              </w:rPr>
              <w:t>（2）有串通投标、弄虚作假、行贿或有其他违法行为。</w:t>
            </w:r>
          </w:p>
        </w:tc>
      </w:tr>
      <w:tr w14:paraId="60FB7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800" w:type="dxa"/>
            <w:gridSpan w:val="2"/>
            <w:vAlign w:val="center"/>
          </w:tcPr>
          <w:p w14:paraId="0D5486B6">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color w:val="auto"/>
                <w:szCs w:val="21"/>
                <w:highlight w:val="none"/>
              </w:rPr>
            </w:pPr>
            <w:r>
              <w:rPr>
                <w:rFonts w:hint="eastAsia"/>
                <w:color w:val="auto"/>
                <w:szCs w:val="21"/>
                <w:highlight w:val="none"/>
              </w:rPr>
              <w:t>3</w:t>
            </w:r>
            <w:r>
              <w:rPr>
                <w:color w:val="auto"/>
                <w:szCs w:val="21"/>
                <w:highlight w:val="none"/>
              </w:rPr>
              <w:t>.1.4</w:t>
            </w:r>
          </w:p>
        </w:tc>
        <w:tc>
          <w:tcPr>
            <w:tcW w:w="7131" w:type="dxa"/>
            <w:gridSpan w:val="4"/>
            <w:vAlign w:val="center"/>
          </w:tcPr>
          <w:p w14:paraId="40D839EC">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left"/>
              <w:textAlignment w:val="auto"/>
              <w:rPr>
                <w:rFonts w:ascii="宋体" w:hAnsi="宋体"/>
                <w:color w:val="auto"/>
                <w:szCs w:val="21"/>
                <w:highlight w:val="none"/>
              </w:rPr>
            </w:pPr>
            <w:r>
              <w:rPr>
                <w:rFonts w:hint="eastAsia" w:ascii="宋体" w:hAnsi="宋体"/>
                <w:color w:val="auto"/>
                <w:szCs w:val="21"/>
                <w:highlight w:val="none"/>
              </w:rPr>
              <w:t>合理最低价：</w:t>
            </w:r>
            <w:r>
              <w:rPr>
                <w:rFonts w:hint="eastAsia" w:ascii="宋体" w:hAnsi="宋体"/>
                <w:color w:val="auto"/>
                <w:szCs w:val="21"/>
                <w:highlight w:val="none"/>
              </w:rPr>
              <w:br w:type="textWrapping"/>
            </w:r>
            <w:r>
              <w:rPr>
                <w:rFonts w:hint="eastAsia" w:ascii="宋体" w:hAnsi="宋体"/>
                <w:color w:val="auto"/>
                <w:szCs w:val="21"/>
                <w:highlight w:val="none"/>
              </w:rPr>
              <w:t>（1）合同方式：固定单价合同</w:t>
            </w:r>
            <w:r>
              <w:rPr>
                <w:rFonts w:hint="eastAsia" w:ascii="宋体" w:hAnsi="宋体"/>
                <w:color w:val="auto"/>
                <w:szCs w:val="21"/>
                <w:highlight w:val="none"/>
              </w:rPr>
              <w:br w:type="textWrapping"/>
            </w:r>
            <w:r>
              <w:rPr>
                <w:rFonts w:hint="eastAsia" w:ascii="宋体" w:hAnsi="宋体"/>
                <w:color w:val="auto"/>
                <w:szCs w:val="21"/>
                <w:highlight w:val="none"/>
              </w:rPr>
              <w:t>（2）计算方法：依据辽住建发</w:t>
            </w:r>
            <w:r>
              <w:rPr>
                <w:rFonts w:hint="eastAsia" w:ascii="宋体" w:hAnsi="宋体"/>
                <w:color w:val="auto"/>
                <w:szCs w:val="21"/>
                <w:highlight w:val="none"/>
                <w:lang w:eastAsia="zh-CN"/>
              </w:rPr>
              <w:t>〔2020〕4号</w:t>
            </w:r>
            <w:r>
              <w:rPr>
                <w:rFonts w:hint="eastAsia" w:ascii="宋体" w:hAnsi="宋体"/>
                <w:color w:val="auto"/>
                <w:szCs w:val="21"/>
                <w:highlight w:val="none"/>
              </w:rPr>
              <w:t>文件第十七条。</w:t>
            </w:r>
            <w:r>
              <w:rPr>
                <w:rFonts w:hint="eastAsia" w:ascii="宋体" w:hAnsi="宋体"/>
                <w:color w:val="auto"/>
                <w:szCs w:val="21"/>
                <w:highlight w:val="none"/>
              </w:rPr>
              <w:br w:type="textWrapping"/>
            </w:r>
            <w:r>
              <w:rPr>
                <w:rFonts w:hint="eastAsia" w:ascii="宋体" w:hAnsi="宋体"/>
                <w:color w:val="auto"/>
                <w:szCs w:val="21"/>
                <w:highlight w:val="none"/>
              </w:rPr>
              <w:t>（3）下浮比例：15%。</w:t>
            </w:r>
          </w:p>
        </w:tc>
      </w:tr>
      <w:tr w14:paraId="58FB9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800" w:type="dxa"/>
            <w:gridSpan w:val="2"/>
            <w:vAlign w:val="center"/>
          </w:tcPr>
          <w:p w14:paraId="4993E1EE">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color w:val="auto"/>
                <w:szCs w:val="21"/>
                <w:highlight w:val="none"/>
              </w:rPr>
            </w:pPr>
            <w:r>
              <w:rPr>
                <w:rFonts w:hint="eastAsia"/>
                <w:color w:val="auto"/>
                <w:szCs w:val="21"/>
                <w:highlight w:val="none"/>
              </w:rPr>
              <w:t>3</w:t>
            </w:r>
            <w:r>
              <w:rPr>
                <w:color w:val="auto"/>
                <w:szCs w:val="21"/>
                <w:highlight w:val="none"/>
              </w:rPr>
              <w:t>.2.1</w:t>
            </w:r>
          </w:p>
        </w:tc>
        <w:tc>
          <w:tcPr>
            <w:tcW w:w="7131" w:type="dxa"/>
            <w:gridSpan w:val="4"/>
            <w:vAlign w:val="center"/>
          </w:tcPr>
          <w:p w14:paraId="1D45BBEB">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left"/>
              <w:textAlignment w:val="auto"/>
              <w:rPr>
                <w:rFonts w:ascii="宋体" w:hAnsi="宋体"/>
                <w:color w:val="auto"/>
                <w:szCs w:val="21"/>
                <w:highlight w:val="none"/>
              </w:rPr>
            </w:pPr>
            <w:r>
              <w:rPr>
                <w:rFonts w:hint="eastAsia" w:ascii="宋体" w:hAnsi="宋体"/>
                <w:color w:val="auto"/>
                <w:szCs w:val="21"/>
                <w:highlight w:val="none"/>
              </w:rPr>
              <w:t>（1）是否采用入围：否</w:t>
            </w:r>
          </w:p>
        </w:tc>
      </w:tr>
      <w:tr w14:paraId="699EE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3" w:hRule="atLeast"/>
          <w:jc w:val="center"/>
        </w:trPr>
        <w:tc>
          <w:tcPr>
            <w:tcW w:w="1800" w:type="dxa"/>
            <w:gridSpan w:val="2"/>
            <w:vAlign w:val="center"/>
          </w:tcPr>
          <w:p w14:paraId="73FF6C34">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color w:val="auto"/>
                <w:szCs w:val="21"/>
                <w:highlight w:val="none"/>
              </w:rPr>
            </w:pPr>
            <w:r>
              <w:rPr>
                <w:rFonts w:hint="eastAsia"/>
                <w:color w:val="auto"/>
                <w:szCs w:val="21"/>
                <w:highlight w:val="none"/>
                <w:lang w:val="en-US" w:eastAsia="zh-CN"/>
              </w:rPr>
              <w:t>3.3</w:t>
            </w:r>
          </w:p>
        </w:tc>
        <w:tc>
          <w:tcPr>
            <w:tcW w:w="7131" w:type="dxa"/>
            <w:gridSpan w:val="4"/>
            <w:vAlign w:val="center"/>
          </w:tcPr>
          <w:p w14:paraId="3EBE1408">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left"/>
              <w:textAlignment w:val="auto"/>
              <w:rPr>
                <w:rFonts w:ascii="宋体" w:hAnsi="宋体" w:cs="微软雅黑"/>
                <w:color w:val="auto"/>
                <w:szCs w:val="21"/>
                <w:highlight w:val="none"/>
              </w:rPr>
            </w:pPr>
            <w:r>
              <w:rPr>
                <w:rFonts w:hint="eastAsia" w:ascii="宋体" w:hAnsi="宋体" w:cs="微软雅黑"/>
                <w:color w:val="auto"/>
                <w:szCs w:val="21"/>
                <w:highlight w:val="none"/>
              </w:rPr>
              <w:t>评标委员会在评标过程中，如要求投标人澄清或说明的，评标委员会要求投标人在线澄清或说明的时间距投标人收到评标委员会通知的时间不得少于</w:t>
            </w:r>
            <w:r>
              <w:rPr>
                <w:rFonts w:hint="eastAsia" w:ascii="宋体" w:hAnsi="宋体"/>
                <w:color w:val="auto"/>
                <w:szCs w:val="21"/>
                <w:highlight w:val="none"/>
                <w:u w:val="single"/>
              </w:rPr>
              <w:t>30</w:t>
            </w:r>
            <w:r>
              <w:rPr>
                <w:rFonts w:hint="eastAsia" w:ascii="宋体" w:hAnsi="宋体" w:cs="微软雅黑"/>
                <w:color w:val="auto"/>
                <w:szCs w:val="21"/>
                <w:highlight w:val="none"/>
              </w:rPr>
              <w:t>分钟。</w:t>
            </w:r>
          </w:p>
          <w:p w14:paraId="50177137">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left"/>
              <w:textAlignment w:val="auto"/>
              <w:rPr>
                <w:rFonts w:hint="eastAsia" w:ascii="宋体" w:hAnsi="宋体" w:cs="微软雅黑"/>
                <w:color w:val="auto"/>
                <w:szCs w:val="21"/>
                <w:highlight w:val="none"/>
              </w:rPr>
            </w:pPr>
            <w:r>
              <w:rPr>
                <w:rFonts w:hint="eastAsia" w:ascii="宋体" w:hAnsi="宋体" w:cs="微软雅黑"/>
                <w:color w:val="auto"/>
                <w:szCs w:val="21"/>
                <w:highlight w:val="none"/>
              </w:rPr>
              <w:t>评标委员会认为投标人的澄清或说明不够明确，应再次要求投标人对不明确的内容进行澄清或说明，评标委员会要求投标人再次在线澄清或说明的时间距投标人收到评标委员会通知的时间不得少于</w:t>
            </w:r>
            <w:r>
              <w:rPr>
                <w:rFonts w:hint="eastAsia" w:ascii="宋体" w:hAnsi="宋体"/>
                <w:color w:val="auto"/>
                <w:szCs w:val="21"/>
                <w:highlight w:val="none"/>
                <w:u w:val="single"/>
              </w:rPr>
              <w:t>30</w:t>
            </w:r>
            <w:r>
              <w:rPr>
                <w:rFonts w:hint="eastAsia" w:ascii="宋体" w:hAnsi="宋体" w:cs="微软雅黑"/>
                <w:color w:val="auto"/>
                <w:szCs w:val="21"/>
                <w:highlight w:val="none"/>
              </w:rPr>
              <w:t>分钟。</w:t>
            </w:r>
          </w:p>
          <w:p w14:paraId="229F53DC">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left"/>
              <w:textAlignment w:val="auto"/>
              <w:rPr>
                <w:rFonts w:hint="eastAsia" w:ascii="宋体" w:hAnsi="宋体"/>
                <w:color w:val="auto"/>
                <w:szCs w:val="21"/>
                <w:highlight w:val="none"/>
              </w:rPr>
            </w:pPr>
            <w:r>
              <w:rPr>
                <w:rFonts w:hint="eastAsia" w:ascii="宋体" w:hAnsi="宋体" w:cs="微软雅黑"/>
                <w:color w:val="auto"/>
                <w:szCs w:val="21"/>
                <w:highlight w:val="none"/>
              </w:rPr>
              <w:t>投标人未在规定时间内作出澄清或说明的，或者评标委员会成员认为该投标人的澄清或说明始终都不符合评标委员会要求的，作否决投标处理。</w:t>
            </w:r>
          </w:p>
        </w:tc>
      </w:tr>
      <w:tr w14:paraId="029AB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800" w:type="dxa"/>
            <w:gridSpan w:val="2"/>
            <w:vAlign w:val="center"/>
          </w:tcPr>
          <w:p w14:paraId="116D345D">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b/>
                <w:color w:val="auto"/>
                <w:szCs w:val="21"/>
                <w:highlight w:val="none"/>
              </w:rPr>
            </w:pPr>
            <w:r>
              <w:rPr>
                <w:rFonts w:hint="eastAsia" w:ascii="宋体" w:hAnsi="宋体"/>
                <w:b/>
                <w:color w:val="auto"/>
                <w:szCs w:val="21"/>
                <w:highlight w:val="none"/>
              </w:rPr>
              <w:t>条款号</w:t>
            </w:r>
          </w:p>
        </w:tc>
        <w:tc>
          <w:tcPr>
            <w:tcW w:w="2085" w:type="dxa"/>
            <w:vAlign w:val="center"/>
          </w:tcPr>
          <w:p w14:paraId="386F7230">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b/>
                <w:color w:val="auto"/>
                <w:szCs w:val="21"/>
                <w:highlight w:val="none"/>
              </w:rPr>
            </w:pPr>
            <w:r>
              <w:rPr>
                <w:rFonts w:hint="eastAsia" w:ascii="宋体" w:hAnsi="宋体"/>
                <w:b/>
                <w:color w:val="auto"/>
                <w:szCs w:val="21"/>
                <w:highlight w:val="none"/>
              </w:rPr>
              <w:t>条款内容</w:t>
            </w:r>
          </w:p>
        </w:tc>
        <w:tc>
          <w:tcPr>
            <w:tcW w:w="5046" w:type="dxa"/>
            <w:gridSpan w:val="3"/>
            <w:vAlign w:val="center"/>
          </w:tcPr>
          <w:p w14:paraId="3F3F5CBD">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b/>
                <w:color w:val="auto"/>
                <w:szCs w:val="21"/>
                <w:highlight w:val="none"/>
              </w:rPr>
            </w:pPr>
            <w:r>
              <w:rPr>
                <w:rFonts w:hint="eastAsia" w:ascii="宋体" w:hAnsi="宋体"/>
                <w:b/>
                <w:color w:val="auto"/>
                <w:szCs w:val="21"/>
                <w:highlight w:val="none"/>
              </w:rPr>
              <w:t>编列内容</w:t>
            </w:r>
          </w:p>
        </w:tc>
      </w:tr>
      <w:tr w14:paraId="2F431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800" w:type="dxa"/>
            <w:gridSpan w:val="2"/>
            <w:vAlign w:val="center"/>
          </w:tcPr>
          <w:p w14:paraId="0E27FE82">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color w:val="auto"/>
                <w:szCs w:val="21"/>
                <w:highlight w:val="none"/>
              </w:rPr>
              <w:t>2.2.1</w:t>
            </w:r>
          </w:p>
        </w:tc>
        <w:tc>
          <w:tcPr>
            <w:tcW w:w="2085" w:type="dxa"/>
            <w:vAlign w:val="center"/>
          </w:tcPr>
          <w:p w14:paraId="58991F91">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ascii="宋体" w:hAnsi="宋体"/>
                <w:color w:val="auto"/>
                <w:szCs w:val="21"/>
                <w:highlight w:val="none"/>
              </w:rPr>
              <w:t>分值构成</w:t>
            </w:r>
          </w:p>
          <w:p w14:paraId="2B9D21CC">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ascii="宋体" w:hAnsi="宋体"/>
                <w:color w:val="auto"/>
                <w:szCs w:val="21"/>
                <w:highlight w:val="none"/>
              </w:rPr>
              <w:t>（总分</w:t>
            </w:r>
            <w:r>
              <w:rPr>
                <w:rFonts w:ascii="宋体" w:hAnsi="宋体"/>
                <w:color w:val="auto"/>
                <w:szCs w:val="21"/>
                <w:highlight w:val="none"/>
              </w:rPr>
              <w:t>100</w:t>
            </w:r>
            <w:r>
              <w:rPr>
                <w:rFonts w:hint="eastAsia" w:ascii="宋体" w:hAnsi="宋体"/>
                <w:color w:val="auto"/>
                <w:szCs w:val="21"/>
                <w:highlight w:val="none"/>
              </w:rPr>
              <w:t>分）</w:t>
            </w:r>
          </w:p>
        </w:tc>
        <w:tc>
          <w:tcPr>
            <w:tcW w:w="5046" w:type="dxa"/>
            <w:gridSpan w:val="3"/>
            <w:vAlign w:val="center"/>
          </w:tcPr>
          <w:p w14:paraId="00C5E085">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left"/>
              <w:textAlignment w:val="auto"/>
              <w:rPr>
                <w:rFonts w:ascii="宋体" w:hAnsi="宋体"/>
                <w:color w:val="auto"/>
                <w:szCs w:val="21"/>
                <w:highlight w:val="none"/>
              </w:rPr>
            </w:pPr>
            <w:r>
              <w:rPr>
                <w:rFonts w:hint="eastAsia" w:ascii="宋体" w:hAnsi="宋体"/>
                <w:color w:val="auto"/>
                <w:szCs w:val="21"/>
                <w:highlight w:val="none"/>
              </w:rPr>
              <w:t>经济标：</w:t>
            </w:r>
            <w:r>
              <w:rPr>
                <w:rFonts w:hint="eastAsia" w:ascii="宋体" w:hAnsi="宋体"/>
                <w:color w:val="auto"/>
                <w:szCs w:val="21"/>
                <w:highlight w:val="none"/>
                <w:u w:val="single"/>
              </w:rPr>
              <w:t xml:space="preserve"> 60 </w:t>
            </w:r>
            <w:r>
              <w:rPr>
                <w:rFonts w:hint="eastAsia" w:ascii="宋体" w:hAnsi="宋体"/>
                <w:color w:val="auto"/>
                <w:szCs w:val="21"/>
                <w:highlight w:val="none"/>
              </w:rPr>
              <w:t>分；</w:t>
            </w:r>
          </w:p>
          <w:p w14:paraId="065A8035">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left"/>
              <w:textAlignment w:val="auto"/>
              <w:rPr>
                <w:rFonts w:ascii="宋体" w:hAnsi="宋体"/>
                <w:color w:val="auto"/>
                <w:szCs w:val="21"/>
                <w:highlight w:val="none"/>
              </w:rPr>
            </w:pPr>
            <w:r>
              <w:rPr>
                <w:rFonts w:hint="eastAsia" w:ascii="宋体" w:hAnsi="宋体"/>
                <w:color w:val="auto"/>
                <w:szCs w:val="21"/>
                <w:highlight w:val="none"/>
              </w:rPr>
              <w:t>技术标：</w:t>
            </w:r>
            <w:r>
              <w:rPr>
                <w:rFonts w:hint="eastAsia" w:ascii="宋体" w:hAnsi="宋体"/>
                <w:color w:val="auto"/>
                <w:szCs w:val="21"/>
                <w:highlight w:val="none"/>
                <w:u w:val="single"/>
              </w:rPr>
              <w:t xml:space="preserve"> 30 </w:t>
            </w:r>
            <w:r>
              <w:rPr>
                <w:rFonts w:hint="eastAsia" w:ascii="宋体" w:hAnsi="宋体"/>
                <w:color w:val="auto"/>
                <w:szCs w:val="21"/>
                <w:highlight w:val="none"/>
              </w:rPr>
              <w:t>分；</w:t>
            </w:r>
          </w:p>
          <w:p w14:paraId="60EF0413">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left"/>
              <w:textAlignment w:val="auto"/>
              <w:rPr>
                <w:rFonts w:hint="eastAsia" w:ascii="宋体" w:hAnsi="宋体"/>
                <w:color w:val="auto"/>
                <w:szCs w:val="21"/>
                <w:highlight w:val="none"/>
              </w:rPr>
            </w:pPr>
            <w:r>
              <w:rPr>
                <w:rFonts w:hint="eastAsia" w:ascii="宋体" w:hAnsi="宋体"/>
                <w:color w:val="auto"/>
                <w:szCs w:val="21"/>
                <w:highlight w:val="none"/>
                <w:lang w:val="en-US" w:eastAsia="zh-CN"/>
              </w:rPr>
              <w:t>资信标</w:t>
            </w:r>
            <w:r>
              <w:rPr>
                <w:rFonts w:hint="eastAsia"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10</w:t>
            </w:r>
            <w:r>
              <w:rPr>
                <w:rFonts w:hint="eastAsia" w:ascii="宋体" w:hAnsi="宋体"/>
                <w:color w:val="auto"/>
                <w:szCs w:val="21"/>
                <w:highlight w:val="none"/>
                <w:u w:val="single"/>
              </w:rPr>
              <w:t xml:space="preserve"> </w:t>
            </w:r>
            <w:r>
              <w:rPr>
                <w:rFonts w:hint="eastAsia" w:ascii="宋体" w:hAnsi="宋体"/>
                <w:color w:val="auto"/>
                <w:szCs w:val="21"/>
                <w:highlight w:val="none"/>
              </w:rPr>
              <w:t>分；</w:t>
            </w:r>
          </w:p>
          <w:p w14:paraId="0E25F301">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left"/>
              <w:textAlignment w:val="auto"/>
              <w:rPr>
                <w:rFonts w:ascii="宋体" w:hAnsi="宋体"/>
                <w:color w:val="auto"/>
                <w:szCs w:val="21"/>
                <w:highlight w:val="none"/>
              </w:rPr>
            </w:pPr>
            <w:r>
              <w:rPr>
                <w:rFonts w:hint="eastAsia" w:ascii="宋体" w:hAnsi="宋体"/>
                <w:color w:val="auto"/>
                <w:szCs w:val="21"/>
                <w:highlight w:val="none"/>
              </w:rPr>
              <w:t>其他评分因素：</w:t>
            </w:r>
            <w:r>
              <w:rPr>
                <w:rFonts w:hint="eastAsia" w:ascii="宋体" w:hAnsi="宋体"/>
                <w:color w:val="auto"/>
                <w:szCs w:val="21"/>
                <w:highlight w:val="none"/>
                <w:u w:val="single"/>
                <w:lang w:val="en-US" w:eastAsia="zh-CN"/>
              </w:rPr>
              <w:t>0</w:t>
            </w:r>
            <w:r>
              <w:rPr>
                <w:rFonts w:hint="eastAsia" w:ascii="宋体" w:hAnsi="宋体"/>
                <w:color w:val="auto"/>
                <w:szCs w:val="21"/>
                <w:highlight w:val="none"/>
                <w:u w:val="single"/>
              </w:rPr>
              <w:t xml:space="preserve"> </w:t>
            </w:r>
            <w:r>
              <w:rPr>
                <w:rFonts w:hint="eastAsia" w:ascii="宋体" w:hAnsi="宋体"/>
                <w:color w:val="auto"/>
                <w:szCs w:val="21"/>
                <w:highlight w:val="none"/>
              </w:rPr>
              <w:t>分。</w:t>
            </w:r>
          </w:p>
        </w:tc>
      </w:tr>
      <w:tr w14:paraId="58442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6" w:hRule="atLeast"/>
          <w:jc w:val="center"/>
        </w:trPr>
        <w:tc>
          <w:tcPr>
            <w:tcW w:w="1800" w:type="dxa"/>
            <w:gridSpan w:val="2"/>
            <w:vAlign w:val="center"/>
          </w:tcPr>
          <w:p w14:paraId="54790A9D">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color w:val="auto"/>
                <w:szCs w:val="21"/>
                <w:highlight w:val="none"/>
              </w:rPr>
            </w:pPr>
            <w:r>
              <w:rPr>
                <w:color w:val="auto"/>
                <w:szCs w:val="21"/>
                <w:highlight w:val="none"/>
              </w:rPr>
              <w:t>2.2.2</w:t>
            </w:r>
          </w:p>
          <w:p w14:paraId="62B23B5A">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color w:val="auto"/>
                <w:szCs w:val="21"/>
                <w:highlight w:val="none"/>
              </w:rPr>
            </w:pPr>
            <w:r>
              <w:rPr>
                <w:rFonts w:hint="eastAsia"/>
                <w:color w:val="auto"/>
                <w:szCs w:val="21"/>
                <w:highlight w:val="none"/>
                <w:lang w:eastAsia="zh-CN"/>
              </w:rPr>
              <w:t>(</w:t>
            </w:r>
            <w:r>
              <w:rPr>
                <w:color w:val="auto"/>
                <w:szCs w:val="21"/>
                <w:highlight w:val="none"/>
              </w:rPr>
              <w:t>1</w:t>
            </w:r>
            <w:r>
              <w:rPr>
                <w:rFonts w:hint="eastAsia"/>
                <w:color w:val="auto"/>
                <w:szCs w:val="21"/>
                <w:highlight w:val="none"/>
                <w:lang w:eastAsia="zh-CN"/>
              </w:rPr>
              <w:t>)</w:t>
            </w:r>
          </w:p>
        </w:tc>
        <w:tc>
          <w:tcPr>
            <w:tcW w:w="2085" w:type="dxa"/>
            <w:vAlign w:val="center"/>
          </w:tcPr>
          <w:p w14:paraId="0B59447C">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ascii="宋体" w:hAnsi="宋体"/>
                <w:color w:val="auto"/>
                <w:szCs w:val="21"/>
                <w:highlight w:val="none"/>
              </w:rPr>
              <w:t>评标价确定方法</w:t>
            </w:r>
          </w:p>
        </w:tc>
        <w:tc>
          <w:tcPr>
            <w:tcW w:w="5046" w:type="dxa"/>
            <w:gridSpan w:val="3"/>
            <w:vAlign w:val="center"/>
          </w:tcPr>
          <w:p w14:paraId="30CD9425">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textAlignment w:val="auto"/>
              <w:rPr>
                <w:rFonts w:ascii="宋体" w:hAnsi="宋体"/>
                <w:color w:val="auto"/>
                <w:szCs w:val="21"/>
                <w:highlight w:val="none"/>
              </w:rPr>
            </w:pPr>
            <w:r>
              <w:rPr>
                <w:rFonts w:hint="eastAsia" w:ascii="宋体" w:hAnsi="宋体"/>
                <w:color w:val="auto"/>
                <w:szCs w:val="21"/>
                <w:highlight w:val="none"/>
              </w:rPr>
              <w:t>评标价＝投标函大写人民币投标报价或投标人须知前附表报价说明规定的参与评审的投标报价（或经投标人书面确认的算术错误修正后的投标报价）。说明：除招标文件特殊规定外，有关报价入围基准值、评标基准价的计算应用的投标报价一般均指评标价。</w:t>
            </w:r>
          </w:p>
        </w:tc>
      </w:tr>
      <w:tr w14:paraId="36B73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800" w:type="dxa"/>
            <w:gridSpan w:val="2"/>
            <w:vAlign w:val="center"/>
          </w:tcPr>
          <w:p w14:paraId="77A8877A">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color w:val="auto"/>
                <w:szCs w:val="21"/>
                <w:highlight w:val="none"/>
              </w:rPr>
            </w:pPr>
            <w:r>
              <w:rPr>
                <w:color w:val="auto"/>
                <w:szCs w:val="21"/>
                <w:highlight w:val="none"/>
              </w:rPr>
              <w:t>2.2.2</w:t>
            </w:r>
          </w:p>
          <w:p w14:paraId="79046D31">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color w:val="auto"/>
                <w:szCs w:val="21"/>
                <w:highlight w:val="none"/>
              </w:rPr>
            </w:pPr>
            <w:r>
              <w:rPr>
                <w:rFonts w:hint="eastAsia"/>
                <w:color w:val="auto"/>
                <w:szCs w:val="21"/>
                <w:highlight w:val="none"/>
                <w:lang w:eastAsia="zh-CN"/>
              </w:rPr>
              <w:t>(</w:t>
            </w:r>
            <w:r>
              <w:rPr>
                <w:color w:val="auto"/>
                <w:szCs w:val="21"/>
                <w:highlight w:val="none"/>
              </w:rPr>
              <w:t>2</w:t>
            </w:r>
            <w:r>
              <w:rPr>
                <w:rFonts w:hint="eastAsia"/>
                <w:color w:val="auto"/>
                <w:szCs w:val="21"/>
                <w:highlight w:val="none"/>
                <w:lang w:eastAsia="zh-CN"/>
              </w:rPr>
              <w:t>)</w:t>
            </w:r>
          </w:p>
        </w:tc>
        <w:tc>
          <w:tcPr>
            <w:tcW w:w="2085" w:type="dxa"/>
            <w:vAlign w:val="center"/>
          </w:tcPr>
          <w:p w14:paraId="39C875BD">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ascii="宋体" w:hAnsi="宋体"/>
                <w:color w:val="auto"/>
                <w:szCs w:val="21"/>
                <w:highlight w:val="none"/>
              </w:rPr>
              <w:t>评标基准价计算</w:t>
            </w:r>
          </w:p>
          <w:p w14:paraId="03512101">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ascii="宋体" w:hAnsi="宋体"/>
                <w:color w:val="auto"/>
                <w:szCs w:val="21"/>
                <w:highlight w:val="none"/>
              </w:rPr>
              <w:t>方法</w:t>
            </w:r>
          </w:p>
        </w:tc>
        <w:tc>
          <w:tcPr>
            <w:tcW w:w="5046" w:type="dxa"/>
            <w:gridSpan w:val="3"/>
            <w:vAlign w:val="center"/>
          </w:tcPr>
          <w:p w14:paraId="553A4985">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left"/>
              <w:textAlignment w:val="auto"/>
              <w:rPr>
                <w:rFonts w:hint="default" w:ascii="宋体" w:hAnsi="宋体"/>
                <w:color w:val="auto"/>
                <w:szCs w:val="21"/>
                <w:highlight w:val="none"/>
              </w:rPr>
            </w:pPr>
            <w:r>
              <w:rPr>
                <w:rFonts w:hint="default" w:ascii="宋体" w:hAnsi="宋体"/>
                <w:color w:val="auto"/>
                <w:szCs w:val="21"/>
                <w:highlight w:val="none"/>
                <w:lang w:val="en-US" w:eastAsia="zh-CN"/>
              </w:rPr>
              <w:t>基准价计算方法：</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（1）最高投标限价是否参与基准价计算：否</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（2）参与基准价计算范围：</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 xml:space="preserve">    通过初步评审且投标报价不低于合理最低价的投标人投标报价参与基准价得分计算。</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（3）基准价计算规则：</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 xml:space="preserve">    通过初步评审且投标报价不低于合理最低价的投标人超过5家（包含5家），去掉1个最高投标报价，1个最低投标报价；若小于5家，则不去；将其投标报价取算术平均值下浮0%。</w:t>
            </w:r>
          </w:p>
        </w:tc>
      </w:tr>
      <w:tr w14:paraId="77709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1800" w:type="dxa"/>
            <w:gridSpan w:val="2"/>
            <w:vAlign w:val="center"/>
          </w:tcPr>
          <w:p w14:paraId="0F4F964A">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color w:val="auto"/>
                <w:szCs w:val="21"/>
                <w:highlight w:val="none"/>
              </w:rPr>
              <w:t>2.2.3</w:t>
            </w:r>
          </w:p>
        </w:tc>
        <w:tc>
          <w:tcPr>
            <w:tcW w:w="2085" w:type="dxa"/>
            <w:vAlign w:val="center"/>
          </w:tcPr>
          <w:p w14:paraId="399CD78C">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textAlignment w:val="auto"/>
              <w:rPr>
                <w:rFonts w:ascii="宋体" w:hAnsi="宋体"/>
                <w:color w:val="auto"/>
                <w:szCs w:val="21"/>
                <w:highlight w:val="none"/>
              </w:rPr>
            </w:pPr>
            <w:r>
              <w:rPr>
                <w:rFonts w:hint="eastAsia" w:ascii="宋体" w:hAnsi="宋体"/>
                <w:color w:val="auto"/>
                <w:szCs w:val="21"/>
                <w:highlight w:val="none"/>
              </w:rPr>
              <w:t>投标报价的偏差率</w:t>
            </w:r>
          </w:p>
          <w:p w14:paraId="28972B7D">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ascii="宋体" w:hAnsi="宋体"/>
                <w:color w:val="auto"/>
                <w:szCs w:val="21"/>
                <w:highlight w:val="none"/>
              </w:rPr>
              <w:t>计算公式</w:t>
            </w:r>
          </w:p>
        </w:tc>
        <w:tc>
          <w:tcPr>
            <w:tcW w:w="5046" w:type="dxa"/>
            <w:gridSpan w:val="3"/>
            <w:vAlign w:val="center"/>
          </w:tcPr>
          <w:p w14:paraId="6FC898B3">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textAlignment w:val="auto"/>
              <w:rPr>
                <w:rFonts w:hint="eastAsia" w:ascii="宋体" w:hAnsi="宋体"/>
                <w:color w:val="auto"/>
                <w:szCs w:val="21"/>
                <w:highlight w:val="none"/>
              </w:rPr>
            </w:pPr>
            <w:r>
              <w:rPr>
                <w:rFonts w:hint="eastAsia" w:ascii="宋体" w:hAnsi="宋体"/>
                <w:color w:val="auto"/>
                <w:szCs w:val="21"/>
                <w:highlight w:val="none"/>
              </w:rPr>
              <w:t>偏差绝对值=|投标人评标价-评标基准价|</w:t>
            </w:r>
          </w:p>
          <w:p w14:paraId="3AB92221">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textAlignment w:val="auto"/>
              <w:rPr>
                <w:rFonts w:ascii="宋体" w:hAnsi="宋体"/>
                <w:color w:val="auto"/>
                <w:szCs w:val="21"/>
                <w:highlight w:val="none"/>
              </w:rPr>
            </w:pPr>
            <w:r>
              <w:rPr>
                <w:rFonts w:hint="eastAsia" w:ascii="宋体" w:hAnsi="宋体"/>
                <w:color w:val="auto"/>
                <w:szCs w:val="21"/>
                <w:highlight w:val="none"/>
              </w:rPr>
              <w:t>偏差率=100%×（</w:t>
            </w:r>
            <w:r>
              <w:rPr>
                <w:rFonts w:ascii="宋体" w:hAnsi="宋体"/>
                <w:color w:val="auto"/>
                <w:szCs w:val="21"/>
                <w:highlight w:val="none"/>
              </w:rPr>
              <w:t>|</w:t>
            </w:r>
            <w:r>
              <w:rPr>
                <w:rFonts w:hint="eastAsia" w:ascii="宋体" w:hAnsi="宋体"/>
                <w:color w:val="auto"/>
                <w:szCs w:val="21"/>
                <w:highlight w:val="none"/>
              </w:rPr>
              <w:t>投标人评标价－评标基准价</w:t>
            </w:r>
            <w:r>
              <w:rPr>
                <w:rFonts w:ascii="宋体" w:hAnsi="宋体"/>
                <w:color w:val="auto"/>
                <w:szCs w:val="21"/>
                <w:highlight w:val="none"/>
              </w:rPr>
              <w:t>|</w:t>
            </w:r>
            <w:r>
              <w:rPr>
                <w:rFonts w:hint="eastAsia" w:ascii="宋体" w:hAnsi="宋体"/>
                <w:color w:val="auto"/>
                <w:szCs w:val="21"/>
                <w:highlight w:val="none"/>
              </w:rPr>
              <w:t>）÷评标基准价</w:t>
            </w:r>
          </w:p>
          <w:p w14:paraId="34552D35">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textAlignment w:val="auto"/>
              <w:rPr>
                <w:rFonts w:hint="default" w:ascii="宋体" w:hAnsi="宋体"/>
                <w:color w:val="auto"/>
                <w:szCs w:val="21"/>
                <w:highlight w:val="none"/>
              </w:rPr>
            </w:pPr>
            <w:r>
              <w:rPr>
                <w:rFonts w:hint="eastAsia" w:ascii="宋体" w:hAnsi="宋体"/>
                <w:color w:val="auto"/>
                <w:szCs w:val="21"/>
                <w:highlight w:val="none"/>
              </w:rPr>
              <w:t>扣分标准：每低1%扣1分；每高1%扣1</w:t>
            </w:r>
            <w:r>
              <w:rPr>
                <w:rFonts w:hint="eastAsia" w:ascii="宋体" w:hAnsi="宋体"/>
                <w:color w:val="auto"/>
                <w:szCs w:val="21"/>
                <w:highlight w:val="none"/>
                <w:lang w:val="en-US" w:eastAsia="zh-CN"/>
              </w:rPr>
              <w:t>.</w:t>
            </w:r>
            <w:r>
              <w:rPr>
                <w:rFonts w:hint="eastAsia" w:ascii="宋体" w:hAnsi="宋体"/>
                <w:color w:val="auto"/>
                <w:szCs w:val="21"/>
                <w:highlight w:val="none"/>
              </w:rPr>
              <w:t>5分。</w:t>
            </w:r>
            <w:r>
              <w:rPr>
                <w:rFonts w:hint="eastAsia" w:ascii="宋体" w:hAnsi="宋体"/>
                <w:color w:val="auto"/>
                <w:szCs w:val="21"/>
                <w:highlight w:val="none"/>
              </w:rPr>
              <w:br w:type="textWrapping"/>
            </w:r>
            <w:r>
              <w:rPr>
                <w:rFonts w:hint="eastAsia" w:ascii="宋体" w:hAnsi="宋体"/>
                <w:color w:val="auto"/>
                <w:szCs w:val="21"/>
                <w:highlight w:val="none"/>
              </w:rPr>
              <w:t>注：中间值采用插入法计算，小数点后保留两位。</w:t>
            </w:r>
          </w:p>
        </w:tc>
      </w:tr>
      <w:tr w14:paraId="2097C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800" w:type="dxa"/>
            <w:gridSpan w:val="2"/>
            <w:vAlign w:val="center"/>
          </w:tcPr>
          <w:p w14:paraId="05DC3ACE">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b/>
                <w:color w:val="auto"/>
                <w:szCs w:val="21"/>
                <w:highlight w:val="none"/>
              </w:rPr>
            </w:pPr>
            <w:r>
              <w:rPr>
                <w:rFonts w:hint="eastAsia" w:ascii="宋体" w:hAnsi="宋体"/>
                <w:b/>
                <w:color w:val="auto"/>
                <w:szCs w:val="21"/>
                <w:highlight w:val="none"/>
              </w:rPr>
              <w:t>条款号</w:t>
            </w:r>
          </w:p>
        </w:tc>
        <w:tc>
          <w:tcPr>
            <w:tcW w:w="2085" w:type="dxa"/>
            <w:vAlign w:val="center"/>
          </w:tcPr>
          <w:p w14:paraId="5B82FD95">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b/>
                <w:color w:val="auto"/>
                <w:szCs w:val="21"/>
                <w:highlight w:val="none"/>
              </w:rPr>
            </w:pPr>
            <w:r>
              <w:rPr>
                <w:rFonts w:hint="eastAsia" w:ascii="宋体" w:hAnsi="宋体"/>
                <w:b/>
                <w:color w:val="auto"/>
                <w:szCs w:val="21"/>
                <w:highlight w:val="none"/>
              </w:rPr>
              <w:t>评分因素</w:t>
            </w:r>
          </w:p>
        </w:tc>
        <w:tc>
          <w:tcPr>
            <w:tcW w:w="935" w:type="dxa"/>
            <w:gridSpan w:val="2"/>
            <w:vAlign w:val="center"/>
          </w:tcPr>
          <w:p w14:paraId="3D593AF4">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b/>
                <w:color w:val="auto"/>
                <w:szCs w:val="21"/>
                <w:highlight w:val="none"/>
              </w:rPr>
            </w:pPr>
            <w:r>
              <w:rPr>
                <w:rFonts w:hint="eastAsia" w:ascii="宋体" w:hAnsi="宋体"/>
                <w:b/>
                <w:color w:val="auto"/>
                <w:szCs w:val="21"/>
                <w:highlight w:val="none"/>
              </w:rPr>
              <w:t>标准分</w:t>
            </w:r>
          </w:p>
        </w:tc>
        <w:tc>
          <w:tcPr>
            <w:tcW w:w="4111" w:type="dxa"/>
            <w:vAlign w:val="center"/>
          </w:tcPr>
          <w:p w14:paraId="35171F93">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b/>
                <w:color w:val="auto"/>
                <w:szCs w:val="21"/>
                <w:highlight w:val="none"/>
              </w:rPr>
            </w:pPr>
            <w:r>
              <w:rPr>
                <w:rFonts w:hint="eastAsia" w:ascii="宋体" w:hAnsi="宋体"/>
                <w:b/>
                <w:color w:val="auto"/>
                <w:szCs w:val="21"/>
                <w:highlight w:val="none"/>
              </w:rPr>
              <w:t>评分标准</w:t>
            </w:r>
          </w:p>
        </w:tc>
      </w:tr>
      <w:bookmarkEnd w:id="429"/>
      <w:bookmarkEnd w:id="430"/>
      <w:tr w14:paraId="4D07F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Align w:val="center"/>
          </w:tcPr>
          <w:p w14:paraId="407A9541">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b w:val="0"/>
                <w:i w:val="0"/>
                <w:color w:val="auto"/>
                <w:szCs w:val="21"/>
                <w:highlight w:val="none"/>
                <w:u w:val="none" w:color="auto"/>
              </w:rPr>
              <w:t>2.2.4</w:t>
            </w:r>
            <w:r>
              <w:rPr>
                <w:rFonts w:hint="eastAsia"/>
                <w:b w:val="0"/>
                <w:i w:val="0"/>
                <w:color w:val="auto"/>
                <w:szCs w:val="21"/>
                <w:highlight w:val="none"/>
                <w:u w:val="none" w:color="auto"/>
                <w:lang w:eastAsia="zh-CN"/>
              </w:rPr>
              <w:t>(</w:t>
            </w:r>
            <w:r>
              <w:rPr>
                <w:rFonts w:hint="eastAsia"/>
                <w:b w:val="0"/>
                <w:i w:val="0"/>
                <w:color w:val="auto"/>
                <w:szCs w:val="21"/>
                <w:highlight w:val="none"/>
                <w:u w:val="none" w:color="auto"/>
              </w:rPr>
              <w:t>1</w:t>
            </w:r>
            <w:r>
              <w:rPr>
                <w:rFonts w:hint="eastAsia"/>
                <w:b w:val="0"/>
                <w:i w:val="0"/>
                <w:color w:val="auto"/>
                <w:szCs w:val="21"/>
                <w:highlight w:val="none"/>
                <w:u w:val="none" w:color="auto"/>
                <w:lang w:eastAsia="zh-CN"/>
              </w:rPr>
              <w:t>)</w:t>
            </w:r>
          </w:p>
        </w:tc>
        <w:tc>
          <w:tcPr>
            <w:tcW w:w="1059" w:type="dxa"/>
            <w:vAlign w:val="center"/>
          </w:tcPr>
          <w:p w14:paraId="6FE31999">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经济标评分标准</w:t>
            </w:r>
          </w:p>
        </w:tc>
        <w:tc>
          <w:tcPr>
            <w:tcW w:w="2085" w:type="dxa"/>
            <w:vAlign w:val="center"/>
          </w:tcPr>
          <w:p w14:paraId="7CCF42C5">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ascii="宋体" w:hAnsi="宋体" w:eastAsia="宋体" w:cs="宋体"/>
                <w:b w:val="0"/>
                <w:i w:val="0"/>
                <w:color w:val="auto"/>
                <w:highlight w:val="none"/>
                <w:u w:val="none" w:color="auto"/>
              </w:rPr>
              <w:t>投标报价</w:t>
            </w:r>
          </w:p>
        </w:tc>
        <w:tc>
          <w:tcPr>
            <w:tcW w:w="935" w:type="dxa"/>
            <w:gridSpan w:val="2"/>
            <w:vAlign w:val="center"/>
          </w:tcPr>
          <w:p w14:paraId="67FC25BE">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60</w:t>
            </w:r>
          </w:p>
        </w:tc>
        <w:tc>
          <w:tcPr>
            <w:tcW w:w="4111" w:type="dxa"/>
            <w:vAlign w:val="center"/>
          </w:tcPr>
          <w:p w14:paraId="1C99BB03">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left"/>
              <w:textAlignment w:val="auto"/>
              <w:rPr>
                <w:color w:val="auto"/>
                <w:highlight w:val="none"/>
              </w:rPr>
            </w:pPr>
            <w:r>
              <w:rPr>
                <w:rFonts w:hint="eastAsia" w:ascii="宋体" w:hAnsi="宋体" w:eastAsia="宋体" w:cs="宋体"/>
                <w:b w:val="0"/>
                <w:bCs/>
                <w:i w:val="0"/>
                <w:color w:val="auto"/>
                <w:szCs w:val="21"/>
                <w:highlight w:val="none"/>
                <w:u w:val="none" w:color="auto"/>
              </w:rPr>
              <w:t>F＝60-（投标人评标价</w:t>
            </w:r>
            <w:r>
              <w:rPr>
                <w:rFonts w:hint="eastAsia" w:ascii="宋体" w:hAnsi="宋体" w:cs="宋体"/>
                <w:b w:val="0"/>
                <w:bCs/>
                <w:i w:val="0"/>
                <w:color w:val="auto"/>
                <w:szCs w:val="21"/>
                <w:highlight w:val="none"/>
                <w:u w:val="none" w:color="auto"/>
                <w:lang w:eastAsia="zh-CN"/>
              </w:rPr>
              <w:t>－</w:t>
            </w:r>
            <w:r>
              <w:rPr>
                <w:rFonts w:hint="eastAsia" w:ascii="宋体" w:hAnsi="宋体" w:eastAsia="宋体" w:cs="宋体"/>
                <w:b w:val="0"/>
                <w:bCs/>
                <w:i w:val="0"/>
                <w:color w:val="auto"/>
                <w:szCs w:val="21"/>
                <w:highlight w:val="none"/>
                <w:u w:val="none" w:color="auto"/>
              </w:rPr>
              <w:t>评标基准价）÷评标基准价×100×</w:t>
            </w:r>
            <w:r>
              <w:rPr>
                <w:rFonts w:hint="eastAsia" w:ascii="宋体" w:hAnsi="宋体"/>
                <w:color w:val="auto"/>
                <w:szCs w:val="21"/>
                <w:highlight w:val="none"/>
              </w:rPr>
              <w:t>1</w:t>
            </w:r>
            <w:r>
              <w:rPr>
                <w:rFonts w:hint="eastAsia" w:ascii="宋体" w:hAnsi="宋体"/>
                <w:color w:val="auto"/>
                <w:szCs w:val="21"/>
                <w:highlight w:val="none"/>
                <w:lang w:val="en-US" w:eastAsia="zh-CN"/>
              </w:rPr>
              <w:t>.</w:t>
            </w:r>
            <w:r>
              <w:rPr>
                <w:rFonts w:hint="eastAsia" w:ascii="宋体" w:hAnsi="宋体"/>
                <w:color w:val="auto"/>
                <w:szCs w:val="21"/>
                <w:highlight w:val="none"/>
              </w:rPr>
              <w:t>5</w:t>
            </w:r>
            <w:r>
              <w:rPr>
                <w:rFonts w:hint="eastAsia" w:ascii="宋体" w:hAnsi="宋体" w:eastAsia="宋体" w:cs="宋体"/>
                <w:b w:val="0"/>
                <w:bCs/>
                <w:i w:val="0"/>
                <w:color w:val="auto"/>
                <w:szCs w:val="21"/>
                <w:highlight w:val="none"/>
                <w:u w:val="none" w:color="auto"/>
              </w:rPr>
              <w:t>（评标价＞基准价时）</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F＝60-（评标基准价</w:t>
            </w:r>
            <w:r>
              <w:rPr>
                <w:rFonts w:hint="eastAsia" w:ascii="宋体" w:hAnsi="宋体" w:cs="宋体"/>
                <w:b w:val="0"/>
                <w:bCs/>
                <w:i w:val="0"/>
                <w:color w:val="auto"/>
                <w:szCs w:val="21"/>
                <w:highlight w:val="none"/>
                <w:u w:val="none" w:color="auto"/>
                <w:lang w:eastAsia="zh-CN"/>
              </w:rPr>
              <w:t>－</w:t>
            </w:r>
            <w:r>
              <w:rPr>
                <w:rFonts w:hint="eastAsia" w:ascii="宋体" w:hAnsi="宋体" w:eastAsia="宋体" w:cs="宋体"/>
                <w:b w:val="0"/>
                <w:bCs/>
                <w:i w:val="0"/>
                <w:color w:val="auto"/>
                <w:szCs w:val="21"/>
                <w:highlight w:val="none"/>
                <w:u w:val="none" w:color="auto"/>
              </w:rPr>
              <w:t>投标人评标价）÷评标基准价×100×</w:t>
            </w:r>
            <w:r>
              <w:rPr>
                <w:rFonts w:hint="eastAsia" w:ascii="宋体" w:hAnsi="宋体"/>
                <w:color w:val="auto"/>
                <w:szCs w:val="21"/>
                <w:highlight w:val="none"/>
              </w:rPr>
              <w:t>1</w:t>
            </w:r>
            <w:r>
              <w:rPr>
                <w:rFonts w:hint="eastAsia" w:ascii="宋体" w:hAnsi="宋体" w:eastAsia="宋体" w:cs="宋体"/>
                <w:b w:val="0"/>
                <w:bCs/>
                <w:i w:val="0"/>
                <w:color w:val="auto"/>
                <w:szCs w:val="21"/>
                <w:highlight w:val="none"/>
                <w:u w:val="none" w:color="auto"/>
              </w:rPr>
              <w:t>（评标价≤基准价时）</w:t>
            </w:r>
          </w:p>
        </w:tc>
      </w:tr>
      <w:tr w14:paraId="2878F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41" w:type="dxa"/>
            <w:vMerge w:val="restart"/>
            <w:vAlign w:val="center"/>
          </w:tcPr>
          <w:p w14:paraId="2D73681B">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b w:val="0"/>
                <w:i w:val="0"/>
                <w:color w:val="auto"/>
                <w:szCs w:val="21"/>
                <w:highlight w:val="none"/>
                <w:u w:val="none" w:color="auto"/>
              </w:rPr>
              <w:t>2.2.4</w:t>
            </w:r>
            <w:r>
              <w:rPr>
                <w:rFonts w:hint="eastAsia"/>
                <w:b w:val="0"/>
                <w:i w:val="0"/>
                <w:color w:val="auto"/>
                <w:szCs w:val="21"/>
                <w:highlight w:val="none"/>
                <w:u w:val="none" w:color="auto"/>
                <w:lang w:eastAsia="zh-CN"/>
              </w:rPr>
              <w:t>(</w:t>
            </w:r>
            <w:r>
              <w:rPr>
                <w:rFonts w:hint="eastAsia"/>
                <w:b w:val="0"/>
                <w:i w:val="0"/>
                <w:color w:val="auto"/>
                <w:szCs w:val="21"/>
                <w:highlight w:val="none"/>
                <w:u w:val="none" w:color="auto"/>
              </w:rPr>
              <w:t>2</w:t>
            </w:r>
            <w:r>
              <w:rPr>
                <w:rFonts w:hint="eastAsia"/>
                <w:b w:val="0"/>
                <w:i w:val="0"/>
                <w:color w:val="auto"/>
                <w:szCs w:val="21"/>
                <w:highlight w:val="none"/>
                <w:u w:val="none" w:color="auto"/>
                <w:lang w:eastAsia="zh-CN"/>
              </w:rPr>
              <w:t>)</w:t>
            </w:r>
          </w:p>
        </w:tc>
        <w:tc>
          <w:tcPr>
            <w:tcW w:w="1059" w:type="dxa"/>
            <w:vMerge w:val="restart"/>
            <w:vAlign w:val="center"/>
          </w:tcPr>
          <w:p w14:paraId="65488E56">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6C36040F">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ascii="宋体" w:hAnsi="宋体"/>
                <w:color w:val="auto"/>
                <w:szCs w:val="21"/>
                <w:highlight w:val="none"/>
              </w:rPr>
            </w:pPr>
            <w:r>
              <w:rPr>
                <w:rStyle w:val="20"/>
                <w:rFonts w:ascii="宋体" w:hAnsi="宋体" w:eastAsia="宋体" w:cs="宋体"/>
                <w:b w:val="0"/>
                <w:color w:val="auto"/>
                <w:sz w:val="21"/>
                <w:szCs w:val="24"/>
              </w:rPr>
              <w:t>管理架构</w:t>
            </w:r>
          </w:p>
        </w:tc>
        <w:tc>
          <w:tcPr>
            <w:tcW w:w="935" w:type="dxa"/>
            <w:gridSpan w:val="2"/>
            <w:vAlign w:val="center"/>
          </w:tcPr>
          <w:p w14:paraId="5599F598">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宋体" w:hAnsi="宋体" w:eastAsia="宋体"/>
                <w:color w:val="auto"/>
                <w:szCs w:val="44"/>
                <w:highlight w:val="none"/>
                <w:lang w:val="en-US" w:eastAsia="zh-CN"/>
              </w:rPr>
            </w:pPr>
            <w:r>
              <w:rPr>
                <w:rFonts w:hint="eastAsia" w:ascii="宋体" w:hAnsi="宋体" w:cs="宋体"/>
                <w:b w:val="0"/>
                <w:bCs/>
                <w:i w:val="0"/>
                <w:color w:val="auto"/>
                <w:sz w:val="21"/>
                <w:szCs w:val="21"/>
                <w:highlight w:val="none"/>
                <w:u w:val="none" w:color="auto"/>
                <w:lang w:val="en-US" w:eastAsia="zh-CN"/>
              </w:rPr>
              <w:t>2</w:t>
            </w:r>
          </w:p>
        </w:tc>
        <w:tc>
          <w:tcPr>
            <w:tcW w:w="4111" w:type="dxa"/>
            <w:vAlign w:val="center"/>
          </w:tcPr>
          <w:p w14:paraId="6DF79C05">
            <w:pPr>
              <w:pStyle w:val="54"/>
              <w:jc w:val="left"/>
              <w:rPr>
                <w:rStyle w:val="20"/>
                <w:rFonts w:ascii="宋体" w:hAnsi="宋体" w:eastAsia="宋体" w:cs="宋体"/>
                <w:b w:val="0"/>
                <w:color w:val="auto"/>
                <w:sz w:val="21"/>
                <w:szCs w:val="24"/>
              </w:rPr>
            </w:pPr>
            <w:r>
              <w:rPr>
                <w:rStyle w:val="20"/>
                <w:rFonts w:ascii="宋体" w:hAnsi="宋体" w:eastAsia="宋体" w:cs="宋体"/>
                <w:b w:val="0"/>
                <w:color w:val="auto"/>
                <w:sz w:val="21"/>
                <w:szCs w:val="24"/>
              </w:rPr>
              <w:t>1.组织架构科学合理、管理职责明确、配备岗位充足齐全、责任清晰、优于施工管理需要，得</w:t>
            </w:r>
            <w:r>
              <w:rPr>
                <w:rStyle w:val="20"/>
                <w:rFonts w:hint="eastAsia" w:ascii="宋体" w:hAnsi="宋体" w:eastAsia="宋体" w:cs="宋体"/>
                <w:b w:val="0"/>
                <w:color w:val="auto"/>
                <w:sz w:val="21"/>
                <w:szCs w:val="24"/>
                <w:lang w:val="en-US" w:eastAsia="zh-CN"/>
              </w:rPr>
              <w:t>2</w:t>
            </w:r>
            <w:r>
              <w:rPr>
                <w:rStyle w:val="20"/>
                <w:rFonts w:ascii="宋体" w:hAnsi="宋体" w:eastAsia="宋体" w:cs="宋体"/>
                <w:b w:val="0"/>
                <w:color w:val="auto"/>
                <w:sz w:val="21"/>
                <w:szCs w:val="24"/>
              </w:rPr>
              <w:t>分。</w:t>
            </w:r>
          </w:p>
          <w:p w14:paraId="3BC09413">
            <w:pPr>
              <w:pStyle w:val="54"/>
              <w:jc w:val="left"/>
              <w:rPr>
                <w:rStyle w:val="20"/>
                <w:rFonts w:ascii="宋体" w:hAnsi="宋体" w:eastAsia="宋体" w:cs="宋体"/>
                <w:b w:val="0"/>
                <w:color w:val="auto"/>
                <w:sz w:val="21"/>
                <w:szCs w:val="24"/>
              </w:rPr>
            </w:pPr>
            <w:r>
              <w:rPr>
                <w:rStyle w:val="20"/>
                <w:rFonts w:ascii="宋体" w:hAnsi="宋体" w:eastAsia="宋体" w:cs="宋体"/>
                <w:b w:val="0"/>
                <w:color w:val="auto"/>
                <w:sz w:val="21"/>
                <w:szCs w:val="24"/>
              </w:rPr>
              <w:t>2.组织架构合理、管理职责较明确，配备岗位基本符合需求、基本满足施工管理需要，得</w:t>
            </w:r>
            <w:r>
              <w:rPr>
                <w:rStyle w:val="20"/>
                <w:rFonts w:hint="eastAsia" w:ascii="宋体" w:hAnsi="宋体" w:eastAsia="宋体" w:cs="宋体"/>
                <w:b w:val="0"/>
                <w:color w:val="auto"/>
                <w:sz w:val="21"/>
                <w:szCs w:val="24"/>
                <w:lang w:val="en-US" w:eastAsia="zh-CN"/>
              </w:rPr>
              <w:t>1</w:t>
            </w:r>
            <w:r>
              <w:rPr>
                <w:rStyle w:val="20"/>
                <w:rFonts w:ascii="宋体" w:hAnsi="宋体" w:eastAsia="宋体" w:cs="宋体"/>
                <w:b w:val="0"/>
                <w:color w:val="auto"/>
                <w:sz w:val="21"/>
                <w:szCs w:val="24"/>
              </w:rPr>
              <w:t>分。</w:t>
            </w:r>
          </w:p>
          <w:p w14:paraId="2BDB431B">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both"/>
              <w:textAlignment w:val="auto"/>
              <w:rPr>
                <w:color w:val="auto"/>
                <w:highlight w:val="none"/>
              </w:rPr>
            </w:pPr>
            <w:r>
              <w:rPr>
                <w:rStyle w:val="20"/>
                <w:rFonts w:ascii="宋体" w:hAnsi="宋体" w:eastAsia="宋体" w:cs="宋体"/>
                <w:b w:val="0"/>
                <w:color w:val="auto"/>
                <w:sz w:val="21"/>
                <w:szCs w:val="24"/>
              </w:rPr>
              <w:t>3.无管理架构内容不得分。</w:t>
            </w:r>
          </w:p>
        </w:tc>
      </w:tr>
      <w:tr w14:paraId="2E040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6E634BCB">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b w:val="0"/>
                <w:i w:val="0"/>
                <w:color w:val="auto"/>
                <w:szCs w:val="21"/>
                <w:highlight w:val="none"/>
                <w:u w:val="none" w:color="auto"/>
              </w:rPr>
              <w:t>2.2.4</w:t>
            </w:r>
            <w:r>
              <w:rPr>
                <w:rFonts w:hint="eastAsia"/>
                <w:b w:val="0"/>
                <w:i w:val="0"/>
                <w:color w:val="auto"/>
                <w:szCs w:val="21"/>
                <w:highlight w:val="none"/>
                <w:u w:val="none" w:color="auto"/>
                <w:lang w:eastAsia="zh-CN"/>
              </w:rPr>
              <w:t>(</w:t>
            </w:r>
            <w:r>
              <w:rPr>
                <w:rFonts w:hint="eastAsia"/>
                <w:b w:val="0"/>
                <w:i w:val="0"/>
                <w:color w:val="auto"/>
                <w:szCs w:val="21"/>
                <w:highlight w:val="none"/>
                <w:u w:val="none" w:color="auto"/>
              </w:rPr>
              <w:t>2</w:t>
            </w:r>
            <w:r>
              <w:rPr>
                <w:rFonts w:hint="eastAsia"/>
                <w:b w:val="0"/>
                <w:i w:val="0"/>
                <w:color w:val="auto"/>
                <w:szCs w:val="21"/>
                <w:highlight w:val="none"/>
                <w:u w:val="none" w:color="auto"/>
                <w:lang w:eastAsia="zh-CN"/>
              </w:rPr>
              <w:t>)</w:t>
            </w:r>
          </w:p>
        </w:tc>
        <w:tc>
          <w:tcPr>
            <w:tcW w:w="1059" w:type="dxa"/>
            <w:vMerge w:val="continue"/>
            <w:vAlign w:val="center"/>
          </w:tcPr>
          <w:p w14:paraId="6F26CA4D">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1E73DB05">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ascii="宋体" w:hAnsi="宋体"/>
                <w:color w:val="auto"/>
                <w:szCs w:val="21"/>
                <w:highlight w:val="none"/>
              </w:rPr>
            </w:pPr>
            <w:r>
              <w:rPr>
                <w:rStyle w:val="20"/>
                <w:rFonts w:ascii="宋体" w:hAnsi="宋体" w:eastAsia="宋体" w:cs="宋体"/>
                <w:b w:val="0"/>
                <w:color w:val="auto"/>
                <w:sz w:val="21"/>
                <w:szCs w:val="24"/>
              </w:rPr>
              <w:t>施工机械设备投入</w:t>
            </w:r>
          </w:p>
        </w:tc>
        <w:tc>
          <w:tcPr>
            <w:tcW w:w="935" w:type="dxa"/>
            <w:gridSpan w:val="2"/>
            <w:vAlign w:val="center"/>
          </w:tcPr>
          <w:p w14:paraId="151FE19D">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宋体" w:hAnsi="宋体" w:eastAsia="宋体"/>
                <w:color w:val="auto"/>
                <w:szCs w:val="44"/>
                <w:highlight w:val="none"/>
                <w:lang w:val="en-US" w:eastAsia="zh-CN"/>
              </w:rPr>
            </w:pPr>
            <w:r>
              <w:rPr>
                <w:rFonts w:hint="eastAsia" w:ascii="宋体" w:hAnsi="宋体"/>
                <w:color w:val="auto"/>
                <w:szCs w:val="44"/>
                <w:highlight w:val="none"/>
                <w:lang w:val="en-US" w:eastAsia="zh-CN"/>
              </w:rPr>
              <w:t>2</w:t>
            </w:r>
          </w:p>
        </w:tc>
        <w:tc>
          <w:tcPr>
            <w:tcW w:w="4111" w:type="dxa"/>
            <w:vAlign w:val="center"/>
          </w:tcPr>
          <w:p w14:paraId="1FF57D26">
            <w:pPr>
              <w:pStyle w:val="54"/>
              <w:jc w:val="left"/>
              <w:rPr>
                <w:rStyle w:val="20"/>
                <w:rFonts w:ascii="宋体" w:hAnsi="宋体" w:eastAsia="宋体" w:cs="宋体"/>
                <w:b w:val="0"/>
                <w:color w:val="auto"/>
                <w:sz w:val="21"/>
                <w:szCs w:val="24"/>
              </w:rPr>
            </w:pPr>
            <w:r>
              <w:rPr>
                <w:rStyle w:val="20"/>
                <w:rFonts w:ascii="宋体" w:hAnsi="宋体" w:eastAsia="宋体" w:cs="宋体"/>
                <w:b w:val="0"/>
                <w:color w:val="auto"/>
                <w:sz w:val="21"/>
                <w:szCs w:val="24"/>
              </w:rPr>
              <w:t>1.设备投入计划与项目结合紧密，设备投入种类齐全，施工机械数量完全满足进度要求，设备投入计划完整，且与进度计划相协调，完全满足本项目施工需要，得</w:t>
            </w:r>
            <w:r>
              <w:rPr>
                <w:rStyle w:val="20"/>
                <w:rFonts w:hint="eastAsia" w:ascii="宋体" w:hAnsi="宋体" w:eastAsia="宋体" w:cs="宋体"/>
                <w:b w:val="0"/>
                <w:color w:val="auto"/>
                <w:sz w:val="21"/>
                <w:szCs w:val="24"/>
                <w:lang w:val="en-US" w:eastAsia="zh-CN"/>
              </w:rPr>
              <w:t>2</w:t>
            </w:r>
            <w:r>
              <w:rPr>
                <w:rStyle w:val="20"/>
                <w:rFonts w:ascii="宋体" w:hAnsi="宋体" w:eastAsia="宋体" w:cs="宋体"/>
                <w:b w:val="0"/>
                <w:color w:val="auto"/>
                <w:sz w:val="21"/>
                <w:szCs w:val="24"/>
              </w:rPr>
              <w:t>分。</w:t>
            </w:r>
          </w:p>
          <w:p w14:paraId="4295853F">
            <w:pPr>
              <w:pStyle w:val="54"/>
              <w:jc w:val="left"/>
              <w:rPr>
                <w:rStyle w:val="20"/>
                <w:rFonts w:ascii="宋体" w:hAnsi="宋体" w:eastAsia="宋体" w:cs="宋体"/>
                <w:b w:val="0"/>
                <w:color w:val="auto"/>
                <w:sz w:val="21"/>
                <w:szCs w:val="24"/>
              </w:rPr>
            </w:pPr>
            <w:r>
              <w:rPr>
                <w:rStyle w:val="20"/>
                <w:rFonts w:ascii="宋体" w:hAnsi="宋体" w:eastAsia="宋体" w:cs="宋体"/>
                <w:b w:val="0"/>
                <w:color w:val="auto"/>
                <w:sz w:val="21"/>
                <w:szCs w:val="24"/>
              </w:rPr>
              <w:t>2.设备投入计划合理，基本满足施工需要，得</w:t>
            </w:r>
            <w:r>
              <w:rPr>
                <w:rStyle w:val="20"/>
                <w:rFonts w:hint="eastAsia" w:ascii="宋体" w:hAnsi="宋体" w:eastAsia="宋体" w:cs="宋体"/>
                <w:b w:val="0"/>
                <w:color w:val="auto"/>
                <w:sz w:val="21"/>
                <w:szCs w:val="24"/>
                <w:lang w:val="en-US" w:eastAsia="zh-CN"/>
              </w:rPr>
              <w:t>1</w:t>
            </w:r>
            <w:r>
              <w:rPr>
                <w:rStyle w:val="20"/>
                <w:rFonts w:ascii="宋体" w:hAnsi="宋体" w:eastAsia="宋体" w:cs="宋体"/>
                <w:b w:val="0"/>
                <w:color w:val="auto"/>
                <w:sz w:val="21"/>
                <w:szCs w:val="24"/>
              </w:rPr>
              <w:t xml:space="preserve">分。 </w:t>
            </w:r>
          </w:p>
          <w:p w14:paraId="0D88AC05">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both"/>
              <w:textAlignment w:val="auto"/>
              <w:rPr>
                <w:color w:val="auto"/>
                <w:highlight w:val="none"/>
              </w:rPr>
            </w:pPr>
            <w:r>
              <w:rPr>
                <w:rStyle w:val="20"/>
                <w:rFonts w:ascii="宋体" w:hAnsi="宋体" w:eastAsia="宋体" w:cs="宋体"/>
                <w:b w:val="0"/>
                <w:color w:val="auto"/>
                <w:sz w:val="21"/>
                <w:szCs w:val="24"/>
              </w:rPr>
              <w:t>3.无设备投入计划不得分。</w:t>
            </w:r>
          </w:p>
        </w:tc>
      </w:tr>
      <w:tr w14:paraId="7E899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5989F565">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b w:val="0"/>
                <w:i w:val="0"/>
                <w:color w:val="auto"/>
                <w:szCs w:val="21"/>
                <w:highlight w:val="none"/>
                <w:u w:val="none" w:color="auto"/>
              </w:rPr>
              <w:t>2.2.4</w:t>
            </w:r>
            <w:r>
              <w:rPr>
                <w:rFonts w:hint="eastAsia"/>
                <w:b w:val="0"/>
                <w:i w:val="0"/>
                <w:color w:val="auto"/>
                <w:szCs w:val="21"/>
                <w:highlight w:val="none"/>
                <w:u w:val="none" w:color="auto"/>
                <w:lang w:eastAsia="zh-CN"/>
              </w:rPr>
              <w:t>(</w:t>
            </w:r>
            <w:r>
              <w:rPr>
                <w:rFonts w:hint="eastAsia"/>
                <w:b w:val="0"/>
                <w:i w:val="0"/>
                <w:color w:val="auto"/>
                <w:szCs w:val="21"/>
                <w:highlight w:val="none"/>
                <w:u w:val="none" w:color="auto"/>
              </w:rPr>
              <w:t>2</w:t>
            </w:r>
            <w:r>
              <w:rPr>
                <w:rFonts w:hint="eastAsia"/>
                <w:b w:val="0"/>
                <w:i w:val="0"/>
                <w:color w:val="auto"/>
                <w:szCs w:val="21"/>
                <w:highlight w:val="none"/>
                <w:u w:val="none" w:color="auto"/>
                <w:lang w:eastAsia="zh-CN"/>
              </w:rPr>
              <w:t>)</w:t>
            </w:r>
          </w:p>
        </w:tc>
        <w:tc>
          <w:tcPr>
            <w:tcW w:w="1059" w:type="dxa"/>
            <w:vMerge w:val="continue"/>
            <w:vAlign w:val="center"/>
          </w:tcPr>
          <w:p w14:paraId="25AE528E">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2B56EA63">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ascii="宋体" w:hAnsi="宋体"/>
                <w:color w:val="auto"/>
                <w:szCs w:val="21"/>
                <w:highlight w:val="none"/>
              </w:rPr>
            </w:pPr>
            <w:r>
              <w:rPr>
                <w:rStyle w:val="20"/>
                <w:rFonts w:ascii="宋体" w:hAnsi="宋体" w:eastAsia="宋体" w:cs="宋体"/>
                <w:b w:val="0"/>
                <w:color w:val="auto"/>
                <w:sz w:val="21"/>
                <w:szCs w:val="24"/>
              </w:rPr>
              <w:t>施工技术方案</w:t>
            </w:r>
          </w:p>
        </w:tc>
        <w:tc>
          <w:tcPr>
            <w:tcW w:w="935" w:type="dxa"/>
            <w:gridSpan w:val="2"/>
            <w:vAlign w:val="center"/>
          </w:tcPr>
          <w:p w14:paraId="2CFC84F3">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宋体" w:hAnsi="宋体" w:eastAsia="宋体"/>
                <w:color w:val="auto"/>
                <w:szCs w:val="44"/>
                <w:highlight w:val="none"/>
                <w:lang w:eastAsia="zh-CN"/>
              </w:rPr>
            </w:pPr>
            <w:r>
              <w:rPr>
                <w:rFonts w:hint="eastAsia" w:ascii="宋体" w:hAnsi="宋体" w:cs="宋体"/>
                <w:b w:val="0"/>
                <w:bCs/>
                <w:i w:val="0"/>
                <w:color w:val="auto"/>
                <w:sz w:val="21"/>
                <w:szCs w:val="21"/>
                <w:highlight w:val="none"/>
                <w:u w:val="none" w:color="auto"/>
                <w:lang w:val="en-US" w:eastAsia="zh-CN"/>
              </w:rPr>
              <w:t>2</w:t>
            </w:r>
          </w:p>
        </w:tc>
        <w:tc>
          <w:tcPr>
            <w:tcW w:w="4111" w:type="dxa"/>
            <w:vAlign w:val="center"/>
          </w:tcPr>
          <w:p w14:paraId="752C6628">
            <w:pPr>
              <w:pStyle w:val="54"/>
              <w:jc w:val="left"/>
              <w:rPr>
                <w:rStyle w:val="20"/>
                <w:rFonts w:ascii="宋体" w:hAnsi="宋体" w:eastAsia="宋体" w:cs="宋体"/>
                <w:b w:val="0"/>
                <w:color w:val="auto"/>
                <w:sz w:val="21"/>
                <w:szCs w:val="24"/>
              </w:rPr>
            </w:pPr>
            <w:r>
              <w:rPr>
                <w:rStyle w:val="20"/>
                <w:rFonts w:ascii="宋体" w:hAnsi="宋体" w:eastAsia="宋体" w:cs="宋体"/>
                <w:b w:val="0"/>
                <w:color w:val="auto"/>
                <w:sz w:val="21"/>
                <w:szCs w:val="24"/>
              </w:rPr>
              <w:t>1.内容满足相关规范、标准，主要技术要点论述非常全面、详尽、合理，技术措施完善科学合理，得</w:t>
            </w:r>
            <w:r>
              <w:rPr>
                <w:rStyle w:val="20"/>
                <w:rFonts w:hint="eastAsia" w:ascii="宋体" w:hAnsi="宋体" w:eastAsia="宋体" w:cs="宋体"/>
                <w:b w:val="0"/>
                <w:color w:val="auto"/>
                <w:sz w:val="21"/>
                <w:szCs w:val="24"/>
                <w:lang w:val="en-US" w:eastAsia="zh-CN"/>
              </w:rPr>
              <w:t>2</w:t>
            </w:r>
            <w:r>
              <w:rPr>
                <w:rStyle w:val="20"/>
                <w:rFonts w:ascii="宋体" w:hAnsi="宋体" w:eastAsia="宋体" w:cs="宋体"/>
                <w:b w:val="0"/>
                <w:color w:val="auto"/>
                <w:sz w:val="21"/>
                <w:szCs w:val="24"/>
              </w:rPr>
              <w:t>分。</w:t>
            </w:r>
          </w:p>
          <w:p w14:paraId="151B470B">
            <w:pPr>
              <w:pStyle w:val="54"/>
              <w:jc w:val="left"/>
              <w:rPr>
                <w:rStyle w:val="20"/>
                <w:rFonts w:ascii="宋体" w:hAnsi="宋体" w:eastAsia="宋体" w:cs="宋体"/>
                <w:b w:val="0"/>
                <w:color w:val="auto"/>
                <w:sz w:val="21"/>
                <w:szCs w:val="24"/>
              </w:rPr>
            </w:pPr>
            <w:r>
              <w:rPr>
                <w:rStyle w:val="20"/>
                <w:rFonts w:ascii="宋体" w:hAnsi="宋体" w:eastAsia="宋体" w:cs="宋体"/>
                <w:b w:val="0"/>
                <w:color w:val="auto"/>
                <w:sz w:val="21"/>
                <w:szCs w:val="24"/>
              </w:rPr>
              <w:t>2.内容基本能够满足相关规范、标准，主要技术要点论述基本全面，技术措施简略，得</w:t>
            </w:r>
            <w:r>
              <w:rPr>
                <w:rStyle w:val="20"/>
                <w:rFonts w:hint="eastAsia" w:ascii="宋体" w:hAnsi="宋体" w:eastAsia="宋体" w:cs="宋体"/>
                <w:b w:val="0"/>
                <w:color w:val="auto"/>
                <w:sz w:val="21"/>
                <w:szCs w:val="24"/>
                <w:lang w:val="en-US" w:eastAsia="zh-CN"/>
              </w:rPr>
              <w:t>1</w:t>
            </w:r>
            <w:r>
              <w:rPr>
                <w:rStyle w:val="20"/>
                <w:rFonts w:ascii="宋体" w:hAnsi="宋体" w:eastAsia="宋体" w:cs="宋体"/>
                <w:b w:val="0"/>
                <w:color w:val="auto"/>
                <w:sz w:val="21"/>
                <w:szCs w:val="24"/>
              </w:rPr>
              <w:t>分。</w:t>
            </w:r>
          </w:p>
          <w:p w14:paraId="1DC4487E">
            <w:pPr>
              <w:pStyle w:val="41"/>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textAlignment w:val="auto"/>
              <w:rPr>
                <w:color w:val="auto"/>
                <w:highlight w:val="none"/>
              </w:rPr>
            </w:pPr>
            <w:r>
              <w:rPr>
                <w:rStyle w:val="20"/>
                <w:rFonts w:ascii="宋体" w:hAnsi="宋体" w:eastAsia="宋体" w:cs="宋体"/>
                <w:b w:val="0"/>
                <w:color w:val="auto"/>
                <w:sz w:val="21"/>
                <w:szCs w:val="24"/>
              </w:rPr>
              <w:t>3.无技术方案不得分。</w:t>
            </w:r>
          </w:p>
        </w:tc>
      </w:tr>
      <w:tr w14:paraId="550B9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1C8F2E76">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b w:val="0"/>
                <w:i w:val="0"/>
                <w:color w:val="auto"/>
                <w:szCs w:val="21"/>
                <w:highlight w:val="none"/>
                <w:u w:val="none" w:color="auto"/>
              </w:rPr>
              <w:t>2.2.4</w:t>
            </w:r>
            <w:r>
              <w:rPr>
                <w:rFonts w:hint="eastAsia"/>
                <w:b w:val="0"/>
                <w:i w:val="0"/>
                <w:color w:val="auto"/>
                <w:szCs w:val="21"/>
                <w:highlight w:val="none"/>
                <w:u w:val="none" w:color="auto"/>
                <w:lang w:eastAsia="zh-CN"/>
              </w:rPr>
              <w:t>(</w:t>
            </w:r>
            <w:r>
              <w:rPr>
                <w:rFonts w:hint="eastAsia"/>
                <w:b w:val="0"/>
                <w:i w:val="0"/>
                <w:color w:val="auto"/>
                <w:szCs w:val="21"/>
                <w:highlight w:val="none"/>
                <w:u w:val="none" w:color="auto"/>
              </w:rPr>
              <w:t>2</w:t>
            </w:r>
            <w:r>
              <w:rPr>
                <w:rFonts w:hint="eastAsia"/>
                <w:b w:val="0"/>
                <w:i w:val="0"/>
                <w:color w:val="auto"/>
                <w:szCs w:val="21"/>
                <w:highlight w:val="none"/>
                <w:u w:val="none" w:color="auto"/>
                <w:lang w:eastAsia="zh-CN"/>
              </w:rPr>
              <w:t>)</w:t>
            </w:r>
          </w:p>
        </w:tc>
        <w:tc>
          <w:tcPr>
            <w:tcW w:w="1059" w:type="dxa"/>
            <w:vMerge w:val="continue"/>
            <w:vAlign w:val="center"/>
          </w:tcPr>
          <w:p w14:paraId="7F8A92B9">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293BBD81">
            <w:pPr>
              <w:pStyle w:val="54"/>
              <w:jc w:val="center"/>
              <w:rPr>
                <w:rFonts w:ascii="宋体" w:hAnsi="宋体"/>
                <w:color w:val="auto"/>
                <w:szCs w:val="21"/>
                <w:highlight w:val="none"/>
              </w:rPr>
            </w:pPr>
            <w:r>
              <w:rPr>
                <w:rStyle w:val="20"/>
                <w:rFonts w:ascii="宋体" w:hAnsi="宋体" w:eastAsia="宋体" w:cs="宋体"/>
                <w:b w:val="0"/>
                <w:color w:val="auto"/>
                <w:sz w:val="21"/>
                <w:szCs w:val="24"/>
              </w:rPr>
              <w:t>保证措施</w:t>
            </w:r>
          </w:p>
        </w:tc>
        <w:tc>
          <w:tcPr>
            <w:tcW w:w="935" w:type="dxa"/>
            <w:gridSpan w:val="2"/>
            <w:vAlign w:val="center"/>
          </w:tcPr>
          <w:p w14:paraId="32A9720B">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宋体" w:hAnsi="宋体" w:eastAsia="宋体"/>
                <w:color w:val="auto"/>
                <w:szCs w:val="44"/>
                <w:highlight w:val="none"/>
                <w:lang w:eastAsia="zh-CN"/>
              </w:rPr>
            </w:pPr>
            <w:r>
              <w:rPr>
                <w:rFonts w:hint="eastAsia" w:ascii="宋体" w:hAnsi="宋体" w:cs="宋体"/>
                <w:color w:val="auto"/>
                <w:spacing w:val="-10"/>
                <w:sz w:val="21"/>
                <w:szCs w:val="21"/>
                <w:lang w:val="en-US" w:eastAsia="zh-CN"/>
              </w:rPr>
              <w:t>2</w:t>
            </w:r>
          </w:p>
        </w:tc>
        <w:tc>
          <w:tcPr>
            <w:tcW w:w="4111" w:type="dxa"/>
            <w:vAlign w:val="center"/>
          </w:tcPr>
          <w:p w14:paraId="10B8533B">
            <w:pPr>
              <w:pStyle w:val="54"/>
              <w:jc w:val="left"/>
              <w:rPr>
                <w:rStyle w:val="20"/>
                <w:rFonts w:ascii="宋体" w:hAnsi="宋体" w:eastAsia="宋体" w:cs="宋体"/>
                <w:b w:val="0"/>
                <w:color w:val="auto"/>
                <w:sz w:val="21"/>
                <w:szCs w:val="24"/>
              </w:rPr>
            </w:pPr>
            <w:r>
              <w:rPr>
                <w:rStyle w:val="20"/>
                <w:rFonts w:ascii="宋体" w:hAnsi="宋体" w:eastAsia="宋体" w:cs="宋体"/>
                <w:b w:val="0"/>
                <w:color w:val="auto"/>
                <w:sz w:val="21"/>
                <w:szCs w:val="24"/>
              </w:rPr>
              <w:t>1.确保工程顺利通过施工验收的保证措施科学、合理、详细的</w:t>
            </w:r>
            <w:r>
              <w:rPr>
                <w:rStyle w:val="20"/>
                <w:rFonts w:hint="eastAsia" w:ascii="宋体" w:hAnsi="宋体" w:eastAsia="宋体" w:cs="宋体"/>
                <w:b w:val="0"/>
                <w:color w:val="auto"/>
                <w:sz w:val="21"/>
                <w:szCs w:val="24"/>
                <w:lang w:eastAsia="zh-CN"/>
              </w:rPr>
              <w:t>，</w:t>
            </w:r>
            <w:r>
              <w:rPr>
                <w:rStyle w:val="20"/>
                <w:rFonts w:ascii="宋体" w:hAnsi="宋体" w:eastAsia="宋体" w:cs="宋体"/>
                <w:b w:val="0"/>
                <w:color w:val="auto"/>
                <w:sz w:val="21"/>
                <w:szCs w:val="24"/>
              </w:rPr>
              <w:t>得</w:t>
            </w:r>
            <w:r>
              <w:rPr>
                <w:rStyle w:val="20"/>
                <w:rFonts w:hint="eastAsia" w:ascii="宋体" w:hAnsi="宋体" w:eastAsia="宋体" w:cs="宋体"/>
                <w:b w:val="0"/>
                <w:color w:val="auto"/>
                <w:sz w:val="21"/>
                <w:szCs w:val="24"/>
                <w:lang w:val="en-US" w:eastAsia="zh-CN"/>
              </w:rPr>
              <w:t>2</w:t>
            </w:r>
            <w:r>
              <w:rPr>
                <w:rStyle w:val="20"/>
                <w:rFonts w:ascii="宋体" w:hAnsi="宋体" w:eastAsia="宋体" w:cs="宋体"/>
                <w:b w:val="0"/>
                <w:color w:val="auto"/>
                <w:sz w:val="21"/>
                <w:szCs w:val="24"/>
              </w:rPr>
              <w:t>分。</w:t>
            </w:r>
          </w:p>
          <w:p w14:paraId="2B1DACCF">
            <w:pPr>
              <w:pStyle w:val="54"/>
              <w:jc w:val="left"/>
              <w:rPr>
                <w:rStyle w:val="20"/>
                <w:rFonts w:ascii="宋体" w:hAnsi="宋体" w:eastAsia="宋体" w:cs="宋体"/>
                <w:b w:val="0"/>
                <w:color w:val="auto"/>
                <w:sz w:val="21"/>
                <w:szCs w:val="24"/>
              </w:rPr>
            </w:pPr>
            <w:r>
              <w:rPr>
                <w:rStyle w:val="20"/>
                <w:rFonts w:ascii="宋体" w:hAnsi="宋体" w:eastAsia="宋体" w:cs="宋体"/>
                <w:b w:val="0"/>
                <w:color w:val="auto"/>
                <w:sz w:val="21"/>
                <w:szCs w:val="24"/>
              </w:rPr>
              <w:t>2.确保工程顺利通过施工验收的保证措施基本合理</w:t>
            </w:r>
            <w:r>
              <w:rPr>
                <w:rStyle w:val="20"/>
                <w:rFonts w:hint="eastAsia" w:ascii="宋体" w:hAnsi="宋体" w:eastAsia="宋体" w:cs="宋体"/>
                <w:b w:val="0"/>
                <w:color w:val="auto"/>
                <w:sz w:val="21"/>
                <w:szCs w:val="24"/>
                <w:lang w:eastAsia="zh-CN"/>
              </w:rPr>
              <w:t>，</w:t>
            </w:r>
            <w:r>
              <w:rPr>
                <w:rStyle w:val="20"/>
                <w:rFonts w:ascii="宋体" w:hAnsi="宋体" w:eastAsia="宋体" w:cs="宋体"/>
                <w:b w:val="0"/>
                <w:color w:val="auto"/>
                <w:sz w:val="21"/>
                <w:szCs w:val="24"/>
              </w:rPr>
              <w:t>得</w:t>
            </w:r>
            <w:r>
              <w:rPr>
                <w:rStyle w:val="20"/>
                <w:rFonts w:hint="eastAsia" w:ascii="宋体" w:hAnsi="宋体" w:eastAsia="宋体" w:cs="宋体"/>
                <w:b w:val="0"/>
                <w:color w:val="auto"/>
                <w:sz w:val="21"/>
                <w:szCs w:val="24"/>
                <w:lang w:val="en-US" w:eastAsia="zh-CN"/>
              </w:rPr>
              <w:t>1</w:t>
            </w:r>
            <w:r>
              <w:rPr>
                <w:rStyle w:val="20"/>
                <w:rFonts w:ascii="宋体" w:hAnsi="宋体" w:eastAsia="宋体" w:cs="宋体"/>
                <w:b w:val="0"/>
                <w:color w:val="auto"/>
                <w:sz w:val="21"/>
                <w:szCs w:val="24"/>
              </w:rPr>
              <w:t>分。</w:t>
            </w:r>
          </w:p>
          <w:p w14:paraId="70847E84">
            <w:pPr>
              <w:pStyle w:val="54"/>
              <w:jc w:val="left"/>
              <w:rPr>
                <w:color w:val="auto"/>
                <w:highlight w:val="none"/>
              </w:rPr>
            </w:pPr>
            <w:r>
              <w:rPr>
                <w:rStyle w:val="20"/>
                <w:rFonts w:ascii="宋体" w:hAnsi="宋体" w:eastAsia="宋体" w:cs="宋体"/>
                <w:b w:val="0"/>
                <w:color w:val="auto"/>
                <w:sz w:val="21"/>
                <w:szCs w:val="24"/>
              </w:rPr>
              <w:t>3.无保证措施不得分。</w:t>
            </w:r>
          </w:p>
        </w:tc>
      </w:tr>
      <w:tr w14:paraId="36475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384682C1">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b w:val="0"/>
                <w:i w:val="0"/>
                <w:color w:val="auto"/>
                <w:szCs w:val="21"/>
                <w:highlight w:val="none"/>
                <w:u w:val="none" w:color="auto"/>
              </w:rPr>
              <w:t>2.2.4</w:t>
            </w:r>
            <w:r>
              <w:rPr>
                <w:rFonts w:hint="eastAsia"/>
                <w:b w:val="0"/>
                <w:i w:val="0"/>
                <w:color w:val="auto"/>
                <w:szCs w:val="21"/>
                <w:highlight w:val="none"/>
                <w:u w:val="none" w:color="auto"/>
                <w:lang w:eastAsia="zh-CN"/>
              </w:rPr>
              <w:t>(</w:t>
            </w:r>
            <w:r>
              <w:rPr>
                <w:rFonts w:hint="eastAsia"/>
                <w:b w:val="0"/>
                <w:i w:val="0"/>
                <w:color w:val="auto"/>
                <w:szCs w:val="21"/>
                <w:highlight w:val="none"/>
                <w:u w:val="none" w:color="auto"/>
              </w:rPr>
              <w:t>2</w:t>
            </w:r>
            <w:r>
              <w:rPr>
                <w:rFonts w:hint="eastAsia"/>
                <w:b w:val="0"/>
                <w:i w:val="0"/>
                <w:color w:val="auto"/>
                <w:szCs w:val="21"/>
                <w:highlight w:val="none"/>
                <w:u w:val="none" w:color="auto"/>
                <w:lang w:eastAsia="zh-CN"/>
              </w:rPr>
              <w:t>)</w:t>
            </w:r>
          </w:p>
        </w:tc>
        <w:tc>
          <w:tcPr>
            <w:tcW w:w="1059" w:type="dxa"/>
            <w:vMerge w:val="continue"/>
            <w:vAlign w:val="center"/>
          </w:tcPr>
          <w:p w14:paraId="3129ECF0">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39113742">
            <w:pPr>
              <w:pStyle w:val="54"/>
              <w:jc w:val="center"/>
              <w:rPr>
                <w:rFonts w:ascii="宋体" w:hAnsi="宋体"/>
                <w:color w:val="auto"/>
                <w:szCs w:val="21"/>
                <w:highlight w:val="none"/>
              </w:rPr>
            </w:pPr>
            <w:r>
              <w:rPr>
                <w:rStyle w:val="20"/>
                <w:rFonts w:ascii="宋体" w:hAnsi="宋体" w:eastAsia="宋体" w:cs="宋体"/>
                <w:b w:val="0"/>
                <w:color w:val="auto"/>
                <w:sz w:val="21"/>
                <w:szCs w:val="24"/>
              </w:rPr>
              <w:t>重点和难点工程的施工方法及其措施</w:t>
            </w:r>
          </w:p>
        </w:tc>
        <w:tc>
          <w:tcPr>
            <w:tcW w:w="935" w:type="dxa"/>
            <w:gridSpan w:val="2"/>
            <w:vAlign w:val="center"/>
          </w:tcPr>
          <w:p w14:paraId="4CAB471E">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宋体" w:hAnsi="宋体" w:eastAsia="宋体"/>
                <w:color w:val="auto"/>
                <w:szCs w:val="44"/>
                <w:highlight w:val="none"/>
                <w:lang w:val="en-US" w:eastAsia="zh-CN"/>
              </w:rPr>
            </w:pPr>
            <w:r>
              <w:rPr>
                <w:rFonts w:hint="eastAsia" w:ascii="宋体" w:hAnsi="宋体" w:cs="宋体"/>
                <w:b w:val="0"/>
                <w:bCs/>
                <w:i w:val="0"/>
                <w:color w:val="auto"/>
                <w:sz w:val="21"/>
                <w:szCs w:val="21"/>
                <w:highlight w:val="none"/>
                <w:u w:val="none" w:color="auto"/>
                <w:lang w:val="en-US" w:eastAsia="zh-CN"/>
              </w:rPr>
              <w:t>2</w:t>
            </w:r>
          </w:p>
        </w:tc>
        <w:tc>
          <w:tcPr>
            <w:tcW w:w="4111" w:type="dxa"/>
            <w:vAlign w:val="center"/>
          </w:tcPr>
          <w:p w14:paraId="44C6191F">
            <w:pPr>
              <w:pStyle w:val="54"/>
              <w:jc w:val="left"/>
              <w:rPr>
                <w:rStyle w:val="20"/>
                <w:rFonts w:ascii="宋体" w:hAnsi="宋体" w:eastAsia="宋体" w:cs="宋体"/>
                <w:b w:val="0"/>
                <w:color w:val="auto"/>
                <w:sz w:val="21"/>
                <w:szCs w:val="24"/>
              </w:rPr>
            </w:pPr>
            <w:r>
              <w:rPr>
                <w:rStyle w:val="20"/>
                <w:rFonts w:ascii="宋体" w:hAnsi="宋体" w:eastAsia="宋体" w:cs="宋体"/>
                <w:b w:val="0"/>
                <w:color w:val="auto"/>
                <w:sz w:val="21"/>
                <w:szCs w:val="24"/>
              </w:rPr>
              <w:t>1.对工程重点、难点认识深刻、表述全面准确，解决方案科学、系统、安全、经济，保障措施得力</w:t>
            </w:r>
            <w:r>
              <w:rPr>
                <w:rStyle w:val="20"/>
                <w:rFonts w:hint="eastAsia" w:ascii="宋体" w:hAnsi="宋体" w:eastAsia="宋体" w:cs="宋体"/>
                <w:b w:val="0"/>
                <w:color w:val="auto"/>
                <w:sz w:val="21"/>
                <w:szCs w:val="24"/>
                <w:lang w:eastAsia="zh-CN"/>
              </w:rPr>
              <w:t>，</w:t>
            </w:r>
            <w:r>
              <w:rPr>
                <w:rStyle w:val="20"/>
                <w:rFonts w:ascii="宋体" w:hAnsi="宋体" w:eastAsia="宋体" w:cs="宋体"/>
                <w:b w:val="0"/>
                <w:color w:val="auto"/>
                <w:sz w:val="21"/>
                <w:szCs w:val="24"/>
              </w:rPr>
              <w:t>得</w:t>
            </w:r>
            <w:r>
              <w:rPr>
                <w:rStyle w:val="20"/>
                <w:rFonts w:hint="eastAsia" w:ascii="宋体" w:hAnsi="宋体" w:eastAsia="宋体" w:cs="宋体"/>
                <w:b w:val="0"/>
                <w:color w:val="auto"/>
                <w:sz w:val="21"/>
                <w:szCs w:val="24"/>
                <w:lang w:val="en-US" w:eastAsia="zh-CN"/>
              </w:rPr>
              <w:t>2</w:t>
            </w:r>
            <w:r>
              <w:rPr>
                <w:rStyle w:val="20"/>
                <w:rFonts w:ascii="宋体" w:hAnsi="宋体" w:eastAsia="宋体" w:cs="宋体"/>
                <w:b w:val="0"/>
                <w:color w:val="auto"/>
                <w:sz w:val="21"/>
                <w:szCs w:val="24"/>
              </w:rPr>
              <w:t>分。</w:t>
            </w:r>
          </w:p>
          <w:p w14:paraId="06CF1858">
            <w:pPr>
              <w:pStyle w:val="54"/>
              <w:jc w:val="left"/>
              <w:rPr>
                <w:rStyle w:val="20"/>
                <w:rFonts w:ascii="宋体" w:hAnsi="宋体" w:eastAsia="宋体" w:cs="宋体"/>
                <w:b w:val="0"/>
                <w:color w:val="auto"/>
                <w:sz w:val="21"/>
                <w:szCs w:val="24"/>
              </w:rPr>
            </w:pPr>
            <w:r>
              <w:rPr>
                <w:rStyle w:val="20"/>
                <w:rFonts w:ascii="宋体" w:hAnsi="宋体" w:eastAsia="宋体" w:cs="宋体"/>
                <w:b w:val="0"/>
                <w:color w:val="auto"/>
                <w:sz w:val="21"/>
                <w:szCs w:val="24"/>
              </w:rPr>
              <w:t>2.对工程重点、难点认识比较深刻、表述比较全面准确，解决方案合理安全，保障措施比较得力</w:t>
            </w:r>
            <w:r>
              <w:rPr>
                <w:rStyle w:val="20"/>
                <w:rFonts w:hint="eastAsia" w:ascii="宋体" w:hAnsi="宋体" w:eastAsia="宋体" w:cs="宋体"/>
                <w:b w:val="0"/>
                <w:color w:val="auto"/>
                <w:sz w:val="21"/>
                <w:szCs w:val="24"/>
                <w:lang w:eastAsia="zh-CN"/>
              </w:rPr>
              <w:t>，</w:t>
            </w:r>
            <w:r>
              <w:rPr>
                <w:rStyle w:val="20"/>
                <w:rFonts w:ascii="宋体" w:hAnsi="宋体" w:eastAsia="宋体" w:cs="宋体"/>
                <w:b w:val="0"/>
                <w:color w:val="auto"/>
                <w:sz w:val="21"/>
                <w:szCs w:val="24"/>
              </w:rPr>
              <w:t>得1.</w:t>
            </w:r>
            <w:r>
              <w:rPr>
                <w:rStyle w:val="20"/>
                <w:rFonts w:hint="eastAsia" w:ascii="宋体" w:hAnsi="宋体" w:eastAsia="宋体" w:cs="宋体"/>
                <w:b w:val="0"/>
                <w:color w:val="auto"/>
                <w:sz w:val="21"/>
                <w:szCs w:val="24"/>
                <w:lang w:val="en-US" w:eastAsia="zh-CN"/>
              </w:rPr>
              <w:t>5</w:t>
            </w:r>
            <w:r>
              <w:rPr>
                <w:rStyle w:val="20"/>
                <w:rFonts w:ascii="宋体" w:hAnsi="宋体" w:eastAsia="宋体" w:cs="宋体"/>
                <w:b w:val="0"/>
                <w:color w:val="auto"/>
                <w:sz w:val="21"/>
                <w:szCs w:val="24"/>
              </w:rPr>
              <w:t>分。</w:t>
            </w:r>
          </w:p>
          <w:p w14:paraId="7B284AB6">
            <w:pPr>
              <w:pStyle w:val="54"/>
              <w:jc w:val="left"/>
              <w:rPr>
                <w:rStyle w:val="20"/>
                <w:rFonts w:ascii="宋体" w:hAnsi="宋体" w:eastAsia="宋体" w:cs="宋体"/>
                <w:b w:val="0"/>
                <w:color w:val="auto"/>
                <w:sz w:val="21"/>
                <w:szCs w:val="24"/>
              </w:rPr>
            </w:pPr>
            <w:r>
              <w:rPr>
                <w:rStyle w:val="20"/>
                <w:rFonts w:ascii="宋体" w:hAnsi="宋体" w:eastAsia="宋体" w:cs="宋体"/>
                <w:b w:val="0"/>
                <w:color w:val="auto"/>
                <w:sz w:val="21"/>
                <w:szCs w:val="24"/>
              </w:rPr>
              <w:t>3.对工程重点、难点有基本认识、表述基本全面，解决方案一般，得</w:t>
            </w:r>
            <w:r>
              <w:rPr>
                <w:rStyle w:val="20"/>
                <w:rFonts w:hint="eastAsia" w:ascii="宋体" w:hAnsi="宋体" w:eastAsia="宋体" w:cs="宋体"/>
                <w:b w:val="0"/>
                <w:color w:val="auto"/>
                <w:sz w:val="21"/>
                <w:szCs w:val="24"/>
                <w:lang w:val="en-US" w:eastAsia="zh-CN"/>
              </w:rPr>
              <w:t>1</w:t>
            </w:r>
            <w:r>
              <w:rPr>
                <w:rStyle w:val="20"/>
                <w:rFonts w:ascii="宋体" w:hAnsi="宋体" w:eastAsia="宋体" w:cs="宋体"/>
                <w:b w:val="0"/>
                <w:color w:val="auto"/>
                <w:sz w:val="21"/>
                <w:szCs w:val="24"/>
              </w:rPr>
              <w:t>分。</w:t>
            </w:r>
          </w:p>
          <w:p w14:paraId="5DDA67FC">
            <w:pPr>
              <w:pStyle w:val="54"/>
              <w:jc w:val="left"/>
              <w:rPr>
                <w:color w:val="auto"/>
                <w:highlight w:val="none"/>
              </w:rPr>
            </w:pPr>
            <w:r>
              <w:rPr>
                <w:rStyle w:val="20"/>
                <w:rFonts w:ascii="宋体" w:hAnsi="宋体" w:eastAsia="宋体" w:cs="宋体"/>
                <w:b w:val="0"/>
                <w:color w:val="auto"/>
                <w:sz w:val="21"/>
                <w:szCs w:val="24"/>
              </w:rPr>
              <w:t>4.无施工方法及措施不得分。</w:t>
            </w:r>
          </w:p>
        </w:tc>
      </w:tr>
      <w:tr w14:paraId="71C85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7F74BE2E">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b w:val="0"/>
                <w:i w:val="0"/>
                <w:color w:val="auto"/>
                <w:szCs w:val="21"/>
                <w:highlight w:val="none"/>
                <w:u w:val="none" w:color="auto"/>
              </w:rPr>
              <w:t>2.2.4</w:t>
            </w:r>
            <w:r>
              <w:rPr>
                <w:rFonts w:hint="eastAsia"/>
                <w:b w:val="0"/>
                <w:i w:val="0"/>
                <w:color w:val="auto"/>
                <w:szCs w:val="21"/>
                <w:highlight w:val="none"/>
                <w:u w:val="none" w:color="auto"/>
                <w:lang w:eastAsia="zh-CN"/>
              </w:rPr>
              <w:t>(</w:t>
            </w:r>
            <w:r>
              <w:rPr>
                <w:rFonts w:hint="eastAsia"/>
                <w:b w:val="0"/>
                <w:i w:val="0"/>
                <w:color w:val="auto"/>
                <w:szCs w:val="21"/>
                <w:highlight w:val="none"/>
                <w:u w:val="none" w:color="auto"/>
              </w:rPr>
              <w:t>2</w:t>
            </w:r>
            <w:r>
              <w:rPr>
                <w:rFonts w:hint="eastAsia"/>
                <w:b w:val="0"/>
                <w:i w:val="0"/>
                <w:color w:val="auto"/>
                <w:szCs w:val="21"/>
                <w:highlight w:val="none"/>
                <w:u w:val="none" w:color="auto"/>
                <w:lang w:eastAsia="zh-CN"/>
              </w:rPr>
              <w:t>)</w:t>
            </w:r>
          </w:p>
        </w:tc>
        <w:tc>
          <w:tcPr>
            <w:tcW w:w="1059" w:type="dxa"/>
            <w:vMerge w:val="continue"/>
            <w:vAlign w:val="center"/>
          </w:tcPr>
          <w:p w14:paraId="6D90586E">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0136E4D9">
            <w:pPr>
              <w:pStyle w:val="54"/>
              <w:jc w:val="center"/>
              <w:rPr>
                <w:rFonts w:ascii="宋体" w:hAnsi="宋体"/>
                <w:color w:val="auto"/>
                <w:szCs w:val="21"/>
                <w:highlight w:val="none"/>
              </w:rPr>
            </w:pPr>
            <w:r>
              <w:rPr>
                <w:rStyle w:val="20"/>
                <w:rFonts w:ascii="宋体" w:hAnsi="宋体" w:eastAsia="宋体" w:cs="宋体"/>
                <w:b w:val="0"/>
                <w:color w:val="auto"/>
                <w:sz w:val="21"/>
                <w:szCs w:val="24"/>
              </w:rPr>
              <w:t>项目风险预测及其应对措施</w:t>
            </w:r>
          </w:p>
        </w:tc>
        <w:tc>
          <w:tcPr>
            <w:tcW w:w="935" w:type="dxa"/>
            <w:gridSpan w:val="2"/>
            <w:vAlign w:val="center"/>
          </w:tcPr>
          <w:p w14:paraId="2A303A72">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宋体" w:hAnsi="宋体" w:eastAsia="宋体"/>
                <w:color w:val="auto"/>
                <w:szCs w:val="44"/>
                <w:highlight w:val="none"/>
                <w:lang w:eastAsia="zh-CN"/>
              </w:rPr>
            </w:pPr>
            <w:r>
              <w:rPr>
                <w:rFonts w:hint="eastAsia" w:ascii="宋体" w:hAnsi="宋体" w:cs="宋体"/>
                <w:b w:val="0"/>
                <w:bCs/>
                <w:i w:val="0"/>
                <w:color w:val="auto"/>
                <w:sz w:val="21"/>
                <w:szCs w:val="21"/>
                <w:highlight w:val="none"/>
                <w:u w:val="none" w:color="auto"/>
                <w:lang w:val="en-US" w:eastAsia="zh-CN"/>
              </w:rPr>
              <w:t>2</w:t>
            </w:r>
          </w:p>
        </w:tc>
        <w:tc>
          <w:tcPr>
            <w:tcW w:w="4111" w:type="dxa"/>
            <w:vAlign w:val="center"/>
          </w:tcPr>
          <w:p w14:paraId="795FA645">
            <w:pPr>
              <w:pStyle w:val="54"/>
              <w:jc w:val="left"/>
              <w:rPr>
                <w:rStyle w:val="20"/>
                <w:rFonts w:ascii="宋体" w:hAnsi="宋体" w:eastAsia="宋体" w:cs="宋体"/>
                <w:b w:val="0"/>
                <w:color w:val="auto"/>
                <w:sz w:val="21"/>
                <w:szCs w:val="24"/>
              </w:rPr>
            </w:pPr>
            <w:r>
              <w:rPr>
                <w:rStyle w:val="20"/>
                <w:rFonts w:ascii="宋体" w:hAnsi="宋体" w:eastAsia="宋体" w:cs="宋体"/>
                <w:b w:val="0"/>
                <w:color w:val="auto"/>
                <w:sz w:val="21"/>
                <w:szCs w:val="24"/>
              </w:rPr>
              <w:t>1.结合项目实际提出风险预测及其应对措施，应对措施科学、严谨</w:t>
            </w:r>
            <w:r>
              <w:rPr>
                <w:rStyle w:val="20"/>
                <w:rFonts w:hint="eastAsia" w:ascii="宋体" w:hAnsi="宋体" w:eastAsia="宋体" w:cs="宋体"/>
                <w:b w:val="0"/>
                <w:color w:val="auto"/>
                <w:sz w:val="21"/>
                <w:szCs w:val="24"/>
                <w:lang w:eastAsia="zh-CN"/>
              </w:rPr>
              <w:t>，</w:t>
            </w:r>
            <w:r>
              <w:rPr>
                <w:rStyle w:val="20"/>
                <w:rFonts w:ascii="宋体" w:hAnsi="宋体" w:eastAsia="宋体" w:cs="宋体"/>
                <w:b w:val="0"/>
                <w:color w:val="auto"/>
                <w:sz w:val="21"/>
                <w:szCs w:val="24"/>
              </w:rPr>
              <w:t>得</w:t>
            </w:r>
            <w:r>
              <w:rPr>
                <w:rStyle w:val="20"/>
                <w:rFonts w:hint="eastAsia" w:ascii="宋体" w:hAnsi="宋体" w:eastAsia="宋体" w:cs="宋体"/>
                <w:b w:val="0"/>
                <w:color w:val="auto"/>
                <w:sz w:val="21"/>
                <w:szCs w:val="24"/>
                <w:lang w:val="en-US" w:eastAsia="zh-CN"/>
              </w:rPr>
              <w:t>2</w:t>
            </w:r>
            <w:r>
              <w:rPr>
                <w:rStyle w:val="20"/>
                <w:rFonts w:ascii="宋体" w:hAnsi="宋体" w:eastAsia="宋体" w:cs="宋体"/>
                <w:b w:val="0"/>
                <w:color w:val="auto"/>
                <w:sz w:val="21"/>
                <w:szCs w:val="24"/>
              </w:rPr>
              <w:t>分。</w:t>
            </w:r>
          </w:p>
          <w:p w14:paraId="42FA5C69">
            <w:pPr>
              <w:pStyle w:val="54"/>
              <w:jc w:val="left"/>
              <w:rPr>
                <w:rStyle w:val="20"/>
                <w:rFonts w:ascii="宋体" w:hAnsi="宋体" w:eastAsia="宋体" w:cs="宋体"/>
                <w:b w:val="0"/>
                <w:color w:val="auto"/>
                <w:sz w:val="21"/>
                <w:szCs w:val="24"/>
              </w:rPr>
            </w:pPr>
            <w:r>
              <w:rPr>
                <w:rStyle w:val="20"/>
                <w:rFonts w:ascii="宋体" w:hAnsi="宋体" w:eastAsia="宋体" w:cs="宋体"/>
                <w:b w:val="0"/>
                <w:color w:val="auto"/>
                <w:sz w:val="21"/>
                <w:szCs w:val="24"/>
              </w:rPr>
              <w:t>2.对项目风险预测不充分，应对措施一般</w:t>
            </w:r>
            <w:r>
              <w:rPr>
                <w:rStyle w:val="20"/>
                <w:rFonts w:hint="eastAsia" w:ascii="宋体" w:hAnsi="宋体" w:eastAsia="宋体" w:cs="宋体"/>
                <w:b w:val="0"/>
                <w:color w:val="auto"/>
                <w:sz w:val="21"/>
                <w:szCs w:val="24"/>
                <w:lang w:eastAsia="zh-CN"/>
              </w:rPr>
              <w:t>，</w:t>
            </w:r>
            <w:r>
              <w:rPr>
                <w:rStyle w:val="20"/>
                <w:rFonts w:ascii="宋体" w:hAnsi="宋体" w:eastAsia="宋体" w:cs="宋体"/>
                <w:b w:val="0"/>
                <w:color w:val="auto"/>
                <w:sz w:val="21"/>
                <w:szCs w:val="24"/>
              </w:rPr>
              <w:t>得</w:t>
            </w:r>
            <w:r>
              <w:rPr>
                <w:rStyle w:val="20"/>
                <w:rFonts w:hint="eastAsia" w:ascii="宋体" w:hAnsi="宋体" w:eastAsia="宋体" w:cs="宋体"/>
                <w:b w:val="0"/>
                <w:color w:val="auto"/>
                <w:sz w:val="21"/>
                <w:szCs w:val="24"/>
                <w:lang w:val="en-US" w:eastAsia="zh-CN"/>
              </w:rPr>
              <w:t>1</w:t>
            </w:r>
            <w:r>
              <w:rPr>
                <w:rStyle w:val="20"/>
                <w:rFonts w:ascii="宋体" w:hAnsi="宋体" w:eastAsia="宋体" w:cs="宋体"/>
                <w:b w:val="0"/>
                <w:color w:val="auto"/>
                <w:sz w:val="21"/>
                <w:szCs w:val="24"/>
              </w:rPr>
              <w:t>分。</w:t>
            </w:r>
          </w:p>
          <w:p w14:paraId="0AF75FBA">
            <w:pPr>
              <w:pStyle w:val="54"/>
              <w:jc w:val="left"/>
              <w:rPr>
                <w:color w:val="auto"/>
                <w:highlight w:val="none"/>
              </w:rPr>
            </w:pPr>
            <w:r>
              <w:rPr>
                <w:rStyle w:val="20"/>
                <w:rFonts w:ascii="宋体" w:hAnsi="宋体" w:eastAsia="宋体" w:cs="宋体"/>
                <w:b w:val="0"/>
                <w:color w:val="auto"/>
                <w:sz w:val="21"/>
                <w:szCs w:val="24"/>
              </w:rPr>
              <w:t>3.无预测及措施不得分。</w:t>
            </w:r>
          </w:p>
        </w:tc>
      </w:tr>
      <w:tr w14:paraId="32142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78687D8C">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b w:val="0"/>
                <w:i w:val="0"/>
                <w:color w:val="auto"/>
                <w:szCs w:val="21"/>
                <w:highlight w:val="none"/>
                <w:u w:val="none" w:color="auto"/>
              </w:rPr>
              <w:t>2.2.4</w:t>
            </w:r>
            <w:r>
              <w:rPr>
                <w:rFonts w:hint="eastAsia"/>
                <w:b w:val="0"/>
                <w:i w:val="0"/>
                <w:color w:val="auto"/>
                <w:szCs w:val="21"/>
                <w:highlight w:val="none"/>
                <w:u w:val="none" w:color="auto"/>
                <w:lang w:eastAsia="zh-CN"/>
              </w:rPr>
              <w:t>(</w:t>
            </w:r>
            <w:r>
              <w:rPr>
                <w:rFonts w:hint="eastAsia"/>
                <w:b w:val="0"/>
                <w:i w:val="0"/>
                <w:color w:val="auto"/>
                <w:szCs w:val="21"/>
                <w:highlight w:val="none"/>
                <w:u w:val="none" w:color="auto"/>
              </w:rPr>
              <w:t>2</w:t>
            </w:r>
            <w:r>
              <w:rPr>
                <w:rFonts w:hint="eastAsia"/>
                <w:b w:val="0"/>
                <w:i w:val="0"/>
                <w:color w:val="auto"/>
                <w:szCs w:val="21"/>
                <w:highlight w:val="none"/>
                <w:u w:val="none" w:color="auto"/>
                <w:lang w:eastAsia="zh-CN"/>
              </w:rPr>
              <w:t>)</w:t>
            </w:r>
          </w:p>
        </w:tc>
        <w:tc>
          <w:tcPr>
            <w:tcW w:w="1059" w:type="dxa"/>
            <w:vMerge w:val="continue"/>
            <w:vAlign w:val="center"/>
          </w:tcPr>
          <w:p w14:paraId="20ED9924">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3C4EA672">
            <w:pPr>
              <w:pStyle w:val="54"/>
              <w:jc w:val="center"/>
              <w:rPr>
                <w:rFonts w:ascii="宋体" w:hAnsi="宋体"/>
                <w:color w:val="auto"/>
                <w:szCs w:val="21"/>
                <w:highlight w:val="none"/>
              </w:rPr>
            </w:pPr>
            <w:r>
              <w:rPr>
                <w:rStyle w:val="20"/>
                <w:rFonts w:ascii="宋体" w:hAnsi="宋体" w:eastAsia="宋体" w:cs="宋体"/>
                <w:b w:val="0"/>
                <w:color w:val="auto"/>
                <w:sz w:val="21"/>
                <w:szCs w:val="24"/>
              </w:rPr>
              <w:t>质量保证措施</w:t>
            </w:r>
          </w:p>
        </w:tc>
        <w:tc>
          <w:tcPr>
            <w:tcW w:w="935" w:type="dxa"/>
            <w:gridSpan w:val="2"/>
            <w:vAlign w:val="center"/>
          </w:tcPr>
          <w:p w14:paraId="7392E013">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宋体" w:hAnsi="宋体" w:eastAsia="宋体"/>
                <w:color w:val="auto"/>
                <w:szCs w:val="44"/>
                <w:highlight w:val="none"/>
                <w:lang w:val="en-US" w:eastAsia="zh-CN"/>
              </w:rPr>
            </w:pPr>
            <w:r>
              <w:rPr>
                <w:rFonts w:hint="eastAsia" w:ascii="宋体" w:hAnsi="宋体" w:cs="宋体"/>
                <w:b w:val="0"/>
                <w:bCs/>
                <w:i w:val="0"/>
                <w:color w:val="auto"/>
                <w:sz w:val="21"/>
                <w:szCs w:val="21"/>
                <w:highlight w:val="none"/>
                <w:u w:val="none" w:color="auto"/>
                <w:lang w:val="en-US" w:eastAsia="zh-CN"/>
              </w:rPr>
              <w:t>2</w:t>
            </w:r>
          </w:p>
        </w:tc>
        <w:tc>
          <w:tcPr>
            <w:tcW w:w="4111" w:type="dxa"/>
            <w:vAlign w:val="center"/>
          </w:tcPr>
          <w:p w14:paraId="16A7E054">
            <w:pPr>
              <w:pStyle w:val="54"/>
              <w:jc w:val="left"/>
              <w:rPr>
                <w:rStyle w:val="20"/>
                <w:rFonts w:ascii="宋体" w:hAnsi="宋体" w:eastAsia="宋体" w:cs="宋体"/>
                <w:b w:val="0"/>
                <w:color w:val="auto"/>
                <w:sz w:val="21"/>
                <w:szCs w:val="24"/>
              </w:rPr>
            </w:pPr>
            <w:r>
              <w:rPr>
                <w:rStyle w:val="20"/>
                <w:rFonts w:ascii="宋体" w:hAnsi="宋体" w:eastAsia="宋体" w:cs="宋体"/>
                <w:b w:val="0"/>
                <w:color w:val="auto"/>
                <w:sz w:val="21"/>
                <w:szCs w:val="24"/>
              </w:rPr>
              <w:t>1.质量保证措施全面、科学、详细、针对性强得</w:t>
            </w:r>
            <w:r>
              <w:rPr>
                <w:rStyle w:val="20"/>
                <w:rFonts w:hint="eastAsia" w:ascii="宋体" w:hAnsi="宋体" w:eastAsia="宋体" w:cs="宋体"/>
                <w:b w:val="0"/>
                <w:color w:val="auto"/>
                <w:sz w:val="21"/>
                <w:szCs w:val="24"/>
                <w:lang w:val="en-US" w:eastAsia="zh-CN"/>
              </w:rPr>
              <w:t>2</w:t>
            </w:r>
            <w:r>
              <w:rPr>
                <w:rStyle w:val="20"/>
                <w:rFonts w:ascii="宋体" w:hAnsi="宋体" w:eastAsia="宋体" w:cs="宋体"/>
                <w:b w:val="0"/>
                <w:color w:val="auto"/>
                <w:sz w:val="21"/>
                <w:szCs w:val="24"/>
              </w:rPr>
              <w:t>分。</w:t>
            </w:r>
          </w:p>
          <w:p w14:paraId="53F1E9F8">
            <w:pPr>
              <w:pStyle w:val="54"/>
              <w:jc w:val="left"/>
              <w:rPr>
                <w:rStyle w:val="20"/>
                <w:rFonts w:ascii="宋体" w:hAnsi="宋体" w:eastAsia="宋体" w:cs="宋体"/>
                <w:b w:val="0"/>
                <w:color w:val="auto"/>
                <w:sz w:val="21"/>
                <w:szCs w:val="24"/>
              </w:rPr>
            </w:pPr>
            <w:r>
              <w:rPr>
                <w:rStyle w:val="20"/>
                <w:rFonts w:ascii="宋体" w:hAnsi="宋体" w:eastAsia="宋体" w:cs="宋体"/>
                <w:b w:val="0"/>
                <w:color w:val="auto"/>
                <w:sz w:val="21"/>
                <w:szCs w:val="24"/>
              </w:rPr>
              <w:t>2.质量保证措施符合项目需求，合理、完善</w:t>
            </w:r>
            <w:r>
              <w:rPr>
                <w:rStyle w:val="20"/>
                <w:rFonts w:hint="eastAsia" w:ascii="宋体" w:hAnsi="宋体" w:eastAsia="宋体" w:cs="宋体"/>
                <w:b w:val="0"/>
                <w:color w:val="auto"/>
                <w:sz w:val="21"/>
                <w:szCs w:val="24"/>
                <w:lang w:eastAsia="zh-CN"/>
              </w:rPr>
              <w:t>，</w:t>
            </w:r>
            <w:r>
              <w:rPr>
                <w:rStyle w:val="20"/>
                <w:rFonts w:hint="eastAsia" w:ascii="宋体" w:hAnsi="宋体" w:eastAsia="宋体" w:cs="宋体"/>
                <w:b w:val="0"/>
                <w:color w:val="auto"/>
                <w:sz w:val="21"/>
                <w:szCs w:val="24"/>
                <w:lang w:val="en-US" w:eastAsia="zh-CN"/>
              </w:rPr>
              <w:t>得</w:t>
            </w:r>
            <w:r>
              <w:rPr>
                <w:rStyle w:val="20"/>
                <w:rFonts w:ascii="宋体" w:hAnsi="宋体" w:eastAsia="宋体" w:cs="宋体"/>
                <w:b w:val="0"/>
                <w:color w:val="auto"/>
                <w:sz w:val="21"/>
                <w:szCs w:val="24"/>
              </w:rPr>
              <w:t>1分。</w:t>
            </w:r>
          </w:p>
          <w:p w14:paraId="215C583B">
            <w:pPr>
              <w:pStyle w:val="54"/>
              <w:jc w:val="left"/>
              <w:rPr>
                <w:rStyle w:val="20"/>
                <w:rFonts w:ascii="宋体" w:hAnsi="宋体" w:eastAsia="宋体" w:cs="宋体"/>
                <w:b w:val="0"/>
                <w:color w:val="auto"/>
                <w:sz w:val="21"/>
                <w:szCs w:val="24"/>
              </w:rPr>
            </w:pPr>
            <w:r>
              <w:rPr>
                <w:rStyle w:val="20"/>
                <w:rFonts w:ascii="宋体" w:hAnsi="宋体" w:eastAsia="宋体" w:cs="宋体"/>
                <w:b w:val="0"/>
                <w:color w:val="auto"/>
                <w:sz w:val="21"/>
                <w:szCs w:val="24"/>
              </w:rPr>
              <w:t>3.质量保证措施基本合理</w:t>
            </w:r>
            <w:r>
              <w:rPr>
                <w:rStyle w:val="20"/>
                <w:rFonts w:hint="eastAsia" w:ascii="宋体" w:hAnsi="宋体" w:eastAsia="宋体" w:cs="宋体"/>
                <w:b w:val="0"/>
                <w:color w:val="auto"/>
                <w:sz w:val="21"/>
                <w:szCs w:val="24"/>
                <w:lang w:eastAsia="zh-CN"/>
              </w:rPr>
              <w:t>，</w:t>
            </w:r>
            <w:r>
              <w:rPr>
                <w:rStyle w:val="20"/>
                <w:rFonts w:ascii="宋体" w:hAnsi="宋体" w:eastAsia="宋体" w:cs="宋体"/>
                <w:b w:val="0"/>
                <w:color w:val="auto"/>
                <w:sz w:val="21"/>
                <w:szCs w:val="24"/>
              </w:rPr>
              <w:t>得0.5分。</w:t>
            </w:r>
          </w:p>
          <w:p w14:paraId="48EF33A6">
            <w:pPr>
              <w:pStyle w:val="54"/>
              <w:jc w:val="left"/>
              <w:rPr>
                <w:color w:val="auto"/>
                <w:highlight w:val="none"/>
              </w:rPr>
            </w:pPr>
            <w:r>
              <w:rPr>
                <w:rStyle w:val="20"/>
                <w:rFonts w:ascii="宋体" w:hAnsi="宋体" w:eastAsia="宋体" w:cs="宋体"/>
                <w:b w:val="0"/>
                <w:color w:val="auto"/>
                <w:sz w:val="21"/>
                <w:szCs w:val="24"/>
              </w:rPr>
              <w:t>4.无质量保证措施不得分。</w:t>
            </w:r>
          </w:p>
        </w:tc>
      </w:tr>
      <w:tr w14:paraId="42DB8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464D67E0">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b w:val="0"/>
                <w:i w:val="0"/>
                <w:color w:val="auto"/>
                <w:szCs w:val="21"/>
                <w:highlight w:val="none"/>
                <w:u w:val="none" w:color="auto"/>
              </w:rPr>
              <w:t>2.2.4</w:t>
            </w:r>
            <w:r>
              <w:rPr>
                <w:rFonts w:hint="eastAsia"/>
                <w:b w:val="0"/>
                <w:i w:val="0"/>
                <w:color w:val="auto"/>
                <w:szCs w:val="21"/>
                <w:highlight w:val="none"/>
                <w:u w:val="none" w:color="auto"/>
                <w:lang w:eastAsia="zh-CN"/>
              </w:rPr>
              <w:t>(</w:t>
            </w:r>
            <w:r>
              <w:rPr>
                <w:rFonts w:hint="eastAsia"/>
                <w:b w:val="0"/>
                <w:i w:val="0"/>
                <w:color w:val="auto"/>
                <w:szCs w:val="21"/>
                <w:highlight w:val="none"/>
                <w:u w:val="none" w:color="auto"/>
              </w:rPr>
              <w:t>2</w:t>
            </w:r>
            <w:r>
              <w:rPr>
                <w:rFonts w:hint="eastAsia"/>
                <w:b w:val="0"/>
                <w:i w:val="0"/>
                <w:color w:val="auto"/>
                <w:szCs w:val="21"/>
                <w:highlight w:val="none"/>
                <w:u w:val="none" w:color="auto"/>
                <w:lang w:eastAsia="zh-CN"/>
              </w:rPr>
              <w:t>)</w:t>
            </w:r>
          </w:p>
        </w:tc>
        <w:tc>
          <w:tcPr>
            <w:tcW w:w="1059" w:type="dxa"/>
            <w:vMerge w:val="continue"/>
            <w:vAlign w:val="center"/>
          </w:tcPr>
          <w:p w14:paraId="1B2DC092">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45E84B11">
            <w:pPr>
              <w:pStyle w:val="54"/>
              <w:jc w:val="center"/>
              <w:rPr>
                <w:rFonts w:ascii="宋体" w:hAnsi="宋体"/>
                <w:color w:val="auto"/>
                <w:szCs w:val="21"/>
                <w:highlight w:val="none"/>
              </w:rPr>
            </w:pPr>
            <w:r>
              <w:rPr>
                <w:rStyle w:val="20"/>
                <w:rFonts w:ascii="宋体" w:hAnsi="宋体" w:eastAsia="宋体" w:cs="宋体"/>
                <w:b w:val="0"/>
                <w:color w:val="auto"/>
                <w:sz w:val="21"/>
                <w:szCs w:val="24"/>
              </w:rPr>
              <w:t>安全保证措施</w:t>
            </w:r>
          </w:p>
        </w:tc>
        <w:tc>
          <w:tcPr>
            <w:tcW w:w="935" w:type="dxa"/>
            <w:gridSpan w:val="2"/>
            <w:vAlign w:val="center"/>
          </w:tcPr>
          <w:p w14:paraId="02B3CC7B">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宋体" w:hAnsi="宋体" w:eastAsia="宋体"/>
                <w:color w:val="auto"/>
                <w:szCs w:val="44"/>
                <w:highlight w:val="none"/>
                <w:lang w:val="en-US" w:eastAsia="zh-CN"/>
              </w:rPr>
            </w:pPr>
            <w:r>
              <w:rPr>
                <w:rFonts w:hint="eastAsia" w:ascii="宋体" w:hAnsi="宋体" w:cs="宋体"/>
                <w:b w:val="0"/>
                <w:bCs/>
                <w:i w:val="0"/>
                <w:color w:val="auto"/>
                <w:sz w:val="21"/>
                <w:szCs w:val="21"/>
                <w:highlight w:val="none"/>
                <w:u w:val="none" w:color="auto"/>
                <w:lang w:val="en-US" w:eastAsia="zh-CN"/>
              </w:rPr>
              <w:t>2</w:t>
            </w:r>
          </w:p>
        </w:tc>
        <w:tc>
          <w:tcPr>
            <w:tcW w:w="4111" w:type="dxa"/>
            <w:vAlign w:val="center"/>
          </w:tcPr>
          <w:p w14:paraId="39E3A309">
            <w:pPr>
              <w:pStyle w:val="54"/>
              <w:jc w:val="left"/>
              <w:rPr>
                <w:rStyle w:val="20"/>
                <w:rFonts w:ascii="宋体" w:hAnsi="宋体" w:eastAsia="宋体" w:cs="宋体"/>
                <w:b w:val="0"/>
                <w:color w:val="auto"/>
                <w:sz w:val="21"/>
                <w:szCs w:val="24"/>
              </w:rPr>
            </w:pPr>
            <w:r>
              <w:rPr>
                <w:rStyle w:val="20"/>
                <w:rFonts w:ascii="宋体" w:hAnsi="宋体" w:eastAsia="宋体" w:cs="宋体"/>
                <w:b w:val="0"/>
                <w:color w:val="auto"/>
                <w:sz w:val="21"/>
                <w:szCs w:val="24"/>
              </w:rPr>
              <w:t>1.安全施工保证措施科学、完善，且设有安全管理控制机制</w:t>
            </w:r>
            <w:r>
              <w:rPr>
                <w:rStyle w:val="20"/>
                <w:rFonts w:hint="eastAsia" w:ascii="宋体" w:hAnsi="宋体" w:eastAsia="宋体" w:cs="宋体"/>
                <w:b w:val="0"/>
                <w:color w:val="auto"/>
                <w:sz w:val="21"/>
                <w:szCs w:val="24"/>
                <w:lang w:eastAsia="zh-CN"/>
              </w:rPr>
              <w:t>，</w:t>
            </w:r>
            <w:r>
              <w:rPr>
                <w:rStyle w:val="20"/>
                <w:rFonts w:ascii="宋体" w:hAnsi="宋体" w:eastAsia="宋体" w:cs="宋体"/>
                <w:b w:val="0"/>
                <w:color w:val="auto"/>
                <w:sz w:val="21"/>
                <w:szCs w:val="24"/>
              </w:rPr>
              <w:t>得</w:t>
            </w:r>
            <w:r>
              <w:rPr>
                <w:rStyle w:val="20"/>
                <w:rFonts w:hint="eastAsia" w:ascii="宋体" w:hAnsi="宋体" w:eastAsia="宋体" w:cs="宋体"/>
                <w:b w:val="0"/>
                <w:color w:val="auto"/>
                <w:sz w:val="21"/>
                <w:szCs w:val="24"/>
                <w:lang w:val="en-US" w:eastAsia="zh-CN"/>
              </w:rPr>
              <w:t>2</w:t>
            </w:r>
            <w:r>
              <w:rPr>
                <w:rStyle w:val="20"/>
                <w:rFonts w:ascii="宋体" w:hAnsi="宋体" w:eastAsia="宋体" w:cs="宋体"/>
                <w:b w:val="0"/>
                <w:color w:val="auto"/>
                <w:sz w:val="21"/>
                <w:szCs w:val="24"/>
              </w:rPr>
              <w:t>分；</w:t>
            </w:r>
          </w:p>
          <w:p w14:paraId="2A8D84C4">
            <w:pPr>
              <w:pStyle w:val="54"/>
              <w:jc w:val="left"/>
              <w:rPr>
                <w:rStyle w:val="20"/>
                <w:rFonts w:ascii="宋体" w:hAnsi="宋体" w:eastAsia="宋体" w:cs="宋体"/>
                <w:b w:val="0"/>
                <w:color w:val="auto"/>
                <w:sz w:val="21"/>
                <w:szCs w:val="24"/>
              </w:rPr>
            </w:pPr>
            <w:r>
              <w:rPr>
                <w:rStyle w:val="20"/>
                <w:rFonts w:ascii="宋体" w:hAnsi="宋体" w:eastAsia="宋体" w:cs="宋体"/>
                <w:b w:val="0"/>
                <w:color w:val="auto"/>
                <w:sz w:val="21"/>
                <w:szCs w:val="24"/>
              </w:rPr>
              <w:t>2.安全保证措施符合项目需求，合理、完善</w:t>
            </w:r>
            <w:r>
              <w:rPr>
                <w:rStyle w:val="20"/>
                <w:rFonts w:hint="eastAsia" w:ascii="宋体" w:hAnsi="宋体" w:eastAsia="宋体" w:cs="宋体"/>
                <w:b w:val="0"/>
                <w:color w:val="auto"/>
                <w:sz w:val="21"/>
                <w:szCs w:val="24"/>
                <w:lang w:eastAsia="zh-CN"/>
              </w:rPr>
              <w:t>，</w:t>
            </w:r>
            <w:r>
              <w:rPr>
                <w:rStyle w:val="20"/>
                <w:rFonts w:hint="eastAsia" w:ascii="宋体" w:hAnsi="宋体" w:eastAsia="宋体" w:cs="宋体"/>
                <w:b w:val="0"/>
                <w:color w:val="auto"/>
                <w:sz w:val="21"/>
                <w:szCs w:val="24"/>
                <w:lang w:val="en-US" w:eastAsia="zh-CN"/>
              </w:rPr>
              <w:t>得</w:t>
            </w:r>
            <w:r>
              <w:rPr>
                <w:rStyle w:val="20"/>
                <w:rFonts w:ascii="宋体" w:hAnsi="宋体" w:eastAsia="宋体" w:cs="宋体"/>
                <w:b w:val="0"/>
                <w:color w:val="auto"/>
                <w:sz w:val="21"/>
                <w:szCs w:val="24"/>
              </w:rPr>
              <w:t>1分；</w:t>
            </w:r>
          </w:p>
          <w:p w14:paraId="7C6495C5">
            <w:pPr>
              <w:pStyle w:val="54"/>
              <w:jc w:val="left"/>
              <w:rPr>
                <w:rStyle w:val="20"/>
                <w:rFonts w:ascii="宋体" w:hAnsi="宋体" w:eastAsia="宋体" w:cs="宋体"/>
                <w:b w:val="0"/>
                <w:color w:val="auto"/>
                <w:sz w:val="21"/>
                <w:szCs w:val="24"/>
              </w:rPr>
            </w:pPr>
            <w:r>
              <w:rPr>
                <w:rStyle w:val="20"/>
                <w:rFonts w:ascii="宋体" w:hAnsi="宋体" w:eastAsia="宋体" w:cs="宋体"/>
                <w:b w:val="0"/>
                <w:color w:val="auto"/>
                <w:sz w:val="21"/>
                <w:szCs w:val="24"/>
              </w:rPr>
              <w:t>3.施工安全施工保证措施一般</w:t>
            </w:r>
            <w:r>
              <w:rPr>
                <w:rStyle w:val="20"/>
                <w:rFonts w:hint="eastAsia" w:ascii="宋体" w:hAnsi="宋体" w:eastAsia="宋体" w:cs="宋体"/>
                <w:b w:val="0"/>
                <w:color w:val="auto"/>
                <w:sz w:val="21"/>
                <w:szCs w:val="24"/>
                <w:lang w:eastAsia="zh-CN"/>
              </w:rPr>
              <w:t>，</w:t>
            </w:r>
            <w:r>
              <w:rPr>
                <w:rStyle w:val="20"/>
                <w:rFonts w:ascii="宋体" w:hAnsi="宋体" w:eastAsia="宋体" w:cs="宋体"/>
                <w:b w:val="0"/>
                <w:color w:val="auto"/>
                <w:sz w:val="21"/>
                <w:szCs w:val="24"/>
              </w:rPr>
              <w:t>得0.5分；</w:t>
            </w:r>
          </w:p>
          <w:p w14:paraId="626C4EEE">
            <w:pPr>
              <w:pStyle w:val="54"/>
              <w:jc w:val="left"/>
              <w:rPr>
                <w:color w:val="auto"/>
                <w:highlight w:val="none"/>
              </w:rPr>
            </w:pPr>
            <w:r>
              <w:rPr>
                <w:rStyle w:val="20"/>
                <w:rFonts w:ascii="宋体" w:hAnsi="宋体" w:eastAsia="宋体" w:cs="宋体"/>
                <w:b w:val="0"/>
                <w:color w:val="auto"/>
                <w:sz w:val="21"/>
                <w:szCs w:val="24"/>
              </w:rPr>
              <w:t>4.无安全施工保证措施不得分。</w:t>
            </w:r>
          </w:p>
        </w:tc>
      </w:tr>
      <w:tr w14:paraId="2E355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741" w:type="dxa"/>
            <w:vMerge w:val="continue"/>
            <w:vAlign w:val="center"/>
          </w:tcPr>
          <w:p w14:paraId="0E7083E5">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b w:val="0"/>
                <w:i w:val="0"/>
                <w:color w:val="auto"/>
                <w:szCs w:val="21"/>
                <w:highlight w:val="none"/>
                <w:u w:val="none" w:color="auto"/>
              </w:rPr>
              <w:t>2.2.4</w:t>
            </w:r>
            <w:r>
              <w:rPr>
                <w:rFonts w:hint="eastAsia"/>
                <w:b w:val="0"/>
                <w:i w:val="0"/>
                <w:color w:val="auto"/>
                <w:szCs w:val="21"/>
                <w:highlight w:val="none"/>
                <w:u w:val="none" w:color="auto"/>
                <w:lang w:eastAsia="zh-CN"/>
              </w:rPr>
              <w:t>(</w:t>
            </w:r>
            <w:r>
              <w:rPr>
                <w:rFonts w:hint="eastAsia"/>
                <w:b w:val="0"/>
                <w:i w:val="0"/>
                <w:color w:val="auto"/>
                <w:szCs w:val="21"/>
                <w:highlight w:val="none"/>
                <w:u w:val="none" w:color="auto"/>
              </w:rPr>
              <w:t>2</w:t>
            </w:r>
            <w:r>
              <w:rPr>
                <w:rFonts w:hint="eastAsia"/>
                <w:b w:val="0"/>
                <w:i w:val="0"/>
                <w:color w:val="auto"/>
                <w:szCs w:val="21"/>
                <w:highlight w:val="none"/>
                <w:u w:val="none" w:color="auto"/>
                <w:lang w:eastAsia="zh-CN"/>
              </w:rPr>
              <w:t>)</w:t>
            </w:r>
          </w:p>
        </w:tc>
        <w:tc>
          <w:tcPr>
            <w:tcW w:w="1059" w:type="dxa"/>
            <w:vMerge w:val="continue"/>
            <w:vAlign w:val="center"/>
          </w:tcPr>
          <w:p w14:paraId="4D2FBB26">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440D0117">
            <w:pPr>
              <w:pStyle w:val="54"/>
              <w:jc w:val="center"/>
              <w:rPr>
                <w:rFonts w:ascii="宋体" w:hAnsi="宋体"/>
                <w:color w:val="auto"/>
                <w:szCs w:val="21"/>
                <w:highlight w:val="none"/>
              </w:rPr>
            </w:pPr>
            <w:r>
              <w:rPr>
                <w:rStyle w:val="20"/>
                <w:rFonts w:ascii="宋体" w:hAnsi="宋体" w:eastAsia="宋体" w:cs="宋体"/>
                <w:b w:val="0"/>
                <w:color w:val="auto"/>
                <w:sz w:val="21"/>
                <w:szCs w:val="24"/>
              </w:rPr>
              <w:t>工程进度计划与措施</w:t>
            </w:r>
          </w:p>
        </w:tc>
        <w:tc>
          <w:tcPr>
            <w:tcW w:w="935" w:type="dxa"/>
            <w:gridSpan w:val="2"/>
            <w:vAlign w:val="center"/>
          </w:tcPr>
          <w:p w14:paraId="0BDF4F09">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宋体" w:hAnsi="宋体" w:eastAsia="宋体"/>
                <w:color w:val="auto"/>
                <w:szCs w:val="44"/>
                <w:highlight w:val="none"/>
                <w:lang w:val="en-US" w:eastAsia="zh-CN"/>
              </w:rPr>
            </w:pPr>
            <w:r>
              <w:rPr>
                <w:rFonts w:hint="eastAsia" w:ascii="宋体" w:hAnsi="宋体" w:cs="宋体"/>
                <w:b w:val="0"/>
                <w:bCs/>
                <w:i w:val="0"/>
                <w:color w:val="auto"/>
                <w:sz w:val="21"/>
                <w:szCs w:val="21"/>
                <w:highlight w:val="none"/>
                <w:u w:val="none" w:color="auto"/>
                <w:lang w:val="en-US" w:eastAsia="zh-CN"/>
              </w:rPr>
              <w:t>2</w:t>
            </w:r>
          </w:p>
        </w:tc>
        <w:tc>
          <w:tcPr>
            <w:tcW w:w="4111" w:type="dxa"/>
            <w:vAlign w:val="center"/>
          </w:tcPr>
          <w:p w14:paraId="3AD0592E">
            <w:pPr>
              <w:pStyle w:val="54"/>
              <w:jc w:val="left"/>
              <w:rPr>
                <w:rStyle w:val="20"/>
                <w:rFonts w:ascii="宋体" w:hAnsi="宋体" w:eastAsia="宋体" w:cs="宋体"/>
                <w:b w:val="0"/>
                <w:color w:val="auto"/>
                <w:sz w:val="21"/>
                <w:szCs w:val="24"/>
              </w:rPr>
            </w:pPr>
            <w:r>
              <w:rPr>
                <w:rStyle w:val="20"/>
                <w:rFonts w:ascii="宋体" w:hAnsi="宋体" w:eastAsia="宋体" w:cs="宋体"/>
                <w:b w:val="0"/>
                <w:color w:val="auto"/>
                <w:sz w:val="21"/>
                <w:szCs w:val="24"/>
              </w:rPr>
              <w:t>1.有切合实际的工程进度计划</w:t>
            </w:r>
            <w:r>
              <w:rPr>
                <w:rStyle w:val="20"/>
                <w:rFonts w:hint="eastAsia" w:ascii="宋体" w:hAnsi="宋体" w:eastAsia="宋体" w:cs="宋体"/>
                <w:b w:val="0"/>
                <w:color w:val="auto"/>
                <w:sz w:val="21"/>
                <w:szCs w:val="24"/>
                <w:lang w:eastAsia="zh-CN"/>
              </w:rPr>
              <w:t>（</w:t>
            </w:r>
            <w:r>
              <w:rPr>
                <w:rStyle w:val="20"/>
                <w:rFonts w:ascii="宋体" w:hAnsi="宋体" w:eastAsia="宋体" w:cs="宋体"/>
                <w:b w:val="0"/>
                <w:color w:val="auto"/>
                <w:sz w:val="21"/>
                <w:szCs w:val="24"/>
              </w:rPr>
              <w:t>具有横道或网络图</w:t>
            </w:r>
            <w:r>
              <w:rPr>
                <w:rStyle w:val="20"/>
                <w:rFonts w:hint="eastAsia" w:ascii="宋体" w:hAnsi="宋体" w:eastAsia="宋体" w:cs="宋体"/>
                <w:b w:val="0"/>
                <w:color w:val="auto"/>
                <w:sz w:val="21"/>
                <w:szCs w:val="24"/>
                <w:lang w:eastAsia="zh-CN"/>
              </w:rPr>
              <w:t>）</w:t>
            </w:r>
            <w:r>
              <w:rPr>
                <w:rStyle w:val="20"/>
                <w:rFonts w:ascii="宋体" w:hAnsi="宋体" w:eastAsia="宋体" w:cs="宋体"/>
                <w:b w:val="0"/>
                <w:color w:val="auto"/>
                <w:sz w:val="21"/>
                <w:szCs w:val="24"/>
              </w:rPr>
              <w:t>，有完善的进度保证措施且措施可行</w:t>
            </w:r>
            <w:r>
              <w:rPr>
                <w:rStyle w:val="20"/>
                <w:rFonts w:hint="eastAsia" w:ascii="宋体" w:hAnsi="宋体" w:eastAsia="宋体" w:cs="宋体"/>
                <w:b w:val="0"/>
                <w:color w:val="auto"/>
                <w:sz w:val="21"/>
                <w:szCs w:val="24"/>
                <w:lang w:eastAsia="zh-CN"/>
              </w:rPr>
              <w:t>，</w:t>
            </w:r>
            <w:r>
              <w:rPr>
                <w:rStyle w:val="20"/>
                <w:rFonts w:ascii="宋体" w:hAnsi="宋体" w:eastAsia="宋体" w:cs="宋体"/>
                <w:b w:val="0"/>
                <w:color w:val="auto"/>
                <w:sz w:val="21"/>
                <w:szCs w:val="24"/>
              </w:rPr>
              <w:t>得</w:t>
            </w:r>
            <w:r>
              <w:rPr>
                <w:rStyle w:val="20"/>
                <w:rFonts w:hint="eastAsia" w:ascii="宋体" w:hAnsi="宋体" w:eastAsia="宋体" w:cs="宋体"/>
                <w:b w:val="0"/>
                <w:color w:val="auto"/>
                <w:sz w:val="21"/>
                <w:szCs w:val="24"/>
                <w:lang w:val="en-US" w:eastAsia="zh-CN"/>
              </w:rPr>
              <w:t>2</w:t>
            </w:r>
            <w:r>
              <w:rPr>
                <w:rStyle w:val="20"/>
                <w:rFonts w:ascii="宋体" w:hAnsi="宋体" w:eastAsia="宋体" w:cs="宋体"/>
                <w:b w:val="0"/>
                <w:color w:val="auto"/>
                <w:sz w:val="21"/>
                <w:szCs w:val="24"/>
              </w:rPr>
              <w:t>分。</w:t>
            </w:r>
          </w:p>
          <w:p w14:paraId="1C5A272F">
            <w:pPr>
              <w:pStyle w:val="54"/>
              <w:jc w:val="left"/>
              <w:rPr>
                <w:rStyle w:val="20"/>
                <w:rFonts w:ascii="宋体" w:hAnsi="宋体" w:eastAsia="宋体" w:cs="宋体"/>
                <w:b w:val="0"/>
                <w:color w:val="auto"/>
                <w:sz w:val="21"/>
                <w:szCs w:val="24"/>
              </w:rPr>
            </w:pPr>
            <w:r>
              <w:rPr>
                <w:rStyle w:val="20"/>
                <w:rFonts w:ascii="宋体" w:hAnsi="宋体" w:eastAsia="宋体" w:cs="宋体"/>
                <w:b w:val="0"/>
                <w:color w:val="auto"/>
                <w:sz w:val="21"/>
                <w:szCs w:val="24"/>
              </w:rPr>
              <w:t>2.有切合实际的工程进度计划</w:t>
            </w:r>
            <w:r>
              <w:rPr>
                <w:rStyle w:val="20"/>
                <w:rFonts w:hint="eastAsia" w:ascii="宋体" w:hAnsi="宋体" w:eastAsia="宋体" w:cs="宋体"/>
                <w:b w:val="0"/>
                <w:color w:val="auto"/>
                <w:sz w:val="21"/>
                <w:szCs w:val="24"/>
                <w:lang w:eastAsia="zh-CN"/>
              </w:rPr>
              <w:t>（</w:t>
            </w:r>
            <w:r>
              <w:rPr>
                <w:rStyle w:val="20"/>
                <w:rFonts w:ascii="宋体" w:hAnsi="宋体" w:eastAsia="宋体" w:cs="宋体"/>
                <w:b w:val="0"/>
                <w:color w:val="auto"/>
                <w:sz w:val="21"/>
                <w:szCs w:val="24"/>
              </w:rPr>
              <w:t>具有横道或网络图</w:t>
            </w:r>
            <w:r>
              <w:rPr>
                <w:rStyle w:val="20"/>
                <w:rFonts w:hint="eastAsia" w:ascii="宋体" w:hAnsi="宋体" w:eastAsia="宋体" w:cs="宋体"/>
                <w:b w:val="0"/>
                <w:color w:val="auto"/>
                <w:sz w:val="21"/>
                <w:szCs w:val="24"/>
                <w:lang w:eastAsia="zh-CN"/>
              </w:rPr>
              <w:t>）</w:t>
            </w:r>
            <w:r>
              <w:rPr>
                <w:rStyle w:val="20"/>
                <w:rFonts w:ascii="宋体" w:hAnsi="宋体" w:eastAsia="宋体" w:cs="宋体"/>
                <w:b w:val="0"/>
                <w:color w:val="auto"/>
                <w:sz w:val="21"/>
                <w:szCs w:val="24"/>
              </w:rPr>
              <w:t>，进度保证措施基本合理的</w:t>
            </w:r>
            <w:r>
              <w:rPr>
                <w:rStyle w:val="20"/>
                <w:rFonts w:hint="eastAsia" w:ascii="宋体" w:hAnsi="宋体" w:eastAsia="宋体" w:cs="宋体"/>
                <w:b w:val="0"/>
                <w:color w:val="auto"/>
                <w:sz w:val="21"/>
                <w:szCs w:val="24"/>
                <w:lang w:eastAsia="zh-CN"/>
              </w:rPr>
              <w:t>，</w:t>
            </w:r>
            <w:r>
              <w:rPr>
                <w:rStyle w:val="20"/>
                <w:rFonts w:ascii="宋体" w:hAnsi="宋体" w:eastAsia="宋体" w:cs="宋体"/>
                <w:b w:val="0"/>
                <w:color w:val="auto"/>
                <w:sz w:val="21"/>
                <w:szCs w:val="24"/>
              </w:rPr>
              <w:t>得1分。</w:t>
            </w:r>
          </w:p>
          <w:p w14:paraId="155071FE">
            <w:pPr>
              <w:pStyle w:val="54"/>
              <w:jc w:val="left"/>
              <w:rPr>
                <w:rStyle w:val="20"/>
                <w:rFonts w:ascii="宋体" w:hAnsi="宋体" w:eastAsia="宋体" w:cs="宋体"/>
                <w:b w:val="0"/>
                <w:color w:val="auto"/>
                <w:sz w:val="21"/>
                <w:szCs w:val="24"/>
              </w:rPr>
            </w:pPr>
            <w:r>
              <w:rPr>
                <w:rStyle w:val="20"/>
                <w:rFonts w:ascii="宋体" w:hAnsi="宋体" w:eastAsia="宋体" w:cs="宋体"/>
                <w:b w:val="0"/>
                <w:color w:val="auto"/>
                <w:sz w:val="21"/>
                <w:szCs w:val="24"/>
              </w:rPr>
              <w:t>3.进度保证措施基本合理的</w:t>
            </w:r>
            <w:r>
              <w:rPr>
                <w:rStyle w:val="20"/>
                <w:rFonts w:hint="eastAsia" w:ascii="宋体" w:hAnsi="宋体" w:eastAsia="宋体" w:cs="宋体"/>
                <w:b w:val="0"/>
                <w:color w:val="auto"/>
                <w:sz w:val="21"/>
                <w:szCs w:val="24"/>
                <w:lang w:eastAsia="zh-CN"/>
              </w:rPr>
              <w:t>，</w:t>
            </w:r>
            <w:r>
              <w:rPr>
                <w:rStyle w:val="20"/>
                <w:rFonts w:ascii="宋体" w:hAnsi="宋体" w:eastAsia="宋体" w:cs="宋体"/>
                <w:b w:val="0"/>
                <w:color w:val="auto"/>
                <w:sz w:val="21"/>
                <w:szCs w:val="24"/>
              </w:rPr>
              <w:t>得0.5分</w:t>
            </w:r>
          </w:p>
          <w:p w14:paraId="1ACEBE32">
            <w:pPr>
              <w:pStyle w:val="54"/>
              <w:jc w:val="left"/>
              <w:rPr>
                <w:color w:val="auto"/>
                <w:highlight w:val="none"/>
              </w:rPr>
            </w:pPr>
            <w:r>
              <w:rPr>
                <w:rStyle w:val="20"/>
                <w:rFonts w:ascii="宋体" w:hAnsi="宋体" w:eastAsia="宋体" w:cs="宋体"/>
                <w:b w:val="0"/>
                <w:color w:val="auto"/>
                <w:sz w:val="21"/>
                <w:szCs w:val="24"/>
              </w:rPr>
              <w:t>4.无进度保证措施不得分。</w:t>
            </w:r>
          </w:p>
        </w:tc>
      </w:tr>
      <w:tr w14:paraId="40679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56BA35E3">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b w:val="0"/>
                <w:i w:val="0"/>
                <w:color w:val="auto"/>
                <w:szCs w:val="21"/>
                <w:highlight w:val="none"/>
                <w:u w:val="none" w:color="auto"/>
              </w:rPr>
              <w:t>2.2.4</w:t>
            </w:r>
            <w:r>
              <w:rPr>
                <w:rFonts w:hint="eastAsia"/>
                <w:b w:val="0"/>
                <w:i w:val="0"/>
                <w:color w:val="auto"/>
                <w:szCs w:val="21"/>
                <w:highlight w:val="none"/>
                <w:u w:val="none" w:color="auto"/>
                <w:lang w:eastAsia="zh-CN"/>
              </w:rPr>
              <w:t>(</w:t>
            </w:r>
            <w:r>
              <w:rPr>
                <w:rFonts w:hint="eastAsia"/>
                <w:b w:val="0"/>
                <w:i w:val="0"/>
                <w:color w:val="auto"/>
                <w:szCs w:val="21"/>
                <w:highlight w:val="none"/>
                <w:u w:val="none" w:color="auto"/>
              </w:rPr>
              <w:t>2</w:t>
            </w:r>
            <w:r>
              <w:rPr>
                <w:rFonts w:hint="eastAsia"/>
                <w:b w:val="0"/>
                <w:i w:val="0"/>
                <w:color w:val="auto"/>
                <w:szCs w:val="21"/>
                <w:highlight w:val="none"/>
                <w:u w:val="none" w:color="auto"/>
                <w:lang w:eastAsia="zh-CN"/>
              </w:rPr>
              <w:t>)</w:t>
            </w:r>
          </w:p>
        </w:tc>
        <w:tc>
          <w:tcPr>
            <w:tcW w:w="1059" w:type="dxa"/>
            <w:vMerge w:val="continue"/>
            <w:vAlign w:val="center"/>
          </w:tcPr>
          <w:p w14:paraId="53003E3F">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115DC601">
            <w:pPr>
              <w:pStyle w:val="54"/>
              <w:jc w:val="center"/>
              <w:rPr>
                <w:rFonts w:ascii="宋体" w:hAnsi="宋体"/>
                <w:color w:val="auto"/>
                <w:szCs w:val="21"/>
                <w:highlight w:val="none"/>
              </w:rPr>
            </w:pPr>
            <w:r>
              <w:rPr>
                <w:rStyle w:val="20"/>
                <w:rFonts w:ascii="宋体" w:hAnsi="宋体" w:eastAsia="宋体" w:cs="宋体"/>
                <w:b w:val="0"/>
                <w:color w:val="auto"/>
                <w:sz w:val="21"/>
                <w:szCs w:val="24"/>
              </w:rPr>
              <w:t>造价控制措施</w:t>
            </w:r>
          </w:p>
        </w:tc>
        <w:tc>
          <w:tcPr>
            <w:tcW w:w="935" w:type="dxa"/>
            <w:gridSpan w:val="2"/>
            <w:vAlign w:val="center"/>
          </w:tcPr>
          <w:p w14:paraId="57AB247C">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宋体" w:hAnsi="宋体" w:eastAsia="宋体"/>
                <w:color w:val="auto"/>
                <w:szCs w:val="44"/>
                <w:highlight w:val="none"/>
                <w:lang w:val="en-US" w:eastAsia="zh-CN"/>
              </w:rPr>
            </w:pPr>
            <w:r>
              <w:rPr>
                <w:rFonts w:hint="eastAsia" w:ascii="宋体" w:hAnsi="宋体" w:cs="宋体"/>
                <w:b w:val="0"/>
                <w:bCs/>
                <w:i w:val="0"/>
                <w:color w:val="auto"/>
                <w:sz w:val="21"/>
                <w:szCs w:val="21"/>
                <w:highlight w:val="none"/>
                <w:u w:val="none" w:color="auto"/>
                <w:lang w:val="en-US" w:eastAsia="zh-CN"/>
              </w:rPr>
              <w:t>2</w:t>
            </w:r>
          </w:p>
        </w:tc>
        <w:tc>
          <w:tcPr>
            <w:tcW w:w="4111" w:type="dxa"/>
            <w:vAlign w:val="center"/>
          </w:tcPr>
          <w:p w14:paraId="6A81D306">
            <w:pPr>
              <w:pStyle w:val="54"/>
              <w:jc w:val="left"/>
              <w:rPr>
                <w:rStyle w:val="20"/>
                <w:rFonts w:ascii="宋体" w:hAnsi="宋体" w:eastAsia="宋体" w:cs="宋体"/>
                <w:b w:val="0"/>
                <w:color w:val="auto"/>
                <w:sz w:val="21"/>
                <w:szCs w:val="24"/>
              </w:rPr>
            </w:pPr>
            <w:r>
              <w:rPr>
                <w:rStyle w:val="20"/>
                <w:rFonts w:ascii="宋体" w:hAnsi="宋体" w:eastAsia="宋体" w:cs="宋体"/>
                <w:b w:val="0"/>
                <w:color w:val="auto"/>
                <w:sz w:val="21"/>
                <w:szCs w:val="24"/>
              </w:rPr>
              <w:t>1.造价控制措施全面、科学、合理、针对性强</w:t>
            </w:r>
            <w:r>
              <w:rPr>
                <w:rStyle w:val="20"/>
                <w:rFonts w:hint="eastAsia" w:ascii="宋体" w:hAnsi="宋体" w:eastAsia="宋体" w:cs="宋体"/>
                <w:b w:val="0"/>
                <w:color w:val="auto"/>
                <w:sz w:val="21"/>
                <w:szCs w:val="24"/>
                <w:lang w:eastAsia="zh-CN"/>
              </w:rPr>
              <w:t>，</w:t>
            </w:r>
            <w:r>
              <w:rPr>
                <w:rStyle w:val="20"/>
                <w:rFonts w:ascii="宋体" w:hAnsi="宋体" w:eastAsia="宋体" w:cs="宋体"/>
                <w:b w:val="0"/>
                <w:color w:val="auto"/>
                <w:sz w:val="21"/>
                <w:szCs w:val="24"/>
              </w:rPr>
              <w:t>得</w:t>
            </w:r>
            <w:r>
              <w:rPr>
                <w:rStyle w:val="20"/>
                <w:rFonts w:hint="eastAsia" w:ascii="宋体" w:hAnsi="宋体" w:eastAsia="宋体" w:cs="宋体"/>
                <w:b w:val="0"/>
                <w:color w:val="auto"/>
                <w:sz w:val="21"/>
                <w:szCs w:val="24"/>
                <w:lang w:val="en-US" w:eastAsia="zh-CN"/>
              </w:rPr>
              <w:t>2</w:t>
            </w:r>
            <w:r>
              <w:rPr>
                <w:rStyle w:val="20"/>
                <w:rFonts w:ascii="宋体" w:hAnsi="宋体" w:eastAsia="宋体" w:cs="宋体"/>
                <w:b w:val="0"/>
                <w:color w:val="auto"/>
                <w:sz w:val="21"/>
                <w:szCs w:val="24"/>
              </w:rPr>
              <w:t>分。</w:t>
            </w:r>
          </w:p>
          <w:p w14:paraId="5828985E">
            <w:pPr>
              <w:pStyle w:val="54"/>
              <w:jc w:val="left"/>
              <w:rPr>
                <w:rStyle w:val="20"/>
                <w:rFonts w:ascii="宋体" w:hAnsi="宋体" w:eastAsia="宋体" w:cs="宋体"/>
                <w:b w:val="0"/>
                <w:color w:val="auto"/>
                <w:sz w:val="21"/>
                <w:szCs w:val="24"/>
              </w:rPr>
            </w:pPr>
            <w:r>
              <w:rPr>
                <w:rStyle w:val="20"/>
                <w:rFonts w:ascii="宋体" w:hAnsi="宋体" w:eastAsia="宋体" w:cs="宋体"/>
                <w:b w:val="0"/>
                <w:color w:val="auto"/>
                <w:sz w:val="21"/>
                <w:szCs w:val="24"/>
              </w:rPr>
              <w:t>2.造价控制措施基本合理</w:t>
            </w:r>
            <w:r>
              <w:rPr>
                <w:rStyle w:val="20"/>
                <w:rFonts w:hint="eastAsia" w:ascii="宋体" w:hAnsi="宋体" w:eastAsia="宋体" w:cs="宋体"/>
                <w:b w:val="0"/>
                <w:color w:val="auto"/>
                <w:sz w:val="21"/>
                <w:szCs w:val="24"/>
                <w:lang w:eastAsia="zh-CN"/>
              </w:rPr>
              <w:t>，</w:t>
            </w:r>
            <w:r>
              <w:rPr>
                <w:rStyle w:val="20"/>
                <w:rFonts w:ascii="宋体" w:hAnsi="宋体" w:eastAsia="宋体" w:cs="宋体"/>
                <w:b w:val="0"/>
                <w:color w:val="auto"/>
                <w:sz w:val="21"/>
                <w:szCs w:val="24"/>
              </w:rPr>
              <w:t>得</w:t>
            </w:r>
            <w:r>
              <w:rPr>
                <w:rStyle w:val="20"/>
                <w:rFonts w:hint="eastAsia" w:ascii="宋体" w:hAnsi="宋体" w:eastAsia="宋体" w:cs="宋体"/>
                <w:b w:val="0"/>
                <w:color w:val="auto"/>
                <w:sz w:val="21"/>
                <w:szCs w:val="24"/>
                <w:lang w:val="en-US" w:eastAsia="zh-CN"/>
              </w:rPr>
              <w:t>1</w:t>
            </w:r>
            <w:r>
              <w:rPr>
                <w:rStyle w:val="20"/>
                <w:rFonts w:ascii="宋体" w:hAnsi="宋体" w:eastAsia="宋体" w:cs="宋体"/>
                <w:b w:val="0"/>
                <w:color w:val="auto"/>
                <w:sz w:val="21"/>
                <w:szCs w:val="24"/>
              </w:rPr>
              <w:t>分。</w:t>
            </w:r>
          </w:p>
          <w:p w14:paraId="703CA431">
            <w:pPr>
              <w:pStyle w:val="54"/>
              <w:jc w:val="left"/>
              <w:rPr>
                <w:color w:val="auto"/>
                <w:highlight w:val="none"/>
              </w:rPr>
            </w:pPr>
            <w:r>
              <w:rPr>
                <w:rStyle w:val="20"/>
                <w:rFonts w:ascii="宋体" w:hAnsi="宋体" w:eastAsia="宋体" w:cs="宋体"/>
                <w:b w:val="0"/>
                <w:color w:val="auto"/>
                <w:sz w:val="21"/>
                <w:szCs w:val="24"/>
              </w:rPr>
              <w:t>3.无造价控制措施不得分。</w:t>
            </w:r>
          </w:p>
        </w:tc>
      </w:tr>
      <w:tr w14:paraId="3BCDD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1A05B490">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b w:val="0"/>
                <w:i w:val="0"/>
                <w:color w:val="auto"/>
                <w:szCs w:val="21"/>
                <w:highlight w:val="none"/>
                <w:u w:val="none" w:color="auto"/>
              </w:rPr>
              <w:t>2.2.4</w:t>
            </w:r>
            <w:r>
              <w:rPr>
                <w:rFonts w:hint="eastAsia"/>
                <w:b w:val="0"/>
                <w:i w:val="0"/>
                <w:color w:val="auto"/>
                <w:szCs w:val="21"/>
                <w:highlight w:val="none"/>
                <w:u w:val="none" w:color="auto"/>
                <w:lang w:eastAsia="zh-CN"/>
              </w:rPr>
              <w:t>(</w:t>
            </w:r>
            <w:r>
              <w:rPr>
                <w:rFonts w:hint="eastAsia"/>
                <w:b w:val="0"/>
                <w:i w:val="0"/>
                <w:color w:val="auto"/>
                <w:szCs w:val="21"/>
                <w:highlight w:val="none"/>
                <w:u w:val="none" w:color="auto"/>
              </w:rPr>
              <w:t>2</w:t>
            </w:r>
            <w:r>
              <w:rPr>
                <w:rFonts w:hint="eastAsia"/>
                <w:b w:val="0"/>
                <w:i w:val="0"/>
                <w:color w:val="auto"/>
                <w:szCs w:val="21"/>
                <w:highlight w:val="none"/>
                <w:u w:val="none" w:color="auto"/>
                <w:lang w:eastAsia="zh-CN"/>
              </w:rPr>
              <w:t>)</w:t>
            </w:r>
          </w:p>
        </w:tc>
        <w:tc>
          <w:tcPr>
            <w:tcW w:w="1059" w:type="dxa"/>
            <w:vMerge w:val="continue"/>
            <w:vAlign w:val="center"/>
          </w:tcPr>
          <w:p w14:paraId="67553D03">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7A612BB1">
            <w:pPr>
              <w:pStyle w:val="54"/>
              <w:jc w:val="center"/>
              <w:rPr>
                <w:rFonts w:ascii="宋体" w:hAnsi="宋体"/>
                <w:color w:val="auto"/>
                <w:szCs w:val="21"/>
                <w:highlight w:val="none"/>
              </w:rPr>
            </w:pPr>
            <w:r>
              <w:rPr>
                <w:rStyle w:val="20"/>
                <w:rFonts w:ascii="宋体" w:hAnsi="宋体" w:eastAsia="宋体" w:cs="宋体"/>
                <w:b w:val="0"/>
                <w:color w:val="auto"/>
                <w:sz w:val="21"/>
                <w:szCs w:val="24"/>
              </w:rPr>
              <w:t>施工工艺</w:t>
            </w:r>
          </w:p>
        </w:tc>
        <w:tc>
          <w:tcPr>
            <w:tcW w:w="935" w:type="dxa"/>
            <w:gridSpan w:val="2"/>
            <w:vAlign w:val="center"/>
          </w:tcPr>
          <w:p w14:paraId="2F9B6E2E">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宋体" w:hAnsi="宋体" w:eastAsia="宋体"/>
                <w:color w:val="auto"/>
                <w:szCs w:val="44"/>
                <w:highlight w:val="none"/>
                <w:lang w:val="en-US" w:eastAsia="zh-CN"/>
              </w:rPr>
            </w:pPr>
            <w:r>
              <w:rPr>
                <w:rFonts w:hint="eastAsia" w:ascii="宋体" w:hAnsi="宋体" w:cs="宋体"/>
                <w:b w:val="0"/>
                <w:bCs/>
                <w:i w:val="0"/>
                <w:color w:val="auto"/>
                <w:sz w:val="21"/>
                <w:szCs w:val="21"/>
                <w:highlight w:val="none"/>
                <w:u w:val="none" w:color="auto"/>
                <w:lang w:val="en-US" w:eastAsia="zh-CN"/>
              </w:rPr>
              <w:t>2</w:t>
            </w:r>
          </w:p>
        </w:tc>
        <w:tc>
          <w:tcPr>
            <w:tcW w:w="4111" w:type="dxa"/>
            <w:vAlign w:val="center"/>
          </w:tcPr>
          <w:p w14:paraId="181EADA5">
            <w:pPr>
              <w:pStyle w:val="54"/>
              <w:jc w:val="left"/>
              <w:rPr>
                <w:rStyle w:val="20"/>
                <w:rFonts w:ascii="宋体" w:hAnsi="宋体" w:eastAsia="宋体" w:cs="宋体"/>
                <w:b w:val="0"/>
                <w:color w:val="auto"/>
                <w:sz w:val="21"/>
                <w:szCs w:val="24"/>
              </w:rPr>
            </w:pPr>
            <w:r>
              <w:rPr>
                <w:rStyle w:val="20"/>
                <w:rFonts w:ascii="宋体" w:hAnsi="宋体" w:eastAsia="宋体" w:cs="宋体"/>
                <w:b w:val="0"/>
                <w:color w:val="auto"/>
                <w:sz w:val="21"/>
                <w:szCs w:val="24"/>
              </w:rPr>
              <w:t>1.施工工艺技术难点及相应解决方案科学、合理、详细的</w:t>
            </w:r>
            <w:r>
              <w:rPr>
                <w:rStyle w:val="20"/>
                <w:rFonts w:hint="eastAsia" w:ascii="宋体" w:hAnsi="宋体" w:eastAsia="宋体" w:cs="宋体"/>
                <w:b w:val="0"/>
                <w:color w:val="auto"/>
                <w:sz w:val="21"/>
                <w:szCs w:val="24"/>
                <w:lang w:eastAsia="zh-CN"/>
              </w:rPr>
              <w:t>，</w:t>
            </w:r>
            <w:r>
              <w:rPr>
                <w:rStyle w:val="20"/>
                <w:rFonts w:ascii="宋体" w:hAnsi="宋体" w:eastAsia="宋体" w:cs="宋体"/>
                <w:b w:val="0"/>
                <w:color w:val="auto"/>
                <w:sz w:val="21"/>
                <w:szCs w:val="24"/>
              </w:rPr>
              <w:t>得</w:t>
            </w:r>
            <w:r>
              <w:rPr>
                <w:rStyle w:val="20"/>
                <w:rFonts w:hint="eastAsia" w:ascii="宋体" w:hAnsi="宋体" w:eastAsia="宋体" w:cs="宋体"/>
                <w:b w:val="0"/>
                <w:color w:val="auto"/>
                <w:sz w:val="21"/>
                <w:szCs w:val="24"/>
                <w:lang w:val="en-US" w:eastAsia="zh-CN"/>
              </w:rPr>
              <w:t>2</w:t>
            </w:r>
            <w:r>
              <w:rPr>
                <w:rStyle w:val="20"/>
                <w:rFonts w:ascii="宋体" w:hAnsi="宋体" w:eastAsia="宋体" w:cs="宋体"/>
                <w:b w:val="0"/>
                <w:color w:val="auto"/>
                <w:sz w:val="21"/>
                <w:szCs w:val="24"/>
              </w:rPr>
              <w:t>分。</w:t>
            </w:r>
          </w:p>
          <w:p w14:paraId="12716887">
            <w:pPr>
              <w:pStyle w:val="54"/>
              <w:jc w:val="left"/>
              <w:rPr>
                <w:rStyle w:val="20"/>
                <w:rFonts w:ascii="宋体" w:hAnsi="宋体" w:eastAsia="宋体" w:cs="宋体"/>
                <w:b w:val="0"/>
                <w:color w:val="auto"/>
                <w:sz w:val="21"/>
                <w:szCs w:val="24"/>
              </w:rPr>
            </w:pPr>
            <w:r>
              <w:rPr>
                <w:rStyle w:val="20"/>
                <w:rFonts w:ascii="宋体" w:hAnsi="宋体" w:eastAsia="宋体" w:cs="宋体"/>
                <w:b w:val="0"/>
                <w:color w:val="auto"/>
                <w:sz w:val="21"/>
                <w:szCs w:val="24"/>
              </w:rPr>
              <w:t>2.施工工艺技术难点及相应解决方案基本合理</w:t>
            </w:r>
            <w:r>
              <w:rPr>
                <w:rStyle w:val="20"/>
                <w:rFonts w:hint="eastAsia" w:ascii="宋体" w:hAnsi="宋体" w:eastAsia="宋体" w:cs="宋体"/>
                <w:b w:val="0"/>
                <w:color w:val="auto"/>
                <w:sz w:val="21"/>
                <w:szCs w:val="24"/>
                <w:lang w:eastAsia="zh-CN"/>
              </w:rPr>
              <w:t>，</w:t>
            </w:r>
            <w:r>
              <w:rPr>
                <w:rStyle w:val="20"/>
                <w:rFonts w:ascii="宋体" w:hAnsi="宋体" w:eastAsia="宋体" w:cs="宋体"/>
                <w:b w:val="0"/>
                <w:color w:val="auto"/>
                <w:sz w:val="21"/>
                <w:szCs w:val="24"/>
              </w:rPr>
              <w:t>得</w:t>
            </w:r>
            <w:r>
              <w:rPr>
                <w:rStyle w:val="20"/>
                <w:rFonts w:hint="eastAsia" w:ascii="宋体" w:hAnsi="宋体" w:eastAsia="宋体" w:cs="宋体"/>
                <w:b w:val="0"/>
                <w:color w:val="auto"/>
                <w:sz w:val="21"/>
                <w:szCs w:val="24"/>
                <w:lang w:val="en-US" w:eastAsia="zh-CN"/>
              </w:rPr>
              <w:t>1</w:t>
            </w:r>
            <w:r>
              <w:rPr>
                <w:rStyle w:val="20"/>
                <w:rFonts w:ascii="宋体" w:hAnsi="宋体" w:eastAsia="宋体" w:cs="宋体"/>
                <w:b w:val="0"/>
                <w:color w:val="auto"/>
                <w:sz w:val="21"/>
                <w:szCs w:val="24"/>
              </w:rPr>
              <w:t>分。</w:t>
            </w:r>
          </w:p>
          <w:p w14:paraId="3F689ECB">
            <w:pPr>
              <w:pStyle w:val="54"/>
              <w:jc w:val="left"/>
              <w:rPr>
                <w:color w:val="auto"/>
                <w:highlight w:val="none"/>
              </w:rPr>
            </w:pPr>
            <w:r>
              <w:rPr>
                <w:rStyle w:val="20"/>
                <w:rFonts w:ascii="宋体" w:hAnsi="宋体" w:eastAsia="宋体" w:cs="宋体"/>
                <w:b w:val="0"/>
                <w:color w:val="auto"/>
                <w:sz w:val="21"/>
                <w:szCs w:val="24"/>
              </w:rPr>
              <w:t>3.无解决方案不得分。</w:t>
            </w:r>
          </w:p>
        </w:tc>
      </w:tr>
      <w:tr w14:paraId="16032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7DECF8EE">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b w:val="0"/>
                <w:i w:val="0"/>
                <w:color w:val="auto"/>
                <w:szCs w:val="21"/>
                <w:highlight w:val="none"/>
                <w:u w:val="none" w:color="auto"/>
              </w:rPr>
              <w:t>2.2.4</w:t>
            </w:r>
            <w:r>
              <w:rPr>
                <w:rFonts w:hint="eastAsia"/>
                <w:b w:val="0"/>
                <w:i w:val="0"/>
                <w:color w:val="auto"/>
                <w:szCs w:val="21"/>
                <w:highlight w:val="none"/>
                <w:u w:val="none" w:color="auto"/>
                <w:lang w:eastAsia="zh-CN"/>
              </w:rPr>
              <w:t>(</w:t>
            </w:r>
            <w:r>
              <w:rPr>
                <w:rFonts w:hint="eastAsia"/>
                <w:b w:val="0"/>
                <w:i w:val="0"/>
                <w:color w:val="auto"/>
                <w:szCs w:val="21"/>
                <w:highlight w:val="none"/>
                <w:u w:val="none" w:color="auto"/>
              </w:rPr>
              <w:t>2</w:t>
            </w:r>
            <w:r>
              <w:rPr>
                <w:rFonts w:hint="eastAsia"/>
                <w:b w:val="0"/>
                <w:i w:val="0"/>
                <w:color w:val="auto"/>
                <w:szCs w:val="21"/>
                <w:highlight w:val="none"/>
                <w:u w:val="none" w:color="auto"/>
                <w:lang w:eastAsia="zh-CN"/>
              </w:rPr>
              <w:t>)</w:t>
            </w:r>
          </w:p>
        </w:tc>
        <w:tc>
          <w:tcPr>
            <w:tcW w:w="1059" w:type="dxa"/>
            <w:vMerge w:val="continue"/>
            <w:vAlign w:val="center"/>
          </w:tcPr>
          <w:p w14:paraId="242DE8B7">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309A2687">
            <w:pPr>
              <w:pStyle w:val="54"/>
              <w:jc w:val="center"/>
              <w:rPr>
                <w:rFonts w:ascii="宋体" w:hAnsi="宋体"/>
                <w:color w:val="auto"/>
                <w:szCs w:val="21"/>
                <w:highlight w:val="none"/>
              </w:rPr>
            </w:pPr>
            <w:r>
              <w:rPr>
                <w:rStyle w:val="20"/>
                <w:rFonts w:ascii="宋体" w:hAnsi="宋体" w:eastAsia="宋体" w:cs="宋体"/>
                <w:b w:val="0"/>
                <w:color w:val="auto"/>
                <w:sz w:val="21"/>
                <w:szCs w:val="24"/>
              </w:rPr>
              <w:t>应急预案措施</w:t>
            </w:r>
          </w:p>
        </w:tc>
        <w:tc>
          <w:tcPr>
            <w:tcW w:w="935" w:type="dxa"/>
            <w:gridSpan w:val="2"/>
            <w:vAlign w:val="center"/>
          </w:tcPr>
          <w:p w14:paraId="593F806C">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宋体" w:hAnsi="宋体" w:eastAsia="宋体"/>
                <w:color w:val="auto"/>
                <w:szCs w:val="44"/>
                <w:highlight w:val="none"/>
                <w:lang w:val="en-US" w:eastAsia="zh-CN"/>
              </w:rPr>
            </w:pPr>
            <w:r>
              <w:rPr>
                <w:rFonts w:hint="eastAsia" w:ascii="宋体" w:hAnsi="宋体" w:cs="宋体"/>
                <w:b w:val="0"/>
                <w:bCs/>
                <w:i w:val="0"/>
                <w:color w:val="auto"/>
                <w:sz w:val="21"/>
                <w:szCs w:val="21"/>
                <w:highlight w:val="none"/>
                <w:u w:val="none" w:color="auto"/>
                <w:lang w:val="en-US" w:eastAsia="zh-CN"/>
              </w:rPr>
              <w:t>2</w:t>
            </w:r>
          </w:p>
        </w:tc>
        <w:tc>
          <w:tcPr>
            <w:tcW w:w="4111" w:type="dxa"/>
            <w:vAlign w:val="center"/>
          </w:tcPr>
          <w:p w14:paraId="29A34C4D">
            <w:pPr>
              <w:pStyle w:val="54"/>
              <w:jc w:val="left"/>
              <w:rPr>
                <w:rStyle w:val="20"/>
                <w:rFonts w:ascii="宋体" w:hAnsi="宋体" w:eastAsia="宋体" w:cs="宋体"/>
                <w:b w:val="0"/>
                <w:color w:val="auto"/>
                <w:sz w:val="21"/>
                <w:szCs w:val="24"/>
              </w:rPr>
            </w:pPr>
            <w:r>
              <w:rPr>
                <w:rStyle w:val="20"/>
                <w:rFonts w:ascii="宋体" w:hAnsi="宋体" w:eastAsia="宋体" w:cs="宋体"/>
                <w:b w:val="0"/>
                <w:color w:val="auto"/>
                <w:sz w:val="21"/>
                <w:szCs w:val="24"/>
              </w:rPr>
              <w:t>1.应急预案措施科学、合理、针对性强</w:t>
            </w:r>
            <w:r>
              <w:rPr>
                <w:rStyle w:val="20"/>
                <w:rFonts w:hint="eastAsia" w:ascii="宋体" w:hAnsi="宋体" w:eastAsia="宋体" w:cs="宋体"/>
                <w:b w:val="0"/>
                <w:color w:val="auto"/>
                <w:sz w:val="21"/>
                <w:szCs w:val="24"/>
                <w:lang w:eastAsia="zh-CN"/>
              </w:rPr>
              <w:t>，</w:t>
            </w:r>
            <w:r>
              <w:rPr>
                <w:rStyle w:val="20"/>
                <w:rFonts w:ascii="宋体" w:hAnsi="宋体" w:eastAsia="宋体" w:cs="宋体"/>
                <w:b w:val="0"/>
                <w:color w:val="auto"/>
                <w:sz w:val="21"/>
                <w:szCs w:val="24"/>
              </w:rPr>
              <w:t>得</w:t>
            </w:r>
            <w:r>
              <w:rPr>
                <w:rStyle w:val="20"/>
                <w:rFonts w:hint="eastAsia" w:ascii="宋体" w:hAnsi="宋体" w:eastAsia="宋体" w:cs="宋体"/>
                <w:b w:val="0"/>
                <w:color w:val="auto"/>
                <w:sz w:val="21"/>
                <w:szCs w:val="24"/>
                <w:lang w:val="en-US" w:eastAsia="zh-CN"/>
              </w:rPr>
              <w:t>2</w:t>
            </w:r>
            <w:r>
              <w:rPr>
                <w:rStyle w:val="20"/>
                <w:rFonts w:ascii="宋体" w:hAnsi="宋体" w:eastAsia="宋体" w:cs="宋体"/>
                <w:b w:val="0"/>
                <w:color w:val="auto"/>
                <w:sz w:val="21"/>
                <w:szCs w:val="24"/>
              </w:rPr>
              <w:t>分。</w:t>
            </w:r>
          </w:p>
          <w:p w14:paraId="46804066">
            <w:pPr>
              <w:pStyle w:val="54"/>
              <w:jc w:val="left"/>
              <w:rPr>
                <w:rStyle w:val="20"/>
                <w:rFonts w:ascii="宋体" w:hAnsi="宋体" w:eastAsia="宋体" w:cs="宋体"/>
                <w:b w:val="0"/>
                <w:color w:val="auto"/>
                <w:sz w:val="21"/>
                <w:szCs w:val="24"/>
              </w:rPr>
            </w:pPr>
            <w:r>
              <w:rPr>
                <w:rStyle w:val="20"/>
                <w:rFonts w:ascii="宋体" w:hAnsi="宋体" w:eastAsia="宋体" w:cs="宋体"/>
                <w:b w:val="0"/>
                <w:color w:val="auto"/>
                <w:sz w:val="21"/>
                <w:szCs w:val="24"/>
              </w:rPr>
              <w:t>2.应急预案措施基本合理</w:t>
            </w:r>
            <w:r>
              <w:rPr>
                <w:rStyle w:val="20"/>
                <w:rFonts w:hint="eastAsia" w:ascii="宋体" w:hAnsi="宋体" w:eastAsia="宋体" w:cs="宋体"/>
                <w:b w:val="0"/>
                <w:color w:val="auto"/>
                <w:sz w:val="21"/>
                <w:szCs w:val="24"/>
                <w:lang w:eastAsia="zh-CN"/>
              </w:rPr>
              <w:t>，</w:t>
            </w:r>
            <w:r>
              <w:rPr>
                <w:rStyle w:val="20"/>
                <w:rFonts w:ascii="宋体" w:hAnsi="宋体" w:eastAsia="宋体" w:cs="宋体"/>
                <w:b w:val="0"/>
                <w:color w:val="auto"/>
                <w:sz w:val="21"/>
                <w:szCs w:val="24"/>
              </w:rPr>
              <w:t>得</w:t>
            </w:r>
            <w:r>
              <w:rPr>
                <w:rStyle w:val="20"/>
                <w:rFonts w:hint="eastAsia" w:ascii="宋体" w:hAnsi="宋体" w:eastAsia="宋体" w:cs="宋体"/>
                <w:b w:val="0"/>
                <w:color w:val="auto"/>
                <w:sz w:val="21"/>
                <w:szCs w:val="24"/>
                <w:lang w:val="en-US" w:eastAsia="zh-CN"/>
              </w:rPr>
              <w:t>1</w:t>
            </w:r>
            <w:r>
              <w:rPr>
                <w:rStyle w:val="20"/>
                <w:rFonts w:ascii="宋体" w:hAnsi="宋体" w:eastAsia="宋体" w:cs="宋体"/>
                <w:b w:val="0"/>
                <w:color w:val="auto"/>
                <w:sz w:val="21"/>
                <w:szCs w:val="24"/>
              </w:rPr>
              <w:t>分。</w:t>
            </w:r>
          </w:p>
          <w:p w14:paraId="57B991F7">
            <w:pPr>
              <w:pStyle w:val="54"/>
              <w:jc w:val="left"/>
              <w:rPr>
                <w:color w:val="auto"/>
                <w:highlight w:val="none"/>
              </w:rPr>
            </w:pPr>
            <w:r>
              <w:rPr>
                <w:rStyle w:val="20"/>
                <w:rFonts w:ascii="宋体" w:hAnsi="宋体" w:eastAsia="宋体" w:cs="宋体"/>
                <w:b w:val="0"/>
                <w:color w:val="auto"/>
                <w:sz w:val="21"/>
                <w:szCs w:val="24"/>
              </w:rPr>
              <w:t>3.无应急预案措施不得分。</w:t>
            </w:r>
          </w:p>
        </w:tc>
      </w:tr>
      <w:tr w14:paraId="38EB1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549405BB">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b w:val="0"/>
                <w:i w:val="0"/>
                <w:color w:val="auto"/>
                <w:szCs w:val="21"/>
                <w:highlight w:val="none"/>
                <w:u w:val="none" w:color="auto"/>
              </w:rPr>
              <w:t>2.2.4</w:t>
            </w:r>
            <w:r>
              <w:rPr>
                <w:rFonts w:hint="eastAsia"/>
                <w:b w:val="0"/>
                <w:i w:val="0"/>
                <w:color w:val="auto"/>
                <w:szCs w:val="21"/>
                <w:highlight w:val="none"/>
                <w:u w:val="none" w:color="auto"/>
                <w:lang w:eastAsia="zh-CN"/>
              </w:rPr>
              <w:t>(</w:t>
            </w:r>
            <w:r>
              <w:rPr>
                <w:rFonts w:hint="eastAsia"/>
                <w:b w:val="0"/>
                <w:i w:val="0"/>
                <w:color w:val="auto"/>
                <w:szCs w:val="21"/>
                <w:highlight w:val="none"/>
                <w:u w:val="none" w:color="auto"/>
              </w:rPr>
              <w:t>2</w:t>
            </w:r>
            <w:r>
              <w:rPr>
                <w:rFonts w:hint="eastAsia"/>
                <w:b w:val="0"/>
                <w:i w:val="0"/>
                <w:color w:val="auto"/>
                <w:szCs w:val="21"/>
                <w:highlight w:val="none"/>
                <w:u w:val="none" w:color="auto"/>
                <w:lang w:eastAsia="zh-CN"/>
              </w:rPr>
              <w:t>)</w:t>
            </w:r>
          </w:p>
        </w:tc>
        <w:tc>
          <w:tcPr>
            <w:tcW w:w="1059" w:type="dxa"/>
            <w:vMerge w:val="continue"/>
            <w:vAlign w:val="center"/>
          </w:tcPr>
          <w:p w14:paraId="07F5EB8B">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38574F4D">
            <w:pPr>
              <w:pStyle w:val="54"/>
              <w:jc w:val="center"/>
              <w:rPr>
                <w:rFonts w:ascii="宋体" w:hAnsi="宋体"/>
                <w:color w:val="auto"/>
                <w:szCs w:val="21"/>
                <w:highlight w:val="none"/>
              </w:rPr>
            </w:pPr>
            <w:r>
              <w:rPr>
                <w:rStyle w:val="20"/>
                <w:rFonts w:ascii="宋体" w:hAnsi="宋体" w:eastAsia="宋体" w:cs="宋体"/>
                <w:b w:val="0"/>
                <w:color w:val="auto"/>
                <w:sz w:val="21"/>
                <w:szCs w:val="24"/>
              </w:rPr>
              <w:t>扬尘污染治理方案</w:t>
            </w:r>
          </w:p>
        </w:tc>
        <w:tc>
          <w:tcPr>
            <w:tcW w:w="935" w:type="dxa"/>
            <w:gridSpan w:val="2"/>
            <w:vAlign w:val="center"/>
          </w:tcPr>
          <w:p w14:paraId="789C5AEE">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ascii="宋体" w:hAnsi="宋体"/>
                <w:color w:val="auto"/>
                <w:szCs w:val="44"/>
                <w:highlight w:val="none"/>
              </w:rPr>
            </w:pPr>
            <w:r>
              <w:rPr>
                <w:rFonts w:hint="eastAsia" w:ascii="宋体" w:hAnsi="宋体" w:cs="宋体"/>
                <w:b w:val="0"/>
                <w:bCs/>
                <w:i w:val="0"/>
                <w:color w:val="auto"/>
                <w:sz w:val="21"/>
                <w:szCs w:val="21"/>
                <w:highlight w:val="none"/>
                <w:u w:val="none" w:color="auto"/>
                <w:lang w:val="en-US" w:eastAsia="zh-CN"/>
              </w:rPr>
              <w:t>2</w:t>
            </w:r>
          </w:p>
        </w:tc>
        <w:tc>
          <w:tcPr>
            <w:tcW w:w="4111" w:type="dxa"/>
            <w:vAlign w:val="center"/>
          </w:tcPr>
          <w:p w14:paraId="5DD3A739">
            <w:pPr>
              <w:pStyle w:val="54"/>
              <w:jc w:val="left"/>
              <w:rPr>
                <w:rStyle w:val="20"/>
                <w:rFonts w:ascii="宋体" w:hAnsi="宋体" w:eastAsia="宋体" w:cs="宋体"/>
                <w:b w:val="0"/>
                <w:color w:val="auto"/>
                <w:sz w:val="21"/>
                <w:szCs w:val="24"/>
              </w:rPr>
            </w:pPr>
            <w:r>
              <w:rPr>
                <w:rStyle w:val="20"/>
                <w:rFonts w:ascii="宋体" w:hAnsi="宋体" w:eastAsia="宋体" w:cs="宋体"/>
                <w:b w:val="0"/>
                <w:color w:val="auto"/>
                <w:sz w:val="21"/>
                <w:szCs w:val="24"/>
              </w:rPr>
              <w:t>1.结合项目周边环境定制方案，且详细可行</w:t>
            </w:r>
            <w:r>
              <w:rPr>
                <w:rStyle w:val="20"/>
                <w:rFonts w:hint="eastAsia" w:ascii="宋体" w:hAnsi="宋体" w:eastAsia="宋体" w:cs="宋体"/>
                <w:b w:val="0"/>
                <w:color w:val="auto"/>
                <w:sz w:val="21"/>
                <w:szCs w:val="24"/>
                <w:lang w:eastAsia="zh-CN"/>
              </w:rPr>
              <w:t>，</w:t>
            </w:r>
            <w:r>
              <w:rPr>
                <w:rStyle w:val="20"/>
                <w:rFonts w:ascii="宋体" w:hAnsi="宋体" w:eastAsia="宋体" w:cs="宋体"/>
                <w:b w:val="0"/>
                <w:color w:val="auto"/>
                <w:sz w:val="21"/>
                <w:szCs w:val="24"/>
              </w:rPr>
              <w:t>得2分；</w:t>
            </w:r>
          </w:p>
          <w:p w14:paraId="19ED804C">
            <w:pPr>
              <w:pStyle w:val="54"/>
              <w:jc w:val="left"/>
              <w:rPr>
                <w:rStyle w:val="20"/>
                <w:rFonts w:hint="eastAsia" w:ascii="宋体" w:hAnsi="宋体" w:eastAsia="宋体" w:cs="宋体"/>
                <w:b w:val="0"/>
                <w:color w:val="auto"/>
                <w:sz w:val="21"/>
                <w:szCs w:val="24"/>
                <w:lang w:eastAsia="zh-CN"/>
              </w:rPr>
            </w:pPr>
            <w:r>
              <w:rPr>
                <w:rStyle w:val="20"/>
                <w:rFonts w:ascii="宋体" w:hAnsi="宋体" w:eastAsia="宋体" w:cs="宋体"/>
                <w:b w:val="0"/>
                <w:color w:val="auto"/>
                <w:sz w:val="21"/>
                <w:szCs w:val="24"/>
              </w:rPr>
              <w:t>2.结合项目周边环境定制方案，合理、完善</w:t>
            </w:r>
            <w:r>
              <w:rPr>
                <w:rStyle w:val="20"/>
                <w:rFonts w:hint="eastAsia" w:ascii="宋体" w:hAnsi="宋体" w:eastAsia="宋体" w:cs="宋体"/>
                <w:b w:val="0"/>
                <w:color w:val="auto"/>
                <w:sz w:val="21"/>
                <w:szCs w:val="24"/>
                <w:lang w:eastAsia="zh-CN"/>
              </w:rPr>
              <w:t>，</w:t>
            </w:r>
            <w:r>
              <w:rPr>
                <w:rStyle w:val="20"/>
                <w:rFonts w:hint="eastAsia" w:ascii="宋体" w:hAnsi="宋体" w:eastAsia="宋体" w:cs="宋体"/>
                <w:b w:val="0"/>
                <w:color w:val="auto"/>
                <w:sz w:val="21"/>
                <w:szCs w:val="24"/>
                <w:lang w:val="en-US" w:eastAsia="zh-CN"/>
              </w:rPr>
              <w:t>得</w:t>
            </w:r>
            <w:r>
              <w:rPr>
                <w:rStyle w:val="20"/>
                <w:rFonts w:ascii="宋体" w:hAnsi="宋体" w:eastAsia="宋体" w:cs="宋体"/>
                <w:b w:val="0"/>
                <w:color w:val="auto"/>
                <w:sz w:val="21"/>
                <w:szCs w:val="24"/>
              </w:rPr>
              <w:t>1分</w:t>
            </w:r>
            <w:r>
              <w:rPr>
                <w:rStyle w:val="20"/>
                <w:rFonts w:hint="eastAsia" w:ascii="宋体" w:hAnsi="宋体" w:eastAsia="宋体" w:cs="宋体"/>
                <w:b w:val="0"/>
                <w:color w:val="auto"/>
                <w:sz w:val="21"/>
                <w:szCs w:val="24"/>
                <w:lang w:val="en-US" w:eastAsia="zh-CN"/>
              </w:rPr>
              <w:t>；</w:t>
            </w:r>
          </w:p>
          <w:p w14:paraId="2A28C27D">
            <w:pPr>
              <w:pStyle w:val="54"/>
              <w:jc w:val="left"/>
              <w:rPr>
                <w:color w:val="auto"/>
                <w:highlight w:val="none"/>
              </w:rPr>
            </w:pPr>
            <w:r>
              <w:rPr>
                <w:rStyle w:val="20"/>
                <w:rFonts w:ascii="宋体" w:hAnsi="宋体" w:eastAsia="宋体" w:cs="宋体"/>
                <w:b w:val="0"/>
                <w:color w:val="auto"/>
                <w:sz w:val="21"/>
                <w:szCs w:val="24"/>
              </w:rPr>
              <w:t>3</w:t>
            </w:r>
            <w:r>
              <w:rPr>
                <w:rStyle w:val="20"/>
                <w:rFonts w:hint="eastAsia" w:ascii="宋体" w:hAnsi="宋体" w:eastAsia="宋体" w:cs="宋体"/>
                <w:b w:val="0"/>
                <w:color w:val="auto"/>
                <w:sz w:val="21"/>
                <w:szCs w:val="24"/>
                <w:lang w:eastAsia="zh-CN"/>
              </w:rPr>
              <w:t>.</w:t>
            </w:r>
            <w:r>
              <w:rPr>
                <w:rStyle w:val="20"/>
                <w:rFonts w:ascii="宋体" w:hAnsi="宋体" w:eastAsia="宋体" w:cs="宋体"/>
                <w:b w:val="0"/>
                <w:color w:val="auto"/>
                <w:sz w:val="21"/>
                <w:szCs w:val="24"/>
              </w:rPr>
              <w:t>无方案的不得分。</w:t>
            </w:r>
          </w:p>
        </w:tc>
      </w:tr>
      <w:tr w14:paraId="3AC45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6" w:hRule="atLeast"/>
          <w:jc w:val="center"/>
        </w:trPr>
        <w:tc>
          <w:tcPr>
            <w:tcW w:w="741" w:type="dxa"/>
            <w:vMerge w:val="continue"/>
            <w:vAlign w:val="center"/>
          </w:tcPr>
          <w:p w14:paraId="18E28E49">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b w:val="0"/>
                <w:i w:val="0"/>
                <w:color w:val="auto"/>
                <w:szCs w:val="21"/>
                <w:highlight w:val="none"/>
                <w:u w:val="none" w:color="auto"/>
              </w:rPr>
              <w:t>2.2.4</w:t>
            </w:r>
            <w:r>
              <w:rPr>
                <w:rFonts w:hint="eastAsia"/>
                <w:b w:val="0"/>
                <w:i w:val="0"/>
                <w:color w:val="auto"/>
                <w:szCs w:val="21"/>
                <w:highlight w:val="none"/>
                <w:u w:val="none" w:color="auto"/>
                <w:lang w:eastAsia="zh-CN"/>
              </w:rPr>
              <w:t>(</w:t>
            </w:r>
            <w:r>
              <w:rPr>
                <w:rFonts w:hint="eastAsia"/>
                <w:b w:val="0"/>
                <w:i w:val="0"/>
                <w:color w:val="auto"/>
                <w:szCs w:val="21"/>
                <w:highlight w:val="none"/>
                <w:u w:val="none" w:color="auto"/>
              </w:rPr>
              <w:t>2</w:t>
            </w:r>
            <w:r>
              <w:rPr>
                <w:rFonts w:hint="eastAsia"/>
                <w:b w:val="0"/>
                <w:i w:val="0"/>
                <w:color w:val="auto"/>
                <w:szCs w:val="21"/>
                <w:highlight w:val="none"/>
                <w:u w:val="none" w:color="auto"/>
                <w:lang w:eastAsia="zh-CN"/>
              </w:rPr>
              <w:t>)</w:t>
            </w:r>
          </w:p>
        </w:tc>
        <w:tc>
          <w:tcPr>
            <w:tcW w:w="1059" w:type="dxa"/>
            <w:vMerge w:val="continue"/>
            <w:vAlign w:val="center"/>
          </w:tcPr>
          <w:p w14:paraId="371266A2">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4B18E61F">
            <w:pPr>
              <w:pStyle w:val="54"/>
              <w:jc w:val="center"/>
              <w:rPr>
                <w:rFonts w:ascii="宋体" w:hAnsi="宋体"/>
                <w:color w:val="auto"/>
                <w:szCs w:val="21"/>
                <w:highlight w:val="none"/>
              </w:rPr>
            </w:pPr>
            <w:r>
              <w:rPr>
                <w:rStyle w:val="20"/>
                <w:rFonts w:ascii="宋体" w:hAnsi="宋体" w:eastAsia="宋体" w:cs="宋体"/>
                <w:b w:val="0"/>
                <w:color w:val="auto"/>
                <w:sz w:val="21"/>
                <w:szCs w:val="24"/>
              </w:rPr>
              <w:t>扬尘技术措施</w:t>
            </w:r>
          </w:p>
        </w:tc>
        <w:tc>
          <w:tcPr>
            <w:tcW w:w="935" w:type="dxa"/>
            <w:gridSpan w:val="2"/>
            <w:vAlign w:val="center"/>
          </w:tcPr>
          <w:p w14:paraId="1CE15CA6">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ascii="宋体" w:hAnsi="宋体"/>
                <w:color w:val="auto"/>
                <w:szCs w:val="44"/>
                <w:highlight w:val="none"/>
              </w:rPr>
            </w:pPr>
            <w:r>
              <w:rPr>
                <w:rFonts w:hint="eastAsia" w:ascii="宋体" w:hAnsi="宋体" w:cs="宋体"/>
                <w:b w:val="0"/>
                <w:bCs/>
                <w:i w:val="0"/>
                <w:color w:val="auto"/>
                <w:sz w:val="21"/>
                <w:szCs w:val="21"/>
                <w:highlight w:val="none"/>
                <w:u w:val="none" w:color="auto"/>
                <w:lang w:val="en-US" w:eastAsia="zh-CN"/>
              </w:rPr>
              <w:t>2</w:t>
            </w:r>
          </w:p>
        </w:tc>
        <w:tc>
          <w:tcPr>
            <w:tcW w:w="4111" w:type="dxa"/>
            <w:vAlign w:val="center"/>
          </w:tcPr>
          <w:p w14:paraId="377F6A95">
            <w:pPr>
              <w:pStyle w:val="54"/>
              <w:jc w:val="left"/>
              <w:rPr>
                <w:rStyle w:val="20"/>
                <w:rFonts w:ascii="宋体" w:hAnsi="宋体" w:eastAsia="宋体" w:cs="宋体"/>
                <w:b w:val="0"/>
                <w:color w:val="auto"/>
                <w:sz w:val="21"/>
                <w:szCs w:val="24"/>
              </w:rPr>
            </w:pPr>
            <w:r>
              <w:rPr>
                <w:rStyle w:val="20"/>
                <w:rFonts w:ascii="宋体" w:hAnsi="宋体" w:eastAsia="宋体" w:cs="宋体"/>
                <w:b w:val="0"/>
                <w:color w:val="auto"/>
                <w:sz w:val="21"/>
                <w:szCs w:val="24"/>
              </w:rPr>
              <w:t>1.扬尘技术措施科学、合理、针对性强</w:t>
            </w:r>
            <w:r>
              <w:rPr>
                <w:rStyle w:val="20"/>
                <w:rFonts w:hint="eastAsia" w:ascii="宋体" w:hAnsi="宋体" w:eastAsia="宋体" w:cs="宋体"/>
                <w:b w:val="0"/>
                <w:color w:val="auto"/>
                <w:sz w:val="21"/>
                <w:szCs w:val="24"/>
                <w:lang w:eastAsia="zh-CN"/>
              </w:rPr>
              <w:t>，</w:t>
            </w:r>
            <w:r>
              <w:rPr>
                <w:rStyle w:val="20"/>
                <w:rFonts w:ascii="宋体" w:hAnsi="宋体" w:eastAsia="宋体" w:cs="宋体"/>
                <w:b w:val="0"/>
                <w:color w:val="auto"/>
                <w:sz w:val="21"/>
                <w:szCs w:val="24"/>
              </w:rPr>
              <w:t>得2分。</w:t>
            </w:r>
          </w:p>
          <w:p w14:paraId="379FE7C6">
            <w:pPr>
              <w:pStyle w:val="54"/>
              <w:jc w:val="left"/>
              <w:rPr>
                <w:rStyle w:val="20"/>
                <w:rFonts w:ascii="宋体" w:hAnsi="宋体" w:eastAsia="宋体" w:cs="宋体"/>
                <w:b w:val="0"/>
                <w:color w:val="auto"/>
                <w:sz w:val="21"/>
                <w:szCs w:val="24"/>
              </w:rPr>
            </w:pPr>
            <w:r>
              <w:rPr>
                <w:rStyle w:val="20"/>
                <w:rFonts w:ascii="宋体" w:hAnsi="宋体" w:eastAsia="宋体" w:cs="宋体"/>
                <w:b w:val="0"/>
                <w:color w:val="auto"/>
                <w:sz w:val="21"/>
                <w:szCs w:val="24"/>
              </w:rPr>
              <w:t>2.扬尘技术措施符合项目需求，合理、完善</w:t>
            </w:r>
            <w:r>
              <w:rPr>
                <w:rStyle w:val="20"/>
                <w:rFonts w:hint="eastAsia" w:ascii="宋体" w:hAnsi="宋体" w:eastAsia="宋体" w:cs="宋体"/>
                <w:b w:val="0"/>
                <w:color w:val="auto"/>
                <w:sz w:val="21"/>
                <w:szCs w:val="24"/>
                <w:lang w:eastAsia="zh-CN"/>
              </w:rPr>
              <w:t>，</w:t>
            </w:r>
            <w:r>
              <w:rPr>
                <w:rStyle w:val="20"/>
                <w:rFonts w:hint="eastAsia" w:ascii="宋体" w:hAnsi="宋体" w:eastAsia="宋体" w:cs="宋体"/>
                <w:b w:val="0"/>
                <w:color w:val="auto"/>
                <w:sz w:val="21"/>
                <w:szCs w:val="24"/>
                <w:lang w:val="en-US" w:eastAsia="zh-CN"/>
              </w:rPr>
              <w:t>得1</w:t>
            </w:r>
            <w:r>
              <w:rPr>
                <w:rStyle w:val="20"/>
                <w:rFonts w:ascii="宋体" w:hAnsi="宋体" w:eastAsia="宋体" w:cs="宋体"/>
                <w:b w:val="0"/>
                <w:color w:val="auto"/>
                <w:sz w:val="21"/>
                <w:szCs w:val="24"/>
              </w:rPr>
              <w:t>分。</w:t>
            </w:r>
          </w:p>
          <w:p w14:paraId="00BE18C0">
            <w:pPr>
              <w:pStyle w:val="54"/>
              <w:jc w:val="left"/>
              <w:rPr>
                <w:color w:val="auto"/>
                <w:highlight w:val="none"/>
              </w:rPr>
            </w:pPr>
            <w:r>
              <w:rPr>
                <w:rStyle w:val="20"/>
                <w:rFonts w:ascii="宋体" w:hAnsi="宋体" w:eastAsia="宋体" w:cs="宋体"/>
                <w:b w:val="0"/>
                <w:color w:val="auto"/>
                <w:sz w:val="21"/>
                <w:szCs w:val="24"/>
              </w:rPr>
              <w:t>3.无扬尘技术措施不得分。</w:t>
            </w:r>
          </w:p>
        </w:tc>
      </w:tr>
      <w:tr w14:paraId="2A984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6" w:hRule="atLeast"/>
          <w:jc w:val="center"/>
        </w:trPr>
        <w:tc>
          <w:tcPr>
            <w:tcW w:w="741" w:type="dxa"/>
            <w:vMerge w:val="continue"/>
            <w:vAlign w:val="center"/>
          </w:tcPr>
          <w:p w14:paraId="460A3E1C">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eastAsia"/>
                <w:b w:val="0"/>
                <w:i w:val="0"/>
                <w:color w:val="auto"/>
                <w:szCs w:val="21"/>
                <w:highlight w:val="none"/>
                <w:u w:val="none" w:color="auto"/>
              </w:rPr>
            </w:pPr>
          </w:p>
        </w:tc>
        <w:tc>
          <w:tcPr>
            <w:tcW w:w="1059" w:type="dxa"/>
            <w:vMerge w:val="continue"/>
            <w:vAlign w:val="center"/>
          </w:tcPr>
          <w:p w14:paraId="213035EF">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eastAsia" w:ascii="宋体" w:hAnsi="宋体" w:eastAsia="宋体" w:cs="宋体"/>
                <w:b w:val="0"/>
                <w:i w:val="0"/>
                <w:color w:val="auto"/>
                <w:szCs w:val="21"/>
                <w:highlight w:val="none"/>
                <w:u w:val="none" w:color="auto"/>
              </w:rPr>
            </w:pPr>
          </w:p>
        </w:tc>
        <w:tc>
          <w:tcPr>
            <w:tcW w:w="2085" w:type="dxa"/>
            <w:shd w:val="clear" w:color="auto" w:fill="auto"/>
            <w:vAlign w:val="center"/>
          </w:tcPr>
          <w:p w14:paraId="3F1245EA">
            <w:pPr>
              <w:pStyle w:val="54"/>
              <w:jc w:val="center"/>
              <w:rPr>
                <w:rFonts w:hint="eastAsia" w:ascii="宋体" w:hAnsi="宋体" w:eastAsia="宋体" w:cs="Times New Roman"/>
                <w:color w:val="auto"/>
                <w:kern w:val="2"/>
                <w:sz w:val="21"/>
                <w:szCs w:val="21"/>
                <w:highlight w:val="none"/>
                <w:lang w:val="en-US" w:eastAsia="zh-CN" w:bidi="ar-SA"/>
              </w:rPr>
            </w:pPr>
            <w:r>
              <w:rPr>
                <w:rStyle w:val="20"/>
                <w:rFonts w:ascii="宋体" w:hAnsi="宋体" w:eastAsia="宋体" w:cs="宋体"/>
                <w:b w:val="0"/>
                <w:color w:val="auto"/>
                <w:sz w:val="21"/>
                <w:szCs w:val="24"/>
              </w:rPr>
              <w:t>扬尘防治工程目标</w:t>
            </w:r>
          </w:p>
        </w:tc>
        <w:tc>
          <w:tcPr>
            <w:tcW w:w="935" w:type="dxa"/>
            <w:gridSpan w:val="2"/>
            <w:shd w:val="clear" w:color="auto" w:fill="auto"/>
            <w:vAlign w:val="center"/>
          </w:tcPr>
          <w:p w14:paraId="13FE0E75">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宋体" w:hAnsi="宋体" w:eastAsia="宋体" w:cs="Times New Roman"/>
                <w:color w:val="auto"/>
                <w:kern w:val="2"/>
                <w:sz w:val="21"/>
                <w:szCs w:val="44"/>
                <w:highlight w:val="none"/>
                <w:lang w:val="en-US" w:eastAsia="zh-CN" w:bidi="ar-SA"/>
              </w:rPr>
            </w:pPr>
            <w:r>
              <w:rPr>
                <w:rFonts w:hint="eastAsia" w:ascii="宋体" w:hAnsi="宋体" w:cs="宋体"/>
                <w:b w:val="0"/>
                <w:bCs/>
                <w:i w:val="0"/>
                <w:color w:val="auto"/>
                <w:sz w:val="21"/>
                <w:szCs w:val="21"/>
                <w:highlight w:val="none"/>
                <w:u w:val="none" w:color="auto"/>
                <w:lang w:val="en-US" w:eastAsia="zh-CN"/>
              </w:rPr>
              <w:t>1</w:t>
            </w:r>
          </w:p>
        </w:tc>
        <w:tc>
          <w:tcPr>
            <w:tcW w:w="4111" w:type="dxa"/>
            <w:shd w:val="clear" w:color="auto" w:fill="auto"/>
            <w:vAlign w:val="center"/>
          </w:tcPr>
          <w:p w14:paraId="0020E4D7">
            <w:pPr>
              <w:pStyle w:val="54"/>
              <w:jc w:val="left"/>
              <w:rPr>
                <w:rStyle w:val="20"/>
                <w:rFonts w:ascii="宋体" w:hAnsi="宋体" w:eastAsia="宋体" w:cs="宋体"/>
                <w:b w:val="0"/>
                <w:color w:val="auto"/>
                <w:sz w:val="21"/>
                <w:szCs w:val="24"/>
              </w:rPr>
            </w:pPr>
            <w:r>
              <w:rPr>
                <w:rStyle w:val="20"/>
                <w:rFonts w:ascii="宋体" w:hAnsi="宋体" w:eastAsia="宋体" w:cs="宋体"/>
                <w:b w:val="0"/>
                <w:color w:val="auto"/>
                <w:sz w:val="21"/>
                <w:szCs w:val="24"/>
              </w:rPr>
              <w:t>1.扬尘防治工程目标科学、合理、针对性强</w:t>
            </w:r>
            <w:r>
              <w:rPr>
                <w:rStyle w:val="20"/>
                <w:rFonts w:hint="eastAsia" w:ascii="宋体" w:hAnsi="宋体" w:eastAsia="宋体" w:cs="宋体"/>
                <w:b w:val="0"/>
                <w:color w:val="auto"/>
                <w:sz w:val="21"/>
                <w:szCs w:val="24"/>
                <w:lang w:eastAsia="zh-CN"/>
              </w:rPr>
              <w:t>，</w:t>
            </w:r>
            <w:r>
              <w:rPr>
                <w:rStyle w:val="20"/>
                <w:rFonts w:ascii="宋体" w:hAnsi="宋体" w:eastAsia="宋体" w:cs="宋体"/>
                <w:b w:val="0"/>
                <w:color w:val="auto"/>
                <w:sz w:val="21"/>
                <w:szCs w:val="24"/>
              </w:rPr>
              <w:t>得</w:t>
            </w:r>
            <w:r>
              <w:rPr>
                <w:rStyle w:val="20"/>
                <w:rFonts w:hint="eastAsia" w:ascii="宋体" w:hAnsi="宋体" w:eastAsia="宋体" w:cs="宋体"/>
                <w:b w:val="0"/>
                <w:color w:val="auto"/>
                <w:sz w:val="21"/>
                <w:szCs w:val="24"/>
                <w:lang w:val="en-US" w:eastAsia="zh-CN"/>
              </w:rPr>
              <w:t>1</w:t>
            </w:r>
            <w:r>
              <w:rPr>
                <w:rStyle w:val="20"/>
                <w:rFonts w:ascii="宋体" w:hAnsi="宋体" w:eastAsia="宋体" w:cs="宋体"/>
                <w:b w:val="0"/>
                <w:color w:val="auto"/>
                <w:sz w:val="21"/>
                <w:szCs w:val="24"/>
              </w:rPr>
              <w:t>分。</w:t>
            </w:r>
          </w:p>
          <w:p w14:paraId="42349476">
            <w:pPr>
              <w:pStyle w:val="54"/>
              <w:jc w:val="left"/>
              <w:rPr>
                <w:rStyle w:val="20"/>
                <w:rFonts w:ascii="宋体" w:hAnsi="宋体" w:eastAsia="宋体" w:cs="宋体"/>
                <w:b w:val="0"/>
                <w:color w:val="auto"/>
                <w:sz w:val="21"/>
                <w:szCs w:val="24"/>
              </w:rPr>
            </w:pPr>
            <w:r>
              <w:rPr>
                <w:rStyle w:val="20"/>
                <w:rFonts w:ascii="宋体" w:hAnsi="宋体" w:eastAsia="宋体" w:cs="宋体"/>
                <w:b w:val="0"/>
                <w:color w:val="auto"/>
                <w:sz w:val="21"/>
                <w:szCs w:val="24"/>
              </w:rPr>
              <w:t>2.扬尘防治工程目标符合项目需求，合理、完善</w:t>
            </w:r>
            <w:r>
              <w:rPr>
                <w:rStyle w:val="20"/>
                <w:rFonts w:hint="eastAsia" w:ascii="宋体" w:hAnsi="宋体" w:eastAsia="宋体" w:cs="宋体"/>
                <w:b w:val="0"/>
                <w:color w:val="auto"/>
                <w:sz w:val="21"/>
                <w:szCs w:val="24"/>
                <w:lang w:eastAsia="zh-CN"/>
              </w:rPr>
              <w:t>，</w:t>
            </w:r>
            <w:r>
              <w:rPr>
                <w:rStyle w:val="20"/>
                <w:rFonts w:hint="eastAsia" w:ascii="宋体" w:hAnsi="宋体" w:eastAsia="宋体" w:cs="宋体"/>
                <w:b w:val="0"/>
                <w:color w:val="auto"/>
                <w:sz w:val="21"/>
                <w:szCs w:val="24"/>
                <w:lang w:val="en-US" w:eastAsia="zh-CN"/>
              </w:rPr>
              <w:t>得0</w:t>
            </w:r>
            <w:r>
              <w:rPr>
                <w:rStyle w:val="20"/>
                <w:rFonts w:ascii="宋体" w:hAnsi="宋体" w:eastAsia="宋体" w:cs="宋体"/>
                <w:b w:val="0"/>
                <w:color w:val="auto"/>
                <w:sz w:val="21"/>
                <w:szCs w:val="24"/>
              </w:rPr>
              <w:t>.5分。</w:t>
            </w:r>
          </w:p>
          <w:p w14:paraId="6BBD8AF7">
            <w:pPr>
              <w:pStyle w:val="54"/>
              <w:jc w:val="left"/>
              <w:rPr>
                <w:rFonts w:hint="eastAsia" w:ascii="Times New Roman" w:hAnsi="Times New Roman" w:eastAsia="宋体" w:cs="Times New Roman"/>
                <w:color w:val="auto"/>
                <w:kern w:val="2"/>
                <w:sz w:val="21"/>
                <w:szCs w:val="24"/>
                <w:highlight w:val="none"/>
                <w:lang w:val="en-US" w:eastAsia="zh-CN" w:bidi="ar-SA"/>
              </w:rPr>
            </w:pPr>
            <w:r>
              <w:rPr>
                <w:rStyle w:val="20"/>
                <w:rFonts w:ascii="宋体" w:hAnsi="宋体" w:eastAsia="宋体" w:cs="宋体"/>
                <w:b w:val="0"/>
                <w:color w:val="auto"/>
                <w:sz w:val="21"/>
                <w:szCs w:val="24"/>
              </w:rPr>
              <w:t>3.无扬尘防治工程目标的不得分。</w:t>
            </w:r>
          </w:p>
        </w:tc>
      </w:tr>
      <w:tr w14:paraId="6C993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7" w:hRule="atLeast"/>
          <w:jc w:val="center"/>
        </w:trPr>
        <w:tc>
          <w:tcPr>
            <w:tcW w:w="741" w:type="dxa"/>
            <w:vMerge w:val="continue"/>
            <w:vAlign w:val="center"/>
          </w:tcPr>
          <w:p w14:paraId="43B89825">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b w:val="0"/>
                <w:i w:val="0"/>
                <w:color w:val="auto"/>
                <w:szCs w:val="21"/>
                <w:highlight w:val="none"/>
                <w:u w:val="none" w:color="auto"/>
              </w:rPr>
              <w:t>2.2.4</w:t>
            </w:r>
            <w:r>
              <w:rPr>
                <w:rFonts w:hint="eastAsia"/>
                <w:b w:val="0"/>
                <w:i w:val="0"/>
                <w:color w:val="auto"/>
                <w:szCs w:val="21"/>
                <w:highlight w:val="none"/>
                <w:u w:val="none" w:color="auto"/>
                <w:lang w:eastAsia="zh-CN"/>
              </w:rPr>
              <w:t>(</w:t>
            </w:r>
            <w:r>
              <w:rPr>
                <w:rFonts w:hint="eastAsia"/>
                <w:b w:val="0"/>
                <w:i w:val="0"/>
                <w:color w:val="auto"/>
                <w:szCs w:val="21"/>
                <w:highlight w:val="none"/>
                <w:u w:val="none" w:color="auto"/>
              </w:rPr>
              <w:t>2</w:t>
            </w:r>
            <w:r>
              <w:rPr>
                <w:rFonts w:hint="eastAsia"/>
                <w:b w:val="0"/>
                <w:i w:val="0"/>
                <w:color w:val="auto"/>
                <w:szCs w:val="21"/>
                <w:highlight w:val="none"/>
                <w:u w:val="none" w:color="auto"/>
                <w:lang w:eastAsia="zh-CN"/>
              </w:rPr>
              <w:t>)</w:t>
            </w:r>
          </w:p>
        </w:tc>
        <w:tc>
          <w:tcPr>
            <w:tcW w:w="1059" w:type="dxa"/>
            <w:vMerge w:val="continue"/>
            <w:vAlign w:val="center"/>
          </w:tcPr>
          <w:p w14:paraId="7BF82B93">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shd w:val="clear" w:color="auto" w:fill="auto"/>
            <w:vAlign w:val="center"/>
          </w:tcPr>
          <w:p w14:paraId="3462A5E2">
            <w:pPr>
              <w:pStyle w:val="54"/>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宋体"/>
                <w:b w:val="0"/>
                <w:i w:val="0"/>
                <w:color w:val="auto"/>
                <w:sz w:val="21"/>
                <w:szCs w:val="21"/>
                <w:highlight w:val="none"/>
                <w:u w:val="none" w:color="auto"/>
              </w:rPr>
              <w:t>冬、雨季施工方案</w:t>
            </w:r>
          </w:p>
        </w:tc>
        <w:tc>
          <w:tcPr>
            <w:tcW w:w="935" w:type="dxa"/>
            <w:gridSpan w:val="2"/>
            <w:shd w:val="clear" w:color="auto" w:fill="auto"/>
            <w:vAlign w:val="center"/>
          </w:tcPr>
          <w:p w14:paraId="546B1879">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宋体" w:hAnsi="宋体" w:eastAsia="宋体" w:cs="Times New Roman"/>
                <w:color w:val="auto"/>
                <w:kern w:val="2"/>
                <w:sz w:val="21"/>
                <w:szCs w:val="44"/>
                <w:highlight w:val="none"/>
                <w:lang w:val="en-US" w:eastAsia="zh-CN" w:bidi="ar-SA"/>
              </w:rPr>
            </w:pPr>
            <w:r>
              <w:rPr>
                <w:rFonts w:hint="eastAsia" w:ascii="宋体" w:hAnsi="宋体" w:cs="Times New Roman"/>
                <w:color w:val="auto"/>
                <w:kern w:val="2"/>
                <w:sz w:val="21"/>
                <w:szCs w:val="44"/>
                <w:highlight w:val="none"/>
                <w:lang w:val="en-US" w:eastAsia="zh-CN" w:bidi="ar-SA"/>
              </w:rPr>
              <w:t>1</w:t>
            </w:r>
          </w:p>
        </w:tc>
        <w:tc>
          <w:tcPr>
            <w:tcW w:w="4111" w:type="dxa"/>
            <w:shd w:val="clear" w:color="auto" w:fill="auto"/>
            <w:vAlign w:val="center"/>
          </w:tcPr>
          <w:p w14:paraId="2C7B01CF">
            <w:pPr>
              <w:pStyle w:val="54"/>
              <w:jc w:val="left"/>
              <w:rPr>
                <w:rStyle w:val="20"/>
                <w:rFonts w:ascii="宋体" w:hAnsi="宋体" w:eastAsia="宋体" w:cs="宋体"/>
                <w:b w:val="0"/>
                <w:color w:val="auto"/>
                <w:sz w:val="21"/>
                <w:szCs w:val="24"/>
              </w:rPr>
            </w:pPr>
            <w:r>
              <w:rPr>
                <w:rStyle w:val="20"/>
                <w:rFonts w:ascii="宋体" w:hAnsi="宋体" w:eastAsia="宋体" w:cs="宋体"/>
                <w:b w:val="0"/>
                <w:color w:val="auto"/>
                <w:sz w:val="21"/>
                <w:szCs w:val="24"/>
              </w:rPr>
              <w:t>1.</w:t>
            </w:r>
            <w:r>
              <w:rPr>
                <w:rStyle w:val="20"/>
                <w:rFonts w:hint="eastAsia" w:ascii="宋体" w:hAnsi="宋体" w:eastAsia="宋体" w:cs="宋体"/>
                <w:b w:val="0"/>
                <w:color w:val="auto"/>
                <w:sz w:val="21"/>
                <w:szCs w:val="24"/>
              </w:rPr>
              <w:t>冬、雨季施工方案</w:t>
            </w:r>
            <w:r>
              <w:rPr>
                <w:rStyle w:val="20"/>
                <w:rFonts w:hint="eastAsia" w:ascii="宋体" w:hAnsi="宋体" w:eastAsia="宋体" w:cs="宋体"/>
                <w:b w:val="0"/>
                <w:color w:val="auto"/>
                <w:sz w:val="21"/>
                <w:szCs w:val="24"/>
                <w:lang w:val="en-US" w:eastAsia="zh-CN"/>
              </w:rPr>
              <w:t>科学、</w:t>
            </w:r>
            <w:r>
              <w:rPr>
                <w:rStyle w:val="20"/>
                <w:rFonts w:hint="eastAsia" w:ascii="宋体" w:hAnsi="宋体" w:eastAsia="宋体" w:cs="宋体"/>
                <w:b w:val="0"/>
                <w:color w:val="auto"/>
                <w:sz w:val="21"/>
                <w:szCs w:val="24"/>
              </w:rPr>
              <w:t>合理，针对性强</w:t>
            </w:r>
            <w:r>
              <w:rPr>
                <w:rStyle w:val="20"/>
                <w:rFonts w:hint="eastAsia" w:ascii="宋体" w:hAnsi="宋体" w:eastAsia="宋体" w:cs="宋体"/>
                <w:b w:val="0"/>
                <w:color w:val="auto"/>
                <w:sz w:val="21"/>
                <w:szCs w:val="24"/>
                <w:lang w:eastAsia="zh-CN"/>
              </w:rPr>
              <w:t>，</w:t>
            </w:r>
            <w:r>
              <w:rPr>
                <w:rStyle w:val="20"/>
                <w:rFonts w:ascii="宋体" w:hAnsi="宋体" w:eastAsia="宋体" w:cs="宋体"/>
                <w:b w:val="0"/>
                <w:color w:val="auto"/>
                <w:sz w:val="21"/>
                <w:szCs w:val="24"/>
              </w:rPr>
              <w:t>得</w:t>
            </w:r>
            <w:r>
              <w:rPr>
                <w:rStyle w:val="20"/>
                <w:rFonts w:hint="eastAsia" w:ascii="宋体" w:hAnsi="宋体" w:eastAsia="宋体" w:cs="宋体"/>
                <w:b w:val="0"/>
                <w:color w:val="auto"/>
                <w:sz w:val="21"/>
                <w:szCs w:val="24"/>
                <w:lang w:val="en-US" w:eastAsia="zh-CN"/>
              </w:rPr>
              <w:t>1</w:t>
            </w:r>
            <w:r>
              <w:rPr>
                <w:rStyle w:val="20"/>
                <w:rFonts w:ascii="宋体" w:hAnsi="宋体" w:eastAsia="宋体" w:cs="宋体"/>
                <w:b w:val="0"/>
                <w:color w:val="auto"/>
                <w:sz w:val="21"/>
                <w:szCs w:val="24"/>
              </w:rPr>
              <w:t>分。</w:t>
            </w:r>
          </w:p>
          <w:p w14:paraId="69BF8CD9">
            <w:pPr>
              <w:pStyle w:val="54"/>
              <w:jc w:val="left"/>
              <w:rPr>
                <w:rStyle w:val="20"/>
                <w:rFonts w:ascii="宋体" w:hAnsi="宋体" w:eastAsia="宋体" w:cs="宋体"/>
                <w:b w:val="0"/>
                <w:color w:val="auto"/>
                <w:sz w:val="21"/>
                <w:szCs w:val="24"/>
              </w:rPr>
            </w:pPr>
            <w:r>
              <w:rPr>
                <w:rStyle w:val="20"/>
                <w:rFonts w:ascii="宋体" w:hAnsi="宋体" w:eastAsia="宋体" w:cs="宋体"/>
                <w:b w:val="0"/>
                <w:color w:val="auto"/>
                <w:sz w:val="21"/>
                <w:szCs w:val="24"/>
              </w:rPr>
              <w:t>2.</w:t>
            </w:r>
            <w:r>
              <w:rPr>
                <w:rStyle w:val="20"/>
                <w:rFonts w:hint="eastAsia" w:ascii="宋体" w:hAnsi="宋体" w:eastAsia="宋体" w:cs="宋体"/>
                <w:b w:val="0"/>
                <w:color w:val="auto"/>
                <w:sz w:val="21"/>
                <w:szCs w:val="24"/>
              </w:rPr>
              <w:t>冬、雨季施工方案</w:t>
            </w:r>
            <w:r>
              <w:rPr>
                <w:rStyle w:val="20"/>
                <w:rFonts w:ascii="宋体" w:hAnsi="宋体" w:eastAsia="宋体" w:cs="宋体"/>
                <w:b w:val="0"/>
                <w:color w:val="auto"/>
                <w:sz w:val="21"/>
                <w:szCs w:val="24"/>
              </w:rPr>
              <w:t>符合项目需求，合理、完善</w:t>
            </w:r>
            <w:r>
              <w:rPr>
                <w:rStyle w:val="20"/>
                <w:rFonts w:hint="eastAsia" w:ascii="宋体" w:hAnsi="宋体" w:eastAsia="宋体" w:cs="宋体"/>
                <w:b w:val="0"/>
                <w:color w:val="auto"/>
                <w:sz w:val="21"/>
                <w:szCs w:val="24"/>
                <w:lang w:eastAsia="zh-CN"/>
              </w:rPr>
              <w:t>，</w:t>
            </w:r>
            <w:r>
              <w:rPr>
                <w:rStyle w:val="20"/>
                <w:rFonts w:hint="eastAsia" w:ascii="宋体" w:hAnsi="宋体" w:eastAsia="宋体" w:cs="宋体"/>
                <w:b w:val="0"/>
                <w:color w:val="auto"/>
                <w:sz w:val="21"/>
                <w:szCs w:val="24"/>
                <w:lang w:val="en-US" w:eastAsia="zh-CN"/>
              </w:rPr>
              <w:t>得0</w:t>
            </w:r>
            <w:r>
              <w:rPr>
                <w:rStyle w:val="20"/>
                <w:rFonts w:ascii="宋体" w:hAnsi="宋体" w:eastAsia="宋体" w:cs="宋体"/>
                <w:b w:val="0"/>
                <w:color w:val="auto"/>
                <w:sz w:val="21"/>
                <w:szCs w:val="24"/>
              </w:rPr>
              <w:t>.5分。</w:t>
            </w:r>
          </w:p>
          <w:p w14:paraId="79D8DDBA">
            <w:pPr>
              <w:pStyle w:val="54"/>
              <w:jc w:val="left"/>
              <w:rPr>
                <w:rFonts w:hint="eastAsia" w:ascii="Times New Roman" w:hAnsi="Times New Roman" w:eastAsia="宋体" w:cs="Times New Roman"/>
                <w:color w:val="auto"/>
                <w:kern w:val="2"/>
                <w:sz w:val="21"/>
                <w:szCs w:val="24"/>
                <w:highlight w:val="none"/>
                <w:lang w:val="en-US" w:eastAsia="zh-CN" w:bidi="ar-SA"/>
              </w:rPr>
            </w:pPr>
            <w:r>
              <w:rPr>
                <w:rStyle w:val="20"/>
                <w:rFonts w:ascii="宋体" w:hAnsi="宋体" w:eastAsia="宋体" w:cs="宋体"/>
                <w:b w:val="0"/>
                <w:color w:val="auto"/>
                <w:sz w:val="21"/>
                <w:szCs w:val="24"/>
              </w:rPr>
              <w:t>3.无</w:t>
            </w:r>
            <w:r>
              <w:rPr>
                <w:rStyle w:val="20"/>
                <w:rFonts w:hint="eastAsia" w:ascii="宋体" w:hAnsi="宋体" w:eastAsia="宋体" w:cs="宋体"/>
                <w:b w:val="0"/>
                <w:color w:val="auto"/>
                <w:sz w:val="21"/>
                <w:szCs w:val="24"/>
              </w:rPr>
              <w:t>冬、雨季施工方案</w:t>
            </w:r>
            <w:r>
              <w:rPr>
                <w:rStyle w:val="20"/>
                <w:rFonts w:ascii="宋体" w:hAnsi="宋体" w:eastAsia="宋体" w:cs="宋体"/>
                <w:b w:val="0"/>
                <w:color w:val="auto"/>
                <w:sz w:val="21"/>
                <w:szCs w:val="24"/>
              </w:rPr>
              <w:t>的不得分。</w:t>
            </w:r>
          </w:p>
        </w:tc>
      </w:tr>
      <w:tr w14:paraId="2D198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restart"/>
            <w:vAlign w:val="center"/>
          </w:tcPr>
          <w:p w14:paraId="3ABBAEA2">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b w:val="0"/>
                <w:i w:val="0"/>
                <w:color w:val="auto"/>
                <w:szCs w:val="21"/>
                <w:highlight w:val="none"/>
                <w:u w:val="none" w:color="auto"/>
              </w:rPr>
              <w:t>2.2.4</w:t>
            </w:r>
            <w:r>
              <w:rPr>
                <w:rFonts w:hint="eastAsia"/>
                <w:b w:val="0"/>
                <w:i w:val="0"/>
                <w:color w:val="auto"/>
                <w:szCs w:val="21"/>
                <w:highlight w:val="none"/>
                <w:u w:val="none" w:color="auto"/>
                <w:lang w:eastAsia="zh-CN"/>
              </w:rPr>
              <w:t>(</w:t>
            </w:r>
            <w:r>
              <w:rPr>
                <w:rFonts w:hint="eastAsia"/>
                <w:b w:val="0"/>
                <w:i w:val="0"/>
                <w:color w:val="auto"/>
                <w:szCs w:val="21"/>
                <w:highlight w:val="none"/>
                <w:u w:val="none" w:color="auto"/>
              </w:rPr>
              <w:t>3</w:t>
            </w:r>
            <w:r>
              <w:rPr>
                <w:rFonts w:hint="eastAsia"/>
                <w:b w:val="0"/>
                <w:i w:val="0"/>
                <w:color w:val="auto"/>
                <w:szCs w:val="21"/>
                <w:highlight w:val="none"/>
                <w:u w:val="none" w:color="auto"/>
                <w:lang w:eastAsia="zh-CN"/>
              </w:rPr>
              <w:t>)</w:t>
            </w:r>
          </w:p>
        </w:tc>
        <w:tc>
          <w:tcPr>
            <w:tcW w:w="1059" w:type="dxa"/>
            <w:vMerge w:val="restart"/>
            <w:vAlign w:val="center"/>
          </w:tcPr>
          <w:p w14:paraId="70631F9E">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资信业绩评分标准</w:t>
            </w:r>
          </w:p>
        </w:tc>
        <w:tc>
          <w:tcPr>
            <w:tcW w:w="2085" w:type="dxa"/>
            <w:vAlign w:val="center"/>
          </w:tcPr>
          <w:p w14:paraId="21C81669">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ascii="宋体" w:hAnsi="宋体"/>
                <w:color w:val="auto"/>
                <w:szCs w:val="21"/>
                <w:highlight w:val="none"/>
              </w:rPr>
            </w:pPr>
            <w:r>
              <w:rPr>
                <w:rFonts w:hint="eastAsia" w:ascii="宋体" w:hAnsi="宋体" w:eastAsia="宋体" w:cs="宋体"/>
                <w:b w:val="0"/>
                <w:i w:val="0"/>
                <w:color w:val="auto"/>
                <w:sz w:val="21"/>
                <w:szCs w:val="21"/>
                <w:highlight w:val="none"/>
                <w:u w:val="none" w:color="auto"/>
              </w:rPr>
              <w:t>企业业绩</w:t>
            </w:r>
          </w:p>
        </w:tc>
        <w:tc>
          <w:tcPr>
            <w:tcW w:w="935" w:type="dxa"/>
            <w:gridSpan w:val="2"/>
            <w:vAlign w:val="center"/>
          </w:tcPr>
          <w:p w14:paraId="450C353F">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ascii="宋体" w:hAnsi="宋体"/>
                <w:color w:val="auto"/>
                <w:szCs w:val="44"/>
                <w:highlight w:val="none"/>
              </w:rPr>
            </w:pPr>
            <w:r>
              <w:rPr>
                <w:rFonts w:hint="eastAsia" w:ascii="宋体" w:hAnsi="宋体" w:eastAsia="宋体" w:cs="宋体"/>
                <w:b w:val="0"/>
                <w:bCs/>
                <w:i w:val="0"/>
                <w:color w:val="auto"/>
                <w:sz w:val="21"/>
                <w:szCs w:val="21"/>
                <w:highlight w:val="none"/>
                <w:u w:val="none" w:color="auto"/>
              </w:rPr>
              <w:t>2</w:t>
            </w:r>
          </w:p>
        </w:tc>
        <w:tc>
          <w:tcPr>
            <w:tcW w:w="4111" w:type="dxa"/>
            <w:vAlign w:val="center"/>
          </w:tcPr>
          <w:p w14:paraId="1B11FA37">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left"/>
              <w:textAlignment w:val="auto"/>
              <w:rPr>
                <w:rFonts w:hint="eastAsia" w:ascii="宋体" w:hAnsi="宋体" w:eastAsia="宋体" w:cs="宋体"/>
                <w:b w:val="0"/>
                <w:bCs/>
                <w:i w:val="0"/>
                <w:color w:val="auto"/>
                <w:sz w:val="21"/>
                <w:szCs w:val="21"/>
                <w:highlight w:val="none"/>
                <w:u w:val="none" w:color="auto"/>
                <w:lang w:eastAsia="zh-CN"/>
              </w:rPr>
            </w:pPr>
            <w:r>
              <w:rPr>
                <w:rFonts w:hint="eastAsia" w:ascii="宋体" w:hAnsi="宋体" w:eastAsia="宋体" w:cs="宋体"/>
                <w:b w:val="0"/>
                <w:bCs/>
                <w:i w:val="0"/>
                <w:color w:val="auto"/>
                <w:sz w:val="21"/>
                <w:szCs w:val="21"/>
                <w:highlight w:val="none"/>
                <w:u w:val="none" w:color="auto"/>
              </w:rPr>
              <w:t>企业（2023年1月1日至投标截止日）承揽过</w:t>
            </w:r>
            <w:r>
              <w:rPr>
                <w:rFonts w:hint="eastAsia" w:ascii="宋体" w:hAnsi="宋体" w:eastAsia="宋体" w:cs="宋体"/>
                <w:color w:val="auto"/>
                <w:sz w:val="21"/>
                <w:szCs w:val="21"/>
              </w:rPr>
              <w:t>500</w:t>
            </w:r>
            <w:r>
              <w:rPr>
                <w:rFonts w:hint="eastAsia" w:ascii="宋体" w:hAnsi="宋体" w:eastAsia="宋体" w:cs="宋体"/>
                <w:color w:val="auto"/>
                <w:spacing w:val="-15"/>
                <w:sz w:val="21"/>
                <w:szCs w:val="21"/>
              </w:rPr>
              <w:t>万元</w:t>
            </w:r>
            <w:r>
              <w:rPr>
                <w:rFonts w:hint="eastAsia" w:ascii="宋体" w:hAnsi="宋体" w:eastAsia="宋体" w:cs="宋体"/>
                <w:color w:val="auto"/>
                <w:sz w:val="21"/>
                <w:szCs w:val="21"/>
              </w:rPr>
              <w:t>（含）以上</w:t>
            </w:r>
            <w:r>
              <w:rPr>
                <w:rFonts w:hint="eastAsia" w:ascii="宋体" w:hAnsi="宋体" w:eastAsia="宋体" w:cs="宋体"/>
                <w:color w:val="auto"/>
                <w:spacing w:val="-15"/>
                <w:sz w:val="21"/>
                <w:szCs w:val="21"/>
              </w:rPr>
              <w:t>【施工类</w:t>
            </w:r>
            <w:r>
              <w:rPr>
                <w:rFonts w:hint="eastAsia" w:ascii="宋体" w:hAnsi="宋体" w:cs="宋体"/>
                <w:color w:val="auto"/>
                <w:spacing w:val="-15"/>
                <w:sz w:val="21"/>
                <w:szCs w:val="21"/>
                <w:lang w:eastAsia="zh-CN"/>
              </w:rPr>
              <w:t>－</w:t>
            </w:r>
            <w:r>
              <w:rPr>
                <w:rFonts w:hint="eastAsia" w:ascii="宋体" w:hAnsi="宋体" w:eastAsia="宋体" w:cs="宋体"/>
                <w:color w:val="auto"/>
                <w:spacing w:val="-15"/>
                <w:sz w:val="21"/>
                <w:szCs w:val="21"/>
              </w:rPr>
              <w:t>建筑工程</w:t>
            </w:r>
            <w:r>
              <w:rPr>
                <w:rFonts w:hint="eastAsia" w:ascii="宋体" w:hAnsi="宋体" w:cs="宋体"/>
                <w:color w:val="auto"/>
                <w:spacing w:val="-15"/>
                <w:sz w:val="21"/>
                <w:szCs w:val="21"/>
                <w:lang w:eastAsia="zh-CN"/>
              </w:rPr>
              <w:t>－</w:t>
            </w:r>
            <w:r>
              <w:rPr>
                <w:rFonts w:hint="eastAsia" w:ascii="宋体" w:hAnsi="宋体" w:eastAsia="宋体" w:cs="宋体"/>
                <w:color w:val="auto"/>
                <w:spacing w:val="-15"/>
                <w:sz w:val="21"/>
                <w:szCs w:val="21"/>
              </w:rPr>
              <w:t>不限专业】</w:t>
            </w:r>
            <w:r>
              <w:rPr>
                <w:rFonts w:hint="eastAsia" w:ascii="宋体" w:hAnsi="宋体" w:eastAsia="宋体" w:cs="宋体"/>
                <w:color w:val="auto"/>
                <w:spacing w:val="-2"/>
                <w:sz w:val="21"/>
                <w:szCs w:val="21"/>
              </w:rPr>
              <w:t>（含</w:t>
            </w:r>
            <w:r>
              <w:rPr>
                <w:rFonts w:hint="eastAsia" w:ascii="宋体" w:hAnsi="宋体" w:cs="宋体"/>
                <w:color w:val="auto"/>
                <w:spacing w:val="-2"/>
                <w:sz w:val="21"/>
                <w:szCs w:val="21"/>
                <w:highlight w:val="yellow"/>
                <w:lang w:eastAsia="zh-CN"/>
              </w:rPr>
              <w:t>公共建筑新建或维修改造项目</w:t>
            </w:r>
            <w:r>
              <w:rPr>
                <w:rFonts w:hint="eastAsia" w:ascii="宋体" w:hAnsi="宋体" w:eastAsia="宋体" w:cs="宋体"/>
                <w:color w:val="auto"/>
                <w:spacing w:val="-2"/>
                <w:sz w:val="21"/>
                <w:szCs w:val="21"/>
              </w:rPr>
              <w:t>）</w:t>
            </w:r>
            <w:r>
              <w:rPr>
                <w:rFonts w:hint="eastAsia" w:ascii="宋体" w:hAnsi="宋体" w:eastAsia="宋体" w:cs="宋体"/>
                <w:b w:val="0"/>
                <w:bCs/>
                <w:i w:val="0"/>
                <w:color w:val="auto"/>
                <w:sz w:val="21"/>
                <w:szCs w:val="21"/>
                <w:highlight w:val="none"/>
                <w:u w:val="none" w:color="auto"/>
              </w:rPr>
              <w:t>业绩</w:t>
            </w:r>
            <w:r>
              <w:rPr>
                <w:rFonts w:hint="eastAsia" w:ascii="宋体" w:hAnsi="宋体" w:eastAsia="宋体" w:cs="宋体"/>
                <w:b w:val="0"/>
                <w:bCs/>
                <w:i w:val="0"/>
                <w:color w:val="auto"/>
                <w:sz w:val="21"/>
                <w:szCs w:val="21"/>
                <w:highlight w:val="none"/>
                <w:u w:val="none" w:color="auto"/>
                <w:lang w:eastAsia="zh-CN"/>
              </w:rPr>
              <w:t>。</w:t>
            </w:r>
          </w:p>
          <w:p w14:paraId="19C82C6A">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left"/>
              <w:textAlignment w:val="auto"/>
              <w:rPr>
                <w:rFonts w:hint="eastAsia" w:ascii="宋体" w:hAnsi="宋体" w:eastAsia="宋体" w:cs="宋体"/>
                <w:b w:val="0"/>
                <w:bCs/>
                <w:i w:val="0"/>
                <w:color w:val="auto"/>
                <w:sz w:val="21"/>
                <w:szCs w:val="21"/>
                <w:highlight w:val="none"/>
                <w:u w:val="none" w:color="auto"/>
              </w:rPr>
            </w:pPr>
            <w:r>
              <w:rPr>
                <w:rFonts w:hint="eastAsia" w:ascii="宋体" w:hAnsi="宋体" w:eastAsia="宋体" w:cs="宋体"/>
                <w:b w:val="0"/>
                <w:bCs/>
                <w:i w:val="0"/>
                <w:color w:val="auto"/>
                <w:sz w:val="21"/>
                <w:szCs w:val="21"/>
                <w:highlight w:val="none"/>
                <w:u w:val="none" w:color="auto"/>
              </w:rPr>
              <w:t>每提供1个得</w:t>
            </w:r>
            <w:r>
              <w:rPr>
                <w:rFonts w:hint="eastAsia" w:ascii="宋体" w:hAnsi="宋体" w:eastAsia="宋体" w:cs="宋体"/>
                <w:b w:val="0"/>
                <w:bCs/>
                <w:i w:val="0"/>
                <w:color w:val="auto"/>
                <w:sz w:val="21"/>
                <w:szCs w:val="21"/>
                <w:highlight w:val="none"/>
                <w:u w:val="none" w:color="auto"/>
                <w:lang w:val="en-US" w:eastAsia="zh-CN"/>
              </w:rPr>
              <w:t>1</w:t>
            </w:r>
            <w:r>
              <w:rPr>
                <w:rFonts w:hint="eastAsia" w:ascii="宋体" w:hAnsi="宋体" w:eastAsia="宋体" w:cs="宋体"/>
                <w:b w:val="0"/>
                <w:bCs/>
                <w:i w:val="0"/>
                <w:color w:val="auto"/>
                <w:sz w:val="21"/>
                <w:szCs w:val="21"/>
                <w:highlight w:val="none"/>
                <w:u w:val="none" w:color="auto"/>
              </w:rPr>
              <w:t>分，最多得</w:t>
            </w:r>
            <w:r>
              <w:rPr>
                <w:rFonts w:hint="eastAsia" w:ascii="宋体" w:hAnsi="宋体" w:eastAsia="宋体" w:cs="宋体"/>
                <w:b w:val="0"/>
                <w:bCs/>
                <w:i w:val="0"/>
                <w:color w:val="auto"/>
                <w:sz w:val="21"/>
                <w:szCs w:val="21"/>
                <w:highlight w:val="none"/>
                <w:u w:val="none" w:color="auto"/>
                <w:lang w:val="en-US" w:eastAsia="zh-CN"/>
              </w:rPr>
              <w:t>2</w:t>
            </w:r>
            <w:r>
              <w:rPr>
                <w:rFonts w:hint="eastAsia" w:ascii="宋体" w:hAnsi="宋体" w:eastAsia="宋体" w:cs="宋体"/>
                <w:b w:val="0"/>
                <w:bCs/>
                <w:i w:val="0"/>
                <w:color w:val="auto"/>
                <w:sz w:val="21"/>
                <w:szCs w:val="21"/>
                <w:highlight w:val="none"/>
                <w:u w:val="none" w:color="auto"/>
              </w:rPr>
              <w:t>分。</w:t>
            </w:r>
          </w:p>
          <w:p w14:paraId="4B0450EB">
            <w:pPr>
              <w:pStyle w:val="41"/>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textAlignment w:val="auto"/>
              <w:rPr>
                <w:color w:val="auto"/>
                <w:highlight w:val="none"/>
              </w:rPr>
            </w:pPr>
            <w:r>
              <w:rPr>
                <w:rFonts w:hint="eastAsia" w:ascii="宋体" w:hAnsi="宋体" w:eastAsia="宋体" w:cs="宋体"/>
                <w:b w:val="0"/>
                <w:bCs/>
                <w:i w:val="0"/>
                <w:color w:val="auto"/>
                <w:sz w:val="21"/>
                <w:szCs w:val="21"/>
                <w:highlight w:val="none"/>
                <w:u w:val="none" w:color="auto"/>
                <w:lang w:eastAsia="zh-CN"/>
              </w:rPr>
              <w:t>注：</w:t>
            </w:r>
            <w:r>
              <w:rPr>
                <w:rFonts w:hint="eastAsia" w:ascii="宋体" w:hAnsi="宋体" w:eastAsia="宋体" w:cs="宋体"/>
                <w:color w:val="auto"/>
                <w:spacing w:val="-1"/>
                <w:sz w:val="21"/>
                <w:szCs w:val="21"/>
              </w:rPr>
              <w:t>业绩以住建领域主体信息库入库信息</w:t>
            </w:r>
            <w:r>
              <w:rPr>
                <w:rFonts w:hint="eastAsia" w:ascii="宋体" w:hAnsi="宋体" w:eastAsia="宋体" w:cs="宋体"/>
                <w:color w:val="auto"/>
                <w:sz w:val="21"/>
                <w:szCs w:val="21"/>
              </w:rPr>
              <w:t>（A+B</w:t>
            </w:r>
            <w:r>
              <w:rPr>
                <w:rFonts w:hint="eastAsia" w:ascii="宋体" w:hAnsi="宋体" w:eastAsia="宋体" w:cs="宋体"/>
                <w:color w:val="auto"/>
                <w:spacing w:val="-27"/>
                <w:sz w:val="21"/>
                <w:szCs w:val="21"/>
              </w:rPr>
              <w:t>类</w:t>
            </w:r>
            <w:r>
              <w:rPr>
                <w:rFonts w:hint="eastAsia" w:ascii="宋体" w:hAnsi="宋体" w:eastAsia="宋体" w:cs="宋体"/>
                <w:color w:val="auto"/>
                <w:spacing w:val="-74"/>
                <w:sz w:val="21"/>
                <w:szCs w:val="21"/>
              </w:rPr>
              <w:t>）</w:t>
            </w:r>
            <w:r>
              <w:rPr>
                <w:rFonts w:hint="eastAsia" w:ascii="宋体" w:hAnsi="宋体" w:eastAsia="宋体" w:cs="宋体"/>
                <w:color w:val="auto"/>
                <w:spacing w:val="-10"/>
                <w:sz w:val="21"/>
                <w:szCs w:val="21"/>
              </w:rPr>
              <w:t>为准，</w:t>
            </w:r>
            <w:r>
              <w:rPr>
                <w:rFonts w:hint="eastAsia" w:ascii="宋体" w:hAnsi="宋体" w:eastAsia="宋体" w:cs="宋体"/>
                <w:b w:val="0"/>
                <w:bCs/>
                <w:i w:val="0"/>
                <w:color w:val="auto"/>
                <w:sz w:val="21"/>
                <w:szCs w:val="21"/>
                <w:highlight w:val="none"/>
                <w:u w:val="none" w:color="auto"/>
              </w:rPr>
              <w:t>需提供合同、中标通知书、竣工验收报告</w:t>
            </w:r>
            <w:r>
              <w:rPr>
                <w:rFonts w:hint="eastAsia" w:cs="宋体"/>
                <w:b w:val="0"/>
                <w:bCs/>
                <w:i w:val="0"/>
                <w:color w:val="auto"/>
                <w:sz w:val="21"/>
                <w:szCs w:val="21"/>
                <w:highlight w:val="none"/>
                <w:u w:val="none" w:color="auto"/>
                <w:lang w:val="en-US" w:eastAsia="zh-CN"/>
              </w:rPr>
              <w:t>的复印件</w:t>
            </w:r>
            <w:r>
              <w:rPr>
                <w:rFonts w:hint="eastAsia" w:ascii="宋体" w:hAnsi="宋体" w:eastAsia="宋体" w:cs="宋体"/>
                <w:b w:val="0"/>
                <w:bCs/>
                <w:i w:val="0"/>
                <w:color w:val="auto"/>
                <w:sz w:val="21"/>
                <w:szCs w:val="21"/>
                <w:highlight w:val="none"/>
                <w:u w:val="none" w:color="auto"/>
              </w:rPr>
              <w:t>，时间以竣工验收报告时间为准。</w:t>
            </w:r>
          </w:p>
        </w:tc>
      </w:tr>
      <w:tr w14:paraId="5F7D2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1" w:type="dxa"/>
            <w:vMerge w:val="continue"/>
            <w:vAlign w:val="center"/>
          </w:tcPr>
          <w:p w14:paraId="526E073E">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b w:val="0"/>
                <w:i w:val="0"/>
                <w:color w:val="auto"/>
                <w:szCs w:val="21"/>
                <w:highlight w:val="none"/>
                <w:u w:val="none" w:color="auto"/>
              </w:rPr>
              <w:t>2.2.4</w:t>
            </w:r>
            <w:r>
              <w:rPr>
                <w:rFonts w:hint="eastAsia"/>
                <w:b w:val="0"/>
                <w:i w:val="0"/>
                <w:color w:val="auto"/>
                <w:szCs w:val="21"/>
                <w:highlight w:val="none"/>
                <w:u w:val="none" w:color="auto"/>
                <w:lang w:eastAsia="zh-CN"/>
              </w:rPr>
              <w:t>(</w:t>
            </w:r>
            <w:r>
              <w:rPr>
                <w:rFonts w:hint="eastAsia"/>
                <w:b w:val="0"/>
                <w:i w:val="0"/>
                <w:color w:val="auto"/>
                <w:szCs w:val="21"/>
                <w:highlight w:val="none"/>
                <w:u w:val="none" w:color="auto"/>
              </w:rPr>
              <w:t>3</w:t>
            </w:r>
            <w:r>
              <w:rPr>
                <w:rFonts w:hint="eastAsia"/>
                <w:b w:val="0"/>
                <w:i w:val="0"/>
                <w:color w:val="auto"/>
                <w:szCs w:val="21"/>
                <w:highlight w:val="none"/>
                <w:u w:val="none" w:color="auto"/>
                <w:lang w:eastAsia="zh-CN"/>
              </w:rPr>
              <w:t>)</w:t>
            </w:r>
          </w:p>
        </w:tc>
        <w:tc>
          <w:tcPr>
            <w:tcW w:w="1059" w:type="dxa"/>
            <w:vMerge w:val="continue"/>
            <w:vAlign w:val="center"/>
          </w:tcPr>
          <w:p w14:paraId="1B87C2EE">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资信业绩评分标准</w:t>
            </w:r>
          </w:p>
        </w:tc>
        <w:tc>
          <w:tcPr>
            <w:tcW w:w="2085" w:type="dxa"/>
            <w:vAlign w:val="center"/>
          </w:tcPr>
          <w:p w14:paraId="5CA211AC">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ascii="宋体" w:hAnsi="宋体"/>
                <w:color w:val="auto"/>
                <w:szCs w:val="21"/>
                <w:highlight w:val="none"/>
              </w:rPr>
            </w:pPr>
            <w:r>
              <w:rPr>
                <w:rFonts w:hint="eastAsia" w:ascii="宋体" w:hAnsi="宋体" w:eastAsia="宋体" w:cs="宋体"/>
                <w:b w:val="0"/>
                <w:i w:val="0"/>
                <w:color w:val="auto"/>
                <w:sz w:val="21"/>
                <w:szCs w:val="21"/>
                <w:highlight w:val="none"/>
                <w:u w:val="none" w:color="auto"/>
                <w:lang w:val="en-US" w:eastAsia="zh-CN"/>
              </w:rPr>
              <w:t>体系</w:t>
            </w:r>
            <w:r>
              <w:rPr>
                <w:rFonts w:hint="eastAsia" w:ascii="宋体" w:hAnsi="宋体" w:eastAsia="宋体" w:cs="宋体"/>
                <w:b w:val="0"/>
                <w:i w:val="0"/>
                <w:color w:val="auto"/>
                <w:sz w:val="21"/>
                <w:szCs w:val="21"/>
                <w:highlight w:val="none"/>
                <w:u w:val="none" w:color="auto"/>
              </w:rPr>
              <w:t>认证</w:t>
            </w:r>
          </w:p>
        </w:tc>
        <w:tc>
          <w:tcPr>
            <w:tcW w:w="935" w:type="dxa"/>
            <w:gridSpan w:val="2"/>
            <w:vAlign w:val="center"/>
          </w:tcPr>
          <w:p w14:paraId="4444718C">
            <w:pPr>
              <w:keepNext w:val="0"/>
              <w:keepLines w:val="0"/>
              <w:pageBreakBefore w:val="0"/>
              <w:widowControl w:val="0"/>
              <w:kinsoku/>
              <w:wordWrap/>
              <w:overflowPunct/>
              <w:topLinePunct w:val="0"/>
              <w:autoSpaceDE/>
              <w:autoSpaceDN/>
              <w:bidi w:val="0"/>
              <w:adjustRightInd w:val="0"/>
              <w:snapToGrid w:val="0"/>
              <w:spacing w:line="280" w:lineRule="exact"/>
              <w:ind w:right="0" w:rightChars="0"/>
              <w:jc w:val="center"/>
              <w:textAlignment w:val="auto"/>
              <w:rPr>
                <w:rFonts w:ascii="宋体" w:hAnsi="宋体"/>
                <w:color w:val="auto"/>
                <w:szCs w:val="44"/>
                <w:highlight w:val="none"/>
              </w:rPr>
            </w:pPr>
            <w:r>
              <w:rPr>
                <w:rFonts w:hint="eastAsia" w:ascii="宋体" w:hAnsi="宋体" w:eastAsia="宋体" w:cs="宋体"/>
                <w:b w:val="0"/>
                <w:bCs/>
                <w:i w:val="0"/>
                <w:color w:val="auto"/>
                <w:sz w:val="21"/>
                <w:szCs w:val="21"/>
                <w:highlight w:val="none"/>
                <w:u w:val="none" w:color="auto"/>
                <w:lang w:val="en-US" w:eastAsia="zh-CN"/>
              </w:rPr>
              <w:t>3</w:t>
            </w:r>
          </w:p>
        </w:tc>
        <w:tc>
          <w:tcPr>
            <w:tcW w:w="4111" w:type="dxa"/>
            <w:vAlign w:val="center"/>
          </w:tcPr>
          <w:p w14:paraId="34037A32">
            <w:pPr>
              <w:keepNext w:val="0"/>
              <w:keepLines w:val="0"/>
              <w:pageBreakBefore w:val="0"/>
              <w:widowControl w:val="0"/>
              <w:kinsoku/>
              <w:wordWrap/>
              <w:overflowPunct/>
              <w:topLinePunct w:val="0"/>
              <w:autoSpaceDE/>
              <w:autoSpaceDN/>
              <w:bidi w:val="0"/>
              <w:adjustRightInd w:val="0"/>
              <w:snapToGrid w:val="0"/>
              <w:spacing w:line="280" w:lineRule="exact"/>
              <w:ind w:right="0"/>
              <w:jc w:val="both"/>
              <w:textAlignment w:val="auto"/>
              <w:rPr>
                <w:rFonts w:hint="eastAsia" w:ascii="宋体" w:hAnsi="宋体" w:eastAsia="宋体" w:cs="宋体"/>
                <w:b w:val="0"/>
                <w:bCs/>
                <w:i w:val="0"/>
                <w:color w:val="auto"/>
                <w:sz w:val="21"/>
                <w:szCs w:val="21"/>
                <w:highlight w:val="none"/>
                <w:u w:val="none" w:color="auto"/>
                <w:lang w:eastAsia="zh-CN"/>
              </w:rPr>
            </w:pPr>
            <w:r>
              <w:rPr>
                <w:rFonts w:hint="eastAsia" w:ascii="宋体" w:hAnsi="宋体" w:eastAsia="宋体" w:cs="宋体"/>
                <w:b w:val="0"/>
                <w:bCs/>
                <w:i w:val="0"/>
                <w:color w:val="auto"/>
                <w:sz w:val="21"/>
                <w:szCs w:val="21"/>
                <w:highlight w:val="none"/>
                <w:u w:val="none" w:color="auto"/>
              </w:rPr>
              <w:t>具有投标人具备有效期内的质量管理体系认证、环境管理体系认证、职业健康安全管理体系认证</w:t>
            </w:r>
            <w:r>
              <w:rPr>
                <w:rFonts w:hint="eastAsia" w:ascii="宋体" w:hAnsi="宋体" w:eastAsia="宋体" w:cs="宋体"/>
                <w:b w:val="0"/>
                <w:bCs/>
                <w:i w:val="0"/>
                <w:color w:val="auto"/>
                <w:sz w:val="21"/>
                <w:szCs w:val="21"/>
                <w:highlight w:val="none"/>
                <w:u w:val="none" w:color="auto"/>
                <w:lang w:eastAsia="zh-CN"/>
              </w:rPr>
              <w:t>。</w:t>
            </w:r>
          </w:p>
          <w:p w14:paraId="069816FC">
            <w:pPr>
              <w:keepNext w:val="0"/>
              <w:keepLines w:val="0"/>
              <w:pageBreakBefore w:val="0"/>
              <w:widowControl w:val="0"/>
              <w:kinsoku/>
              <w:wordWrap/>
              <w:overflowPunct/>
              <w:topLinePunct w:val="0"/>
              <w:autoSpaceDE/>
              <w:autoSpaceDN/>
              <w:bidi w:val="0"/>
              <w:adjustRightInd w:val="0"/>
              <w:snapToGrid w:val="0"/>
              <w:spacing w:line="280" w:lineRule="exact"/>
              <w:ind w:right="0"/>
              <w:jc w:val="both"/>
              <w:textAlignment w:val="auto"/>
              <w:rPr>
                <w:rFonts w:hint="eastAsia" w:ascii="宋体" w:hAnsi="宋体" w:eastAsia="宋体" w:cs="宋体"/>
                <w:b w:val="0"/>
                <w:bCs/>
                <w:i w:val="0"/>
                <w:color w:val="auto"/>
                <w:sz w:val="21"/>
                <w:szCs w:val="21"/>
                <w:highlight w:val="none"/>
                <w:u w:val="none" w:color="auto"/>
                <w:lang w:eastAsia="zh-CN"/>
              </w:rPr>
            </w:pPr>
            <w:r>
              <w:rPr>
                <w:rFonts w:hint="eastAsia" w:ascii="宋体" w:hAnsi="宋体" w:eastAsia="宋体" w:cs="宋体"/>
                <w:b w:val="0"/>
                <w:bCs/>
                <w:i w:val="0"/>
                <w:color w:val="auto"/>
                <w:sz w:val="21"/>
                <w:szCs w:val="21"/>
                <w:highlight w:val="none"/>
                <w:u w:val="none" w:color="auto"/>
              </w:rPr>
              <w:t>每提供1个得</w:t>
            </w:r>
            <w:r>
              <w:rPr>
                <w:rFonts w:hint="eastAsia" w:ascii="宋体" w:hAnsi="宋体" w:eastAsia="宋体" w:cs="宋体"/>
                <w:b w:val="0"/>
                <w:bCs/>
                <w:i w:val="0"/>
                <w:color w:val="auto"/>
                <w:sz w:val="21"/>
                <w:szCs w:val="21"/>
                <w:highlight w:val="none"/>
                <w:u w:val="none" w:color="auto"/>
                <w:lang w:val="en-US" w:eastAsia="zh-CN"/>
              </w:rPr>
              <w:t>1</w:t>
            </w:r>
            <w:r>
              <w:rPr>
                <w:rFonts w:hint="eastAsia" w:ascii="宋体" w:hAnsi="宋体" w:eastAsia="宋体" w:cs="宋体"/>
                <w:b w:val="0"/>
                <w:bCs/>
                <w:i w:val="0"/>
                <w:color w:val="auto"/>
                <w:sz w:val="21"/>
                <w:szCs w:val="21"/>
                <w:highlight w:val="none"/>
                <w:u w:val="none" w:color="auto"/>
              </w:rPr>
              <w:t>分，最多得</w:t>
            </w:r>
            <w:r>
              <w:rPr>
                <w:rFonts w:hint="eastAsia" w:ascii="宋体" w:hAnsi="宋体" w:eastAsia="宋体" w:cs="宋体"/>
                <w:b w:val="0"/>
                <w:bCs/>
                <w:i w:val="0"/>
                <w:color w:val="auto"/>
                <w:sz w:val="21"/>
                <w:szCs w:val="21"/>
                <w:highlight w:val="none"/>
                <w:u w:val="none" w:color="auto"/>
                <w:lang w:val="en-US" w:eastAsia="zh-CN"/>
              </w:rPr>
              <w:t>3</w:t>
            </w:r>
            <w:r>
              <w:rPr>
                <w:rFonts w:hint="eastAsia" w:ascii="宋体" w:hAnsi="宋体" w:eastAsia="宋体" w:cs="宋体"/>
                <w:b w:val="0"/>
                <w:bCs/>
                <w:i w:val="0"/>
                <w:color w:val="auto"/>
                <w:sz w:val="21"/>
                <w:szCs w:val="21"/>
                <w:highlight w:val="none"/>
                <w:u w:val="none" w:color="auto"/>
              </w:rPr>
              <w:t>分，缺少或未提供不得分。</w:t>
            </w:r>
          </w:p>
          <w:p w14:paraId="69AFA46C">
            <w:pPr>
              <w:keepNext w:val="0"/>
              <w:keepLines w:val="0"/>
              <w:pageBreakBefore w:val="0"/>
              <w:widowControl w:val="0"/>
              <w:kinsoku/>
              <w:wordWrap/>
              <w:overflowPunct/>
              <w:topLinePunct w:val="0"/>
              <w:autoSpaceDE/>
              <w:autoSpaceDN/>
              <w:bidi w:val="0"/>
              <w:adjustRightInd w:val="0"/>
              <w:snapToGrid w:val="0"/>
              <w:spacing w:line="280" w:lineRule="exact"/>
              <w:ind w:right="0" w:rightChars="0"/>
              <w:jc w:val="both"/>
              <w:textAlignment w:val="auto"/>
              <w:rPr>
                <w:color w:val="auto"/>
                <w:highlight w:val="none"/>
              </w:rPr>
            </w:pPr>
            <w:r>
              <w:rPr>
                <w:rFonts w:hint="eastAsia" w:ascii="宋体" w:hAnsi="宋体" w:eastAsia="宋体" w:cs="宋体"/>
                <w:b w:val="0"/>
                <w:bCs/>
                <w:i w:val="0"/>
                <w:color w:val="auto"/>
                <w:sz w:val="21"/>
                <w:szCs w:val="21"/>
                <w:highlight w:val="none"/>
                <w:u w:val="none" w:color="auto"/>
              </w:rPr>
              <w:t>注：以住建领域主体信息库入库的有效的认证证书为准。</w:t>
            </w:r>
          </w:p>
        </w:tc>
      </w:tr>
      <w:tr w14:paraId="5421B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4F07D00B">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b w:val="0"/>
                <w:i w:val="0"/>
                <w:color w:val="auto"/>
                <w:szCs w:val="21"/>
                <w:highlight w:val="none"/>
                <w:u w:val="none" w:color="auto"/>
              </w:rPr>
              <w:t>2.2.4</w:t>
            </w:r>
            <w:r>
              <w:rPr>
                <w:rFonts w:hint="eastAsia"/>
                <w:b w:val="0"/>
                <w:i w:val="0"/>
                <w:color w:val="auto"/>
                <w:szCs w:val="21"/>
                <w:highlight w:val="none"/>
                <w:u w:val="none" w:color="auto"/>
                <w:lang w:eastAsia="zh-CN"/>
              </w:rPr>
              <w:t>(</w:t>
            </w:r>
            <w:r>
              <w:rPr>
                <w:rFonts w:hint="eastAsia"/>
                <w:b w:val="0"/>
                <w:i w:val="0"/>
                <w:color w:val="auto"/>
                <w:szCs w:val="21"/>
                <w:highlight w:val="none"/>
                <w:u w:val="none" w:color="auto"/>
              </w:rPr>
              <w:t>3</w:t>
            </w:r>
            <w:r>
              <w:rPr>
                <w:rFonts w:hint="eastAsia"/>
                <w:b w:val="0"/>
                <w:i w:val="0"/>
                <w:color w:val="auto"/>
                <w:szCs w:val="21"/>
                <w:highlight w:val="none"/>
                <w:u w:val="none" w:color="auto"/>
                <w:lang w:eastAsia="zh-CN"/>
              </w:rPr>
              <w:t>)</w:t>
            </w:r>
          </w:p>
        </w:tc>
        <w:tc>
          <w:tcPr>
            <w:tcW w:w="1059" w:type="dxa"/>
            <w:vMerge w:val="continue"/>
            <w:vAlign w:val="center"/>
          </w:tcPr>
          <w:p w14:paraId="2949057C">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资信业绩评分标准</w:t>
            </w:r>
          </w:p>
        </w:tc>
        <w:tc>
          <w:tcPr>
            <w:tcW w:w="2085" w:type="dxa"/>
            <w:vAlign w:val="center"/>
          </w:tcPr>
          <w:p w14:paraId="13334DE1">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ascii="宋体" w:hAnsi="宋体"/>
                <w:color w:val="auto"/>
                <w:szCs w:val="21"/>
                <w:highlight w:val="none"/>
              </w:rPr>
            </w:pPr>
            <w:r>
              <w:rPr>
                <w:rFonts w:hint="eastAsia" w:ascii="宋体" w:hAnsi="宋体" w:eastAsia="宋体" w:cs="宋体"/>
                <w:b w:val="0"/>
                <w:i w:val="0"/>
                <w:color w:val="auto"/>
                <w:sz w:val="21"/>
                <w:szCs w:val="21"/>
                <w:highlight w:val="none"/>
                <w:u w:val="none" w:color="auto"/>
              </w:rPr>
              <w:t>项目经理</w:t>
            </w:r>
            <w:r>
              <w:rPr>
                <w:rFonts w:hint="eastAsia" w:ascii="宋体" w:hAnsi="宋体" w:eastAsia="宋体" w:cs="宋体"/>
                <w:b w:val="0"/>
                <w:i w:val="0"/>
                <w:color w:val="auto"/>
                <w:sz w:val="21"/>
                <w:szCs w:val="21"/>
                <w:highlight w:val="none"/>
                <w:u w:val="none" w:color="auto"/>
                <w:lang w:val="en-US" w:eastAsia="zh-CN"/>
              </w:rPr>
              <w:t>资历</w:t>
            </w:r>
          </w:p>
        </w:tc>
        <w:tc>
          <w:tcPr>
            <w:tcW w:w="935" w:type="dxa"/>
            <w:gridSpan w:val="2"/>
            <w:vAlign w:val="center"/>
          </w:tcPr>
          <w:p w14:paraId="42C5A8CC">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ascii="宋体" w:hAnsi="宋体"/>
                <w:color w:val="auto"/>
                <w:szCs w:val="44"/>
                <w:highlight w:val="none"/>
              </w:rPr>
            </w:pPr>
            <w:r>
              <w:rPr>
                <w:rFonts w:hint="eastAsia" w:ascii="宋体" w:hAnsi="宋体" w:eastAsia="宋体" w:cs="宋体"/>
                <w:b w:val="0"/>
                <w:bCs/>
                <w:i w:val="0"/>
                <w:color w:val="auto"/>
                <w:sz w:val="21"/>
                <w:szCs w:val="21"/>
                <w:highlight w:val="none"/>
                <w:u w:val="none" w:color="auto"/>
                <w:lang w:val="en-US" w:eastAsia="zh-CN"/>
              </w:rPr>
              <w:t>1.</w:t>
            </w:r>
            <w:r>
              <w:rPr>
                <w:rFonts w:hint="eastAsia" w:ascii="宋体" w:hAnsi="宋体" w:cs="宋体"/>
                <w:b w:val="0"/>
                <w:bCs/>
                <w:i w:val="0"/>
                <w:color w:val="auto"/>
                <w:sz w:val="21"/>
                <w:szCs w:val="21"/>
                <w:highlight w:val="none"/>
                <w:u w:val="none" w:color="auto"/>
                <w:lang w:val="en-US" w:eastAsia="zh-CN"/>
              </w:rPr>
              <w:t>6</w:t>
            </w:r>
          </w:p>
        </w:tc>
        <w:tc>
          <w:tcPr>
            <w:tcW w:w="4111" w:type="dxa"/>
            <w:vAlign w:val="center"/>
          </w:tcPr>
          <w:p w14:paraId="288639D6">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left"/>
              <w:textAlignment w:val="auto"/>
              <w:rPr>
                <w:rFonts w:hint="eastAsia" w:ascii="宋体" w:hAnsi="宋体" w:eastAsia="宋体" w:cs="宋体"/>
                <w:b w:val="0"/>
                <w:bCs/>
                <w:i w:val="0"/>
                <w:color w:val="auto"/>
                <w:sz w:val="21"/>
                <w:szCs w:val="21"/>
                <w:highlight w:val="none"/>
                <w:u w:val="none" w:color="auto"/>
                <w:lang w:eastAsia="zh-CN"/>
              </w:rPr>
            </w:pPr>
            <w:r>
              <w:rPr>
                <w:rFonts w:hint="eastAsia" w:ascii="宋体" w:hAnsi="宋体" w:eastAsia="宋体" w:cs="宋体"/>
                <w:b w:val="0"/>
                <w:bCs/>
                <w:i w:val="0"/>
                <w:color w:val="auto"/>
                <w:sz w:val="21"/>
                <w:szCs w:val="21"/>
                <w:highlight w:val="none"/>
                <w:u w:val="none" w:color="auto"/>
              </w:rPr>
              <w:t>具有高级工程师职称的得</w:t>
            </w:r>
            <w:r>
              <w:rPr>
                <w:rFonts w:hint="eastAsia" w:ascii="宋体" w:hAnsi="宋体" w:eastAsia="宋体" w:cs="宋体"/>
                <w:b w:val="0"/>
                <w:bCs/>
                <w:i w:val="0"/>
                <w:color w:val="auto"/>
                <w:sz w:val="21"/>
                <w:szCs w:val="21"/>
                <w:highlight w:val="none"/>
                <w:u w:val="none" w:color="auto"/>
                <w:lang w:val="en-US" w:eastAsia="zh-CN"/>
              </w:rPr>
              <w:t>1.</w:t>
            </w:r>
            <w:r>
              <w:rPr>
                <w:rFonts w:hint="eastAsia" w:ascii="宋体" w:hAnsi="宋体" w:cs="宋体"/>
                <w:b w:val="0"/>
                <w:bCs/>
                <w:i w:val="0"/>
                <w:color w:val="auto"/>
                <w:sz w:val="21"/>
                <w:szCs w:val="21"/>
                <w:highlight w:val="none"/>
                <w:u w:val="none" w:color="auto"/>
                <w:lang w:val="en-US" w:eastAsia="zh-CN"/>
              </w:rPr>
              <w:t>6</w:t>
            </w:r>
            <w:r>
              <w:rPr>
                <w:rFonts w:hint="eastAsia" w:ascii="宋体" w:hAnsi="宋体" w:eastAsia="宋体" w:cs="宋体"/>
                <w:b w:val="0"/>
                <w:bCs/>
                <w:i w:val="0"/>
                <w:color w:val="auto"/>
                <w:sz w:val="21"/>
                <w:szCs w:val="21"/>
                <w:highlight w:val="none"/>
                <w:u w:val="none" w:color="auto"/>
              </w:rPr>
              <w:t>分，中级工程师职称的得</w:t>
            </w:r>
            <w:r>
              <w:rPr>
                <w:rFonts w:hint="eastAsia" w:ascii="宋体" w:hAnsi="宋体" w:eastAsia="宋体" w:cs="宋体"/>
                <w:b w:val="0"/>
                <w:bCs/>
                <w:i w:val="0"/>
                <w:color w:val="auto"/>
                <w:sz w:val="21"/>
                <w:szCs w:val="21"/>
                <w:highlight w:val="none"/>
                <w:u w:val="none" w:color="auto"/>
                <w:lang w:val="en-US" w:eastAsia="zh-CN"/>
              </w:rPr>
              <w:t>0.</w:t>
            </w:r>
            <w:r>
              <w:rPr>
                <w:rFonts w:hint="eastAsia" w:ascii="宋体" w:hAnsi="宋体" w:cs="宋体"/>
                <w:b w:val="0"/>
                <w:bCs/>
                <w:i w:val="0"/>
                <w:color w:val="auto"/>
                <w:sz w:val="21"/>
                <w:szCs w:val="21"/>
                <w:highlight w:val="none"/>
                <w:u w:val="none" w:color="auto"/>
                <w:lang w:val="en-US" w:eastAsia="zh-CN"/>
              </w:rPr>
              <w:t>8</w:t>
            </w:r>
            <w:r>
              <w:rPr>
                <w:rFonts w:hint="eastAsia" w:ascii="宋体" w:hAnsi="宋体" w:eastAsia="宋体" w:cs="宋体"/>
                <w:b w:val="0"/>
                <w:bCs/>
                <w:i w:val="0"/>
                <w:color w:val="auto"/>
                <w:sz w:val="21"/>
                <w:szCs w:val="21"/>
                <w:highlight w:val="none"/>
                <w:u w:val="none" w:color="auto"/>
              </w:rPr>
              <w:t>分。</w:t>
            </w:r>
          </w:p>
          <w:p w14:paraId="4E714067">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left"/>
              <w:textAlignment w:val="auto"/>
              <w:rPr>
                <w:rFonts w:hint="eastAsia" w:ascii="宋体" w:hAnsi="宋体" w:eastAsia="宋体" w:cs="宋体"/>
                <w:b w:val="0"/>
                <w:bCs/>
                <w:i w:val="0"/>
                <w:color w:val="auto"/>
                <w:sz w:val="21"/>
                <w:szCs w:val="21"/>
                <w:highlight w:val="none"/>
                <w:u w:val="none" w:color="auto"/>
                <w:lang w:eastAsia="zh-CN"/>
              </w:rPr>
            </w:pPr>
            <w:r>
              <w:rPr>
                <w:rFonts w:hint="eastAsia" w:ascii="宋体" w:hAnsi="宋体" w:eastAsia="宋体" w:cs="宋体"/>
                <w:b w:val="0"/>
                <w:bCs/>
                <w:i w:val="0"/>
                <w:color w:val="auto"/>
                <w:sz w:val="21"/>
                <w:szCs w:val="21"/>
                <w:highlight w:val="none"/>
                <w:u w:val="none" w:color="auto"/>
              </w:rPr>
              <w:t>满分</w:t>
            </w:r>
            <w:r>
              <w:rPr>
                <w:rFonts w:hint="eastAsia" w:ascii="宋体" w:hAnsi="宋体" w:eastAsia="宋体" w:cs="宋体"/>
                <w:b w:val="0"/>
                <w:bCs/>
                <w:i w:val="0"/>
                <w:color w:val="auto"/>
                <w:sz w:val="21"/>
                <w:szCs w:val="21"/>
                <w:highlight w:val="none"/>
                <w:u w:val="none" w:color="auto"/>
                <w:lang w:val="en-US" w:eastAsia="zh-CN"/>
              </w:rPr>
              <w:t>1.</w:t>
            </w:r>
            <w:r>
              <w:rPr>
                <w:rFonts w:hint="eastAsia" w:ascii="宋体" w:hAnsi="宋体" w:cs="宋体"/>
                <w:b w:val="0"/>
                <w:bCs/>
                <w:i w:val="0"/>
                <w:color w:val="auto"/>
                <w:sz w:val="21"/>
                <w:szCs w:val="21"/>
                <w:highlight w:val="none"/>
                <w:u w:val="none" w:color="auto"/>
                <w:lang w:val="en-US" w:eastAsia="zh-CN"/>
              </w:rPr>
              <w:t>6</w:t>
            </w:r>
            <w:r>
              <w:rPr>
                <w:rFonts w:hint="eastAsia" w:ascii="宋体" w:hAnsi="宋体" w:eastAsia="宋体" w:cs="宋体"/>
                <w:b w:val="0"/>
                <w:bCs/>
                <w:i w:val="0"/>
                <w:color w:val="auto"/>
                <w:sz w:val="21"/>
                <w:szCs w:val="21"/>
                <w:highlight w:val="none"/>
                <w:u w:val="none" w:color="auto"/>
              </w:rPr>
              <w:t>分，缺少或未提供不得分。</w:t>
            </w:r>
          </w:p>
          <w:p w14:paraId="0887D275">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left"/>
              <w:textAlignment w:val="auto"/>
              <w:rPr>
                <w:color w:val="auto"/>
                <w:highlight w:val="none"/>
              </w:rPr>
            </w:pPr>
            <w:r>
              <w:rPr>
                <w:rFonts w:hint="eastAsia" w:ascii="宋体" w:hAnsi="宋体" w:eastAsia="宋体" w:cs="宋体"/>
                <w:b w:val="0"/>
                <w:bCs/>
                <w:i w:val="0"/>
                <w:color w:val="auto"/>
                <w:sz w:val="21"/>
                <w:szCs w:val="21"/>
                <w:highlight w:val="none"/>
                <w:u w:val="none" w:color="auto"/>
              </w:rPr>
              <w:t>注：以住建领域主体信息库入库信息为准。</w:t>
            </w:r>
          </w:p>
        </w:tc>
      </w:tr>
      <w:tr w14:paraId="38602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6AE6139A">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eastAsia"/>
                <w:b w:val="0"/>
                <w:i w:val="0"/>
                <w:color w:val="auto"/>
                <w:szCs w:val="21"/>
                <w:highlight w:val="none"/>
                <w:u w:val="none" w:color="auto"/>
              </w:rPr>
            </w:pPr>
          </w:p>
        </w:tc>
        <w:tc>
          <w:tcPr>
            <w:tcW w:w="1059" w:type="dxa"/>
            <w:vMerge w:val="continue"/>
            <w:vAlign w:val="center"/>
          </w:tcPr>
          <w:p w14:paraId="7C2D6BB1">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eastAsia" w:ascii="宋体" w:hAnsi="宋体" w:eastAsia="宋体" w:cs="宋体"/>
                <w:b w:val="0"/>
                <w:i w:val="0"/>
                <w:color w:val="auto"/>
                <w:szCs w:val="21"/>
                <w:highlight w:val="none"/>
                <w:u w:val="none" w:color="auto"/>
              </w:rPr>
            </w:pPr>
          </w:p>
        </w:tc>
        <w:tc>
          <w:tcPr>
            <w:tcW w:w="2085" w:type="dxa"/>
            <w:vAlign w:val="center"/>
          </w:tcPr>
          <w:p w14:paraId="4C54DD1E">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宋体" w:hAnsi="宋体" w:eastAsia="宋体" w:cs="宋体"/>
                <w:b w:val="0"/>
                <w:i w:val="0"/>
                <w:color w:val="auto"/>
                <w:highlight w:val="none"/>
                <w:u w:val="none" w:color="auto"/>
              </w:rPr>
            </w:pPr>
            <w:r>
              <w:rPr>
                <w:rFonts w:hint="eastAsia" w:ascii="宋体" w:hAnsi="宋体" w:eastAsia="宋体" w:cs="宋体"/>
                <w:color w:val="auto"/>
                <w:sz w:val="21"/>
                <w:szCs w:val="21"/>
                <w:highlight w:val="none"/>
              </w:rPr>
              <w:t>项目组人员配备</w:t>
            </w:r>
          </w:p>
        </w:tc>
        <w:tc>
          <w:tcPr>
            <w:tcW w:w="935" w:type="dxa"/>
            <w:gridSpan w:val="2"/>
            <w:vAlign w:val="center"/>
          </w:tcPr>
          <w:p w14:paraId="13DEED89">
            <w:pPr>
              <w:keepNext w:val="0"/>
              <w:keepLines w:val="0"/>
              <w:pageBreakBefore w:val="0"/>
              <w:widowControl w:val="0"/>
              <w:kinsoku/>
              <w:wordWrap/>
              <w:overflowPunct/>
              <w:topLinePunct w:val="0"/>
              <w:autoSpaceDE/>
              <w:autoSpaceDN/>
              <w:bidi w:val="0"/>
              <w:adjustRightInd w:val="0"/>
              <w:snapToGrid w:val="0"/>
              <w:spacing w:line="280" w:lineRule="exact"/>
              <w:ind w:right="0" w:rightChars="0"/>
              <w:jc w:val="center"/>
              <w:textAlignment w:val="auto"/>
              <w:rPr>
                <w:rFonts w:hint="eastAsia" w:ascii="宋体" w:hAnsi="宋体" w:eastAsia="宋体" w:cs="宋体"/>
                <w:b w:val="0"/>
                <w:bCs/>
                <w:i w:val="0"/>
                <w:color w:val="auto"/>
                <w:szCs w:val="21"/>
                <w:highlight w:val="none"/>
                <w:u w:val="none" w:color="auto"/>
              </w:rPr>
            </w:pPr>
            <w:r>
              <w:rPr>
                <w:rFonts w:hint="eastAsia" w:ascii="宋体" w:hAnsi="宋体" w:eastAsia="宋体" w:cs="宋体"/>
                <w:b w:val="0"/>
                <w:bCs/>
                <w:i w:val="0"/>
                <w:color w:val="auto"/>
                <w:sz w:val="21"/>
                <w:szCs w:val="21"/>
                <w:highlight w:val="none"/>
                <w:u w:val="none" w:color="auto"/>
                <w:lang w:val="en-US" w:eastAsia="zh-CN"/>
              </w:rPr>
              <w:t>1</w:t>
            </w:r>
          </w:p>
        </w:tc>
        <w:tc>
          <w:tcPr>
            <w:tcW w:w="4111" w:type="dxa"/>
            <w:vAlign w:val="center"/>
          </w:tcPr>
          <w:p w14:paraId="3959C94D">
            <w:pPr>
              <w:keepNext w:val="0"/>
              <w:keepLines w:val="0"/>
              <w:pageBreakBefore w:val="0"/>
              <w:widowControl w:val="0"/>
              <w:numPr>
                <w:ilvl w:val="0"/>
                <w:numId w:val="0"/>
              </w:numPr>
              <w:kinsoku/>
              <w:wordWrap/>
              <w:overflowPunct/>
              <w:topLinePunct w:val="0"/>
              <w:autoSpaceDE/>
              <w:autoSpaceDN/>
              <w:bidi w:val="0"/>
              <w:adjustRightInd w:val="0"/>
              <w:snapToGrid w:val="0"/>
              <w:spacing w:line="280" w:lineRule="exact"/>
              <w:ind w:left="0" w:leftChars="0" w:firstLine="0" w:firstLineChars="0"/>
              <w:textAlignment w:val="auto"/>
              <w:rPr>
                <w:rStyle w:val="20"/>
                <w:rFonts w:hint="eastAsia" w:ascii="宋体" w:hAnsi="宋体" w:eastAsia="宋体" w:cs="宋体"/>
                <w:b w:val="0"/>
                <w:color w:val="auto"/>
                <w:sz w:val="21"/>
                <w:szCs w:val="21"/>
                <w:lang w:eastAsia="zh-CN"/>
              </w:rPr>
            </w:pPr>
            <w:r>
              <w:rPr>
                <w:rFonts w:hint="eastAsia" w:ascii="宋体" w:hAnsi="宋体" w:eastAsia="宋体" w:cs="宋体"/>
                <w:b w:val="0"/>
                <w:bCs/>
                <w:i w:val="0"/>
                <w:color w:val="auto"/>
                <w:sz w:val="21"/>
                <w:szCs w:val="21"/>
                <w:highlight w:val="none"/>
                <w:u w:val="none" w:color="auto"/>
              </w:rPr>
              <w:t>评审内容：</w:t>
            </w:r>
            <w:r>
              <w:rPr>
                <w:rStyle w:val="20"/>
                <w:rFonts w:hint="eastAsia" w:ascii="宋体" w:hAnsi="宋体" w:eastAsia="宋体" w:cs="宋体"/>
                <w:b w:val="0"/>
                <w:color w:val="auto"/>
                <w:sz w:val="21"/>
                <w:szCs w:val="21"/>
                <w:lang w:eastAsia="zh-CN"/>
              </w:rPr>
              <w:t>拟投入本项目的项目组人员施工员、材料员、资料员、质量员、安全员配备齐全、职责分工明确、专业合理的得</w:t>
            </w:r>
            <w:r>
              <w:rPr>
                <w:rStyle w:val="20"/>
                <w:rFonts w:hint="eastAsia" w:ascii="宋体" w:hAnsi="宋体" w:eastAsia="宋体" w:cs="宋体"/>
                <w:b w:val="0"/>
                <w:color w:val="auto"/>
                <w:sz w:val="21"/>
                <w:szCs w:val="21"/>
                <w:lang w:val="en-US" w:eastAsia="zh-CN"/>
              </w:rPr>
              <w:t>1</w:t>
            </w:r>
            <w:r>
              <w:rPr>
                <w:rStyle w:val="20"/>
                <w:rFonts w:hint="eastAsia" w:ascii="宋体" w:hAnsi="宋体" w:eastAsia="宋体" w:cs="宋体"/>
                <w:b w:val="0"/>
                <w:color w:val="auto"/>
                <w:sz w:val="21"/>
                <w:szCs w:val="21"/>
                <w:lang w:eastAsia="zh-CN"/>
              </w:rPr>
              <w:t>分，每缺一项减</w:t>
            </w:r>
            <w:r>
              <w:rPr>
                <w:rStyle w:val="20"/>
                <w:rFonts w:hint="eastAsia" w:ascii="宋体" w:hAnsi="宋体" w:eastAsia="宋体" w:cs="宋体"/>
                <w:b w:val="0"/>
                <w:color w:val="auto"/>
                <w:sz w:val="21"/>
                <w:szCs w:val="21"/>
                <w:lang w:val="en-US" w:eastAsia="zh-CN"/>
              </w:rPr>
              <w:t>0.2</w:t>
            </w:r>
            <w:r>
              <w:rPr>
                <w:rStyle w:val="20"/>
                <w:rFonts w:hint="eastAsia" w:ascii="宋体" w:hAnsi="宋体" w:eastAsia="宋体" w:cs="宋体"/>
                <w:b w:val="0"/>
                <w:color w:val="auto"/>
                <w:sz w:val="21"/>
                <w:szCs w:val="21"/>
                <w:lang w:eastAsia="zh-CN"/>
              </w:rPr>
              <w:t>分，最多减</w:t>
            </w:r>
            <w:r>
              <w:rPr>
                <w:rStyle w:val="20"/>
                <w:rFonts w:hint="eastAsia" w:ascii="宋体" w:hAnsi="宋体" w:eastAsia="宋体" w:cs="宋体"/>
                <w:b w:val="0"/>
                <w:color w:val="auto"/>
                <w:sz w:val="21"/>
                <w:szCs w:val="21"/>
                <w:lang w:val="en-US" w:eastAsia="zh-CN"/>
              </w:rPr>
              <w:t>1</w:t>
            </w:r>
            <w:r>
              <w:rPr>
                <w:rStyle w:val="20"/>
                <w:rFonts w:hint="eastAsia" w:ascii="宋体" w:hAnsi="宋体" w:eastAsia="宋体" w:cs="宋体"/>
                <w:b w:val="0"/>
                <w:color w:val="auto"/>
                <w:sz w:val="21"/>
                <w:szCs w:val="21"/>
                <w:lang w:eastAsia="zh-CN"/>
              </w:rPr>
              <w:t>分。</w:t>
            </w:r>
          </w:p>
          <w:p w14:paraId="1A78D0C0">
            <w:pPr>
              <w:keepNext w:val="0"/>
              <w:keepLines w:val="0"/>
              <w:pageBreakBefore w:val="0"/>
              <w:widowControl w:val="0"/>
              <w:kinsoku/>
              <w:wordWrap/>
              <w:overflowPunct/>
              <w:topLinePunct w:val="0"/>
              <w:autoSpaceDE/>
              <w:autoSpaceDN/>
              <w:bidi w:val="0"/>
              <w:adjustRightInd w:val="0"/>
              <w:snapToGrid w:val="0"/>
              <w:spacing w:line="280" w:lineRule="exact"/>
              <w:ind w:right="0" w:rightChars="0"/>
              <w:jc w:val="left"/>
              <w:textAlignment w:val="auto"/>
              <w:rPr>
                <w:rFonts w:hint="eastAsia" w:ascii="宋体" w:hAnsi="宋体" w:eastAsia="宋体" w:cs="宋体"/>
                <w:b w:val="0"/>
                <w:bCs/>
                <w:i w:val="0"/>
                <w:color w:val="auto"/>
                <w:szCs w:val="21"/>
                <w:highlight w:val="none"/>
                <w:u w:val="none" w:color="auto"/>
              </w:rPr>
            </w:pPr>
            <w:r>
              <w:rPr>
                <w:rFonts w:hint="eastAsia" w:ascii="宋体" w:hAnsi="宋体" w:eastAsia="宋体" w:cs="宋体"/>
                <w:b w:val="0"/>
                <w:bCs/>
                <w:i w:val="0"/>
                <w:color w:val="auto"/>
                <w:sz w:val="21"/>
                <w:szCs w:val="21"/>
                <w:highlight w:val="none"/>
                <w:u w:val="none" w:color="auto"/>
              </w:rPr>
              <w:t>注：以住建领域主体信息库入库信息为准。</w:t>
            </w:r>
          </w:p>
        </w:tc>
      </w:tr>
      <w:tr w14:paraId="6583C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1B63E77F">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eastAsia"/>
                <w:b w:val="0"/>
                <w:i w:val="0"/>
                <w:color w:val="auto"/>
                <w:szCs w:val="21"/>
                <w:highlight w:val="none"/>
                <w:u w:val="none" w:color="auto"/>
              </w:rPr>
            </w:pPr>
          </w:p>
        </w:tc>
        <w:tc>
          <w:tcPr>
            <w:tcW w:w="1059" w:type="dxa"/>
            <w:vMerge w:val="continue"/>
            <w:vAlign w:val="center"/>
          </w:tcPr>
          <w:p w14:paraId="26A35EAE">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eastAsia" w:ascii="宋体" w:hAnsi="宋体" w:eastAsia="宋体" w:cs="宋体"/>
                <w:b w:val="0"/>
                <w:i w:val="0"/>
                <w:color w:val="auto"/>
                <w:szCs w:val="21"/>
                <w:highlight w:val="none"/>
                <w:u w:val="none" w:color="auto"/>
              </w:rPr>
            </w:pPr>
          </w:p>
        </w:tc>
        <w:tc>
          <w:tcPr>
            <w:tcW w:w="2085" w:type="dxa"/>
            <w:vAlign w:val="center"/>
          </w:tcPr>
          <w:p w14:paraId="50CD393C">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eastAsia" w:ascii="宋体" w:hAnsi="宋体" w:eastAsia="宋体" w:cs="宋体"/>
                <w:b w:val="0"/>
                <w:i w:val="0"/>
                <w:color w:val="auto"/>
                <w:highlight w:val="none"/>
                <w:u w:val="none" w:color="auto"/>
              </w:rPr>
            </w:pPr>
            <w:r>
              <w:rPr>
                <w:rFonts w:hint="eastAsia" w:ascii="宋体" w:hAnsi="宋体" w:eastAsia="宋体" w:cs="宋体"/>
                <w:color w:val="auto"/>
                <w:sz w:val="21"/>
                <w:szCs w:val="21"/>
                <w:highlight w:val="none"/>
              </w:rPr>
              <w:t>节能产品</w:t>
            </w:r>
            <w:r>
              <w:rPr>
                <w:rFonts w:hint="eastAsia" w:ascii="宋体" w:hAnsi="宋体" w:eastAsia="宋体" w:cs="宋体"/>
                <w:color w:val="auto"/>
                <w:sz w:val="21"/>
                <w:szCs w:val="21"/>
                <w:highlight w:val="none"/>
                <w:lang w:eastAsia="zh-CN"/>
              </w:rPr>
              <w:t>加分</w:t>
            </w:r>
          </w:p>
        </w:tc>
        <w:tc>
          <w:tcPr>
            <w:tcW w:w="935" w:type="dxa"/>
            <w:gridSpan w:val="2"/>
            <w:vAlign w:val="center"/>
          </w:tcPr>
          <w:p w14:paraId="51CBF347">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宋体" w:hAnsi="宋体" w:eastAsia="宋体" w:cs="宋体"/>
                <w:b w:val="0"/>
                <w:bCs/>
                <w:i w:val="0"/>
                <w:color w:val="auto"/>
                <w:szCs w:val="21"/>
                <w:highlight w:val="none"/>
                <w:u w:val="none" w:color="auto"/>
              </w:rPr>
            </w:pPr>
            <w:r>
              <w:rPr>
                <w:rFonts w:hint="eastAsia" w:ascii="宋体" w:hAnsi="宋体" w:eastAsia="宋体" w:cs="宋体"/>
                <w:b w:val="0"/>
                <w:bCs/>
                <w:i w:val="0"/>
                <w:color w:val="auto"/>
                <w:szCs w:val="21"/>
                <w:highlight w:val="none"/>
                <w:u w:val="none" w:color="auto"/>
                <w:lang w:val="en-US" w:eastAsia="zh-CN"/>
              </w:rPr>
              <w:t>1.</w:t>
            </w:r>
            <w:r>
              <w:rPr>
                <w:rFonts w:hint="eastAsia" w:ascii="宋体" w:hAnsi="宋体" w:cs="宋体"/>
                <w:b w:val="0"/>
                <w:bCs/>
                <w:i w:val="0"/>
                <w:color w:val="auto"/>
                <w:szCs w:val="21"/>
                <w:highlight w:val="none"/>
                <w:u w:val="none" w:color="auto"/>
                <w:lang w:val="en-US" w:eastAsia="zh-CN"/>
              </w:rPr>
              <w:t>2</w:t>
            </w:r>
          </w:p>
        </w:tc>
        <w:tc>
          <w:tcPr>
            <w:tcW w:w="4111" w:type="dxa"/>
            <w:vAlign w:val="center"/>
          </w:tcPr>
          <w:p w14:paraId="2EECFE0D">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对清单中的产品</w:t>
            </w:r>
            <w:r>
              <w:rPr>
                <w:rFonts w:hint="eastAsia" w:ascii="宋体" w:hAnsi="宋体" w:cs="宋体"/>
                <w:color w:val="auto"/>
                <w:szCs w:val="21"/>
                <w:highlight w:val="none"/>
                <w:lang w:eastAsia="zh-CN"/>
              </w:rPr>
              <w:t>投标</w:t>
            </w:r>
            <w:r>
              <w:rPr>
                <w:rFonts w:hint="eastAsia" w:ascii="宋体" w:hAnsi="宋体" w:eastAsia="宋体" w:cs="宋体"/>
                <w:color w:val="auto"/>
                <w:szCs w:val="21"/>
                <w:highlight w:val="none"/>
              </w:rPr>
              <w:t>报价给予价格部分总分值</w:t>
            </w:r>
            <w:r>
              <w:rPr>
                <w:rFonts w:hint="eastAsia" w:ascii="宋体" w:hAnsi="宋体" w:cs="宋体"/>
                <w:color w:val="auto"/>
                <w:kern w:val="0"/>
                <w:szCs w:val="21"/>
                <w:highlight w:val="none"/>
                <w:u w:val="single"/>
                <w:lang w:val="en-US" w:eastAsia="zh-CN"/>
              </w:rPr>
              <w:t>2</w:t>
            </w:r>
            <w:r>
              <w:rPr>
                <w:rFonts w:hint="eastAsia" w:ascii="宋体" w:hAnsi="宋体" w:eastAsia="宋体" w:cs="宋体"/>
                <w:color w:val="auto"/>
                <w:kern w:val="0"/>
                <w:szCs w:val="21"/>
                <w:highlight w:val="none"/>
              </w:rPr>
              <w:t>%</w:t>
            </w:r>
            <w:r>
              <w:rPr>
                <w:rFonts w:hint="eastAsia" w:ascii="宋体" w:hAnsi="宋体" w:eastAsia="宋体" w:cs="宋体"/>
                <w:color w:val="auto"/>
                <w:szCs w:val="21"/>
                <w:highlight w:val="none"/>
              </w:rPr>
              <w:t>的加分，计算公式如下：</w:t>
            </w:r>
          </w:p>
          <w:p w14:paraId="56334007">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节能产品加分＝（节能产品最后报价之和/最后报价总价）×价格部分总分值</w:t>
            </w:r>
            <w:r>
              <w:rPr>
                <w:rFonts w:hint="eastAsia" w:ascii="宋体" w:hAnsi="宋体" w:eastAsia="宋体" w:cs="宋体"/>
                <w:color w:val="auto"/>
                <w:szCs w:val="21"/>
                <w:highlight w:val="none"/>
                <w:u w:val="single"/>
                <w:lang w:val="en-US" w:eastAsia="zh-CN"/>
              </w:rPr>
              <w:t>60</w:t>
            </w:r>
            <w:r>
              <w:rPr>
                <w:rFonts w:hint="eastAsia" w:ascii="宋体" w:hAnsi="宋体" w:eastAsia="宋体" w:cs="宋体"/>
                <w:color w:val="auto"/>
                <w:szCs w:val="21"/>
                <w:highlight w:val="none"/>
              </w:rPr>
              <w:t>×</w:t>
            </w:r>
            <w:r>
              <w:rPr>
                <w:rFonts w:hint="eastAsia" w:ascii="宋体" w:hAnsi="宋体" w:cs="宋体"/>
                <w:color w:val="auto"/>
                <w:szCs w:val="21"/>
                <w:highlight w:val="none"/>
                <w:u w:val="single"/>
                <w:lang w:val="en-US" w:eastAsia="zh-CN"/>
              </w:rPr>
              <w:t>2</w:t>
            </w:r>
            <w:r>
              <w:rPr>
                <w:rFonts w:hint="eastAsia" w:ascii="宋体" w:hAnsi="宋体" w:eastAsia="宋体" w:cs="宋体"/>
                <w:color w:val="auto"/>
                <w:szCs w:val="21"/>
                <w:highlight w:val="none"/>
              </w:rPr>
              <w:t>%。</w:t>
            </w:r>
          </w:p>
          <w:p w14:paraId="6859D272">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注：投标文件中提供节能证明材料（强制性节能产品除外），未提供不得分。</w:t>
            </w:r>
          </w:p>
        </w:tc>
      </w:tr>
      <w:tr w14:paraId="7BDAB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1DF05718">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b w:val="0"/>
                <w:i w:val="0"/>
                <w:color w:val="auto"/>
                <w:szCs w:val="21"/>
                <w:highlight w:val="none"/>
                <w:u w:val="none" w:color="auto"/>
              </w:rPr>
              <w:t>2.2.4</w:t>
            </w:r>
            <w:r>
              <w:rPr>
                <w:rFonts w:hint="eastAsia"/>
                <w:b w:val="0"/>
                <w:i w:val="0"/>
                <w:color w:val="auto"/>
                <w:szCs w:val="21"/>
                <w:highlight w:val="none"/>
                <w:u w:val="none" w:color="auto"/>
                <w:lang w:eastAsia="zh-CN"/>
              </w:rPr>
              <w:t>(</w:t>
            </w:r>
            <w:r>
              <w:rPr>
                <w:rFonts w:hint="eastAsia"/>
                <w:b w:val="0"/>
                <w:i w:val="0"/>
                <w:color w:val="auto"/>
                <w:szCs w:val="21"/>
                <w:highlight w:val="none"/>
                <w:u w:val="none" w:color="auto"/>
              </w:rPr>
              <w:t>3</w:t>
            </w:r>
            <w:r>
              <w:rPr>
                <w:rFonts w:hint="eastAsia"/>
                <w:b w:val="0"/>
                <w:i w:val="0"/>
                <w:color w:val="auto"/>
                <w:szCs w:val="21"/>
                <w:highlight w:val="none"/>
                <w:u w:val="none" w:color="auto"/>
                <w:lang w:eastAsia="zh-CN"/>
              </w:rPr>
              <w:t>)</w:t>
            </w:r>
          </w:p>
        </w:tc>
        <w:tc>
          <w:tcPr>
            <w:tcW w:w="1059" w:type="dxa"/>
            <w:vMerge w:val="continue"/>
            <w:vAlign w:val="center"/>
          </w:tcPr>
          <w:p w14:paraId="59C33774">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资信业绩评分标准</w:t>
            </w:r>
          </w:p>
        </w:tc>
        <w:tc>
          <w:tcPr>
            <w:tcW w:w="2085" w:type="dxa"/>
            <w:vAlign w:val="center"/>
          </w:tcPr>
          <w:p w14:paraId="6E5B343F">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ascii="宋体" w:hAnsi="宋体"/>
                <w:color w:val="auto"/>
                <w:szCs w:val="21"/>
                <w:highlight w:val="none"/>
              </w:rPr>
            </w:pPr>
            <w:r>
              <w:rPr>
                <w:rFonts w:hint="eastAsia" w:ascii="宋体" w:hAnsi="宋体" w:eastAsia="宋体" w:cs="宋体"/>
                <w:color w:val="auto"/>
                <w:sz w:val="21"/>
                <w:szCs w:val="21"/>
                <w:highlight w:val="none"/>
              </w:rPr>
              <w:t>环保产品</w:t>
            </w:r>
            <w:r>
              <w:rPr>
                <w:rFonts w:hint="eastAsia" w:ascii="宋体" w:hAnsi="宋体" w:eastAsia="宋体" w:cs="宋体"/>
                <w:color w:val="auto"/>
                <w:sz w:val="21"/>
                <w:szCs w:val="21"/>
                <w:highlight w:val="none"/>
                <w:lang w:eastAsia="zh-CN"/>
              </w:rPr>
              <w:t>加分</w:t>
            </w:r>
          </w:p>
        </w:tc>
        <w:tc>
          <w:tcPr>
            <w:tcW w:w="935" w:type="dxa"/>
            <w:gridSpan w:val="2"/>
            <w:vAlign w:val="center"/>
          </w:tcPr>
          <w:p w14:paraId="2DC200BE">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ascii="宋体" w:hAnsi="宋体"/>
                <w:color w:val="auto"/>
                <w:szCs w:val="44"/>
                <w:highlight w:val="none"/>
              </w:rPr>
            </w:pPr>
            <w:r>
              <w:rPr>
                <w:rFonts w:hint="eastAsia" w:ascii="宋体" w:hAnsi="宋体" w:eastAsia="宋体" w:cs="宋体"/>
                <w:color w:val="auto"/>
                <w:szCs w:val="44"/>
                <w:highlight w:val="none"/>
                <w:lang w:val="en-US" w:eastAsia="zh-CN"/>
              </w:rPr>
              <w:t>1.</w:t>
            </w:r>
            <w:r>
              <w:rPr>
                <w:rFonts w:hint="eastAsia" w:ascii="宋体" w:hAnsi="宋体" w:cs="宋体"/>
                <w:color w:val="auto"/>
                <w:szCs w:val="44"/>
                <w:highlight w:val="none"/>
                <w:lang w:val="en-US" w:eastAsia="zh-CN"/>
              </w:rPr>
              <w:t>2</w:t>
            </w:r>
          </w:p>
        </w:tc>
        <w:tc>
          <w:tcPr>
            <w:tcW w:w="4111" w:type="dxa"/>
            <w:vAlign w:val="center"/>
          </w:tcPr>
          <w:p w14:paraId="4AD639A9">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对清单中的产品</w:t>
            </w:r>
            <w:r>
              <w:rPr>
                <w:rFonts w:hint="eastAsia" w:ascii="宋体" w:hAnsi="宋体" w:cs="宋体"/>
                <w:color w:val="auto"/>
                <w:szCs w:val="21"/>
                <w:highlight w:val="none"/>
                <w:lang w:eastAsia="zh-CN"/>
              </w:rPr>
              <w:t>投标</w:t>
            </w:r>
            <w:r>
              <w:rPr>
                <w:rFonts w:hint="eastAsia" w:ascii="宋体" w:hAnsi="宋体" w:eastAsia="宋体" w:cs="宋体"/>
                <w:color w:val="auto"/>
                <w:szCs w:val="21"/>
                <w:highlight w:val="none"/>
              </w:rPr>
              <w:t>报价给予价格部分总分值</w:t>
            </w:r>
            <w:r>
              <w:rPr>
                <w:rFonts w:hint="eastAsia" w:ascii="宋体" w:hAnsi="宋体" w:cs="宋体"/>
                <w:color w:val="auto"/>
                <w:szCs w:val="21"/>
                <w:highlight w:val="none"/>
                <w:u w:val="single"/>
                <w:lang w:val="en-US" w:eastAsia="zh-CN"/>
              </w:rPr>
              <w:t>2</w:t>
            </w:r>
            <w:r>
              <w:rPr>
                <w:rFonts w:hint="eastAsia" w:ascii="宋体" w:hAnsi="宋体" w:eastAsia="宋体" w:cs="宋体"/>
                <w:color w:val="auto"/>
                <w:szCs w:val="21"/>
                <w:highlight w:val="none"/>
              </w:rPr>
              <w:t>%的加分，计算公式如下：</w:t>
            </w:r>
          </w:p>
          <w:p w14:paraId="1B9114BD">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环保产品加分＝（环保产品最后报价之和/最后报标总价）×价格部分总分值</w:t>
            </w:r>
            <w:r>
              <w:rPr>
                <w:rFonts w:hint="eastAsia" w:ascii="宋体" w:hAnsi="宋体" w:eastAsia="宋体" w:cs="宋体"/>
                <w:color w:val="auto"/>
                <w:szCs w:val="21"/>
                <w:highlight w:val="none"/>
                <w:u w:val="single"/>
                <w:lang w:val="en-US" w:eastAsia="zh-CN"/>
              </w:rPr>
              <w:t>60</w:t>
            </w:r>
            <w:r>
              <w:rPr>
                <w:rFonts w:hint="eastAsia" w:ascii="宋体" w:hAnsi="宋体" w:eastAsia="宋体" w:cs="宋体"/>
                <w:color w:val="auto"/>
                <w:szCs w:val="21"/>
                <w:highlight w:val="none"/>
              </w:rPr>
              <w:t>×</w:t>
            </w:r>
            <w:r>
              <w:rPr>
                <w:rFonts w:hint="eastAsia" w:ascii="宋体" w:hAnsi="宋体" w:cs="宋体"/>
                <w:color w:val="auto"/>
                <w:szCs w:val="21"/>
                <w:highlight w:val="none"/>
                <w:u w:val="single"/>
                <w:lang w:val="en-US" w:eastAsia="zh-CN"/>
              </w:rPr>
              <w:t>2</w:t>
            </w:r>
            <w:r>
              <w:rPr>
                <w:rFonts w:hint="eastAsia" w:ascii="宋体" w:hAnsi="宋体" w:eastAsia="宋体" w:cs="宋体"/>
                <w:color w:val="auto"/>
                <w:szCs w:val="21"/>
                <w:highlight w:val="none"/>
              </w:rPr>
              <w:t>%。</w:t>
            </w:r>
          </w:p>
          <w:p w14:paraId="7D381771">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注：投标文件中提供环保产品证明材料，未提供不得分。</w:t>
            </w:r>
          </w:p>
        </w:tc>
      </w:tr>
      <w:tr w14:paraId="57855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800" w:type="dxa"/>
            <w:gridSpan w:val="2"/>
            <w:vAlign w:val="center"/>
          </w:tcPr>
          <w:p w14:paraId="2D3BE257">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eastAsia" w:ascii="宋体" w:hAnsi="宋体"/>
                <w:b/>
                <w:color w:val="auto"/>
                <w:szCs w:val="21"/>
                <w:highlight w:val="none"/>
              </w:rPr>
            </w:pPr>
            <w:r>
              <w:rPr>
                <w:rFonts w:hint="eastAsia" w:ascii="宋体" w:hAnsi="宋体"/>
                <w:b/>
                <w:color w:val="auto"/>
                <w:szCs w:val="21"/>
                <w:highlight w:val="none"/>
              </w:rPr>
              <w:t>条款号</w:t>
            </w:r>
          </w:p>
        </w:tc>
        <w:tc>
          <w:tcPr>
            <w:tcW w:w="7131" w:type="dxa"/>
            <w:gridSpan w:val="4"/>
            <w:vAlign w:val="center"/>
          </w:tcPr>
          <w:p w14:paraId="624C7577">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eastAsia" w:ascii="宋体" w:hAnsi="宋体"/>
                <w:b/>
                <w:color w:val="auto"/>
                <w:szCs w:val="21"/>
                <w:highlight w:val="none"/>
              </w:rPr>
            </w:pPr>
            <w:r>
              <w:rPr>
                <w:rFonts w:hint="eastAsia" w:ascii="宋体" w:hAnsi="宋体"/>
                <w:b/>
                <w:color w:val="auto"/>
                <w:szCs w:val="21"/>
                <w:highlight w:val="none"/>
              </w:rPr>
              <w:t>具体内容</w:t>
            </w:r>
          </w:p>
        </w:tc>
      </w:tr>
      <w:tr w14:paraId="7F54B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41" w:type="dxa"/>
            <w:vAlign w:val="center"/>
          </w:tcPr>
          <w:p w14:paraId="5A1034EC">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color w:val="auto"/>
                <w:szCs w:val="21"/>
                <w:highlight w:val="none"/>
              </w:rPr>
            </w:pPr>
            <w:r>
              <w:rPr>
                <w:rFonts w:hint="eastAsia"/>
                <w:color w:val="auto"/>
                <w:szCs w:val="21"/>
                <w:highlight w:val="none"/>
                <w:lang w:val="en-US" w:eastAsia="zh-CN"/>
              </w:rPr>
              <w:t>3.2.5</w:t>
            </w:r>
          </w:p>
        </w:tc>
        <w:tc>
          <w:tcPr>
            <w:tcW w:w="1059" w:type="dxa"/>
            <w:vAlign w:val="center"/>
          </w:tcPr>
          <w:p w14:paraId="5CCD82CB">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宋体" w:hAnsi="宋体"/>
                <w:color w:val="auto"/>
                <w:szCs w:val="21"/>
                <w:highlight w:val="none"/>
              </w:rPr>
            </w:pPr>
            <w:r>
              <w:rPr>
                <w:rFonts w:hint="eastAsia" w:ascii="宋体" w:hAnsi="宋体"/>
                <w:color w:val="auto"/>
                <w:szCs w:val="21"/>
                <w:highlight w:val="none"/>
                <w:lang w:val="en-US" w:eastAsia="zh-CN"/>
              </w:rPr>
              <w:t>评分结果汇总</w:t>
            </w:r>
          </w:p>
        </w:tc>
        <w:tc>
          <w:tcPr>
            <w:tcW w:w="7131" w:type="dxa"/>
            <w:gridSpan w:val="4"/>
            <w:vAlign w:val="center"/>
          </w:tcPr>
          <w:p w14:paraId="15710E47">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left"/>
              <w:textAlignment w:val="auto"/>
              <w:rPr>
                <w:rFonts w:hint="eastAsia"/>
                <w:color w:val="auto"/>
                <w:highlight w:val="none"/>
              </w:rPr>
            </w:pPr>
            <w:r>
              <w:rPr>
                <w:rFonts w:hint="eastAsia" w:eastAsia="宋体"/>
                <w:color w:val="auto"/>
                <w:highlight w:val="none"/>
                <w:lang w:val="en-US" w:eastAsia="zh-CN"/>
              </w:rPr>
              <w:t>最终（含分项）评分结果汇总确定办法</w:t>
            </w:r>
            <w:r>
              <w:rPr>
                <w:rFonts w:hint="eastAsia"/>
                <w:color w:val="auto"/>
                <w:highlight w:val="none"/>
                <w:lang w:val="en-US" w:eastAsia="zh-CN"/>
              </w:rPr>
              <w:t>：</w:t>
            </w:r>
          </w:p>
          <w:p w14:paraId="73B2F150">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left"/>
              <w:textAlignment w:val="auto"/>
              <w:rPr>
                <w:rFonts w:hint="eastAsia"/>
                <w:color w:val="auto"/>
                <w:highlight w:val="none"/>
              </w:rPr>
            </w:pPr>
            <w:r>
              <w:rPr>
                <w:rFonts w:hint="eastAsia"/>
                <w:color w:val="auto"/>
                <w:highlight w:val="none"/>
                <w:lang w:val="en-US" w:eastAsia="zh-CN"/>
              </w:rPr>
              <w:t>☑所有评标委员会成员评分的算术平均值。</w:t>
            </w:r>
          </w:p>
          <w:p w14:paraId="1AC76CEB">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left"/>
              <w:textAlignment w:val="auto"/>
              <w:rPr>
                <w:rFonts w:hint="default"/>
                <w:color w:val="auto"/>
                <w:highlight w:val="none"/>
              </w:rPr>
            </w:pPr>
            <w:r>
              <w:rPr>
                <w:rFonts w:hint="eastAsia"/>
                <w:color w:val="auto"/>
                <w:highlight w:val="none"/>
                <w:lang w:val="en-US" w:eastAsia="zh-CN"/>
              </w:rPr>
              <w:t>□所有评标委员会成员评分去掉一个最高分和一个最低分后计算平均值（分项评审成员3名（含3名）以下时，按照算术平均值进行计算）。</w:t>
            </w:r>
          </w:p>
        </w:tc>
      </w:tr>
      <w:tr w14:paraId="1B3F0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0" w:hRule="atLeast"/>
          <w:jc w:val="center"/>
        </w:trPr>
        <w:tc>
          <w:tcPr>
            <w:tcW w:w="741" w:type="dxa"/>
            <w:vAlign w:val="center"/>
          </w:tcPr>
          <w:p w14:paraId="5D593A30">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eastAsia" w:ascii="宋体" w:hAnsi="宋体"/>
                <w:b/>
                <w:color w:val="auto"/>
                <w:szCs w:val="21"/>
                <w:highlight w:val="none"/>
              </w:rPr>
            </w:pPr>
            <w:r>
              <w:rPr>
                <w:color w:val="auto"/>
                <w:szCs w:val="21"/>
                <w:highlight w:val="none"/>
              </w:rPr>
              <w:t>3.</w:t>
            </w:r>
            <w:r>
              <w:rPr>
                <w:rFonts w:hint="eastAsia"/>
                <w:color w:val="auto"/>
                <w:szCs w:val="21"/>
                <w:highlight w:val="none"/>
              </w:rPr>
              <w:t>4</w:t>
            </w:r>
            <w:r>
              <w:rPr>
                <w:color w:val="auto"/>
                <w:szCs w:val="21"/>
                <w:highlight w:val="none"/>
              </w:rPr>
              <w:t>.1</w:t>
            </w:r>
          </w:p>
        </w:tc>
        <w:tc>
          <w:tcPr>
            <w:tcW w:w="1059" w:type="dxa"/>
            <w:vAlign w:val="center"/>
          </w:tcPr>
          <w:p w14:paraId="6A8A18A6">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eastAsia" w:ascii="宋体" w:hAnsi="宋体"/>
                <w:b/>
                <w:color w:val="auto"/>
                <w:szCs w:val="21"/>
                <w:highlight w:val="none"/>
              </w:rPr>
            </w:pPr>
            <w:r>
              <w:rPr>
                <w:rFonts w:hint="eastAsia" w:ascii="宋体" w:hAnsi="宋体"/>
                <w:color w:val="auto"/>
                <w:szCs w:val="21"/>
                <w:highlight w:val="none"/>
              </w:rPr>
              <w:t>推荐中标候选人</w:t>
            </w:r>
          </w:p>
        </w:tc>
        <w:tc>
          <w:tcPr>
            <w:tcW w:w="7131" w:type="dxa"/>
            <w:gridSpan w:val="4"/>
            <w:vAlign w:val="center"/>
          </w:tcPr>
          <w:p w14:paraId="1DE84A9E">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textAlignment w:val="auto"/>
              <w:rPr>
                <w:rFonts w:hint="eastAsia"/>
                <w:color w:val="auto"/>
                <w:highlight w:val="none"/>
              </w:rPr>
            </w:pPr>
            <w:r>
              <w:rPr>
                <w:rFonts w:hint="eastAsia" w:eastAsia="宋体"/>
                <w:color w:val="auto"/>
                <w:highlight w:val="none"/>
                <w:lang w:val="en-US" w:eastAsia="zh-CN"/>
              </w:rPr>
              <w:t xml:space="preserve">    （1）评标委员会向招标人推荐不超过3家的合格的中标候选人，且对每个中标候选人的技术咨询建议、优势、不足、风险等情况进行说明，提出推荐意见和建议。</w:t>
            </w:r>
            <w:r>
              <w:rPr>
                <w:rFonts w:hint="eastAsia" w:eastAsia="宋体"/>
                <w:color w:val="auto"/>
                <w:highlight w:val="none"/>
                <w:lang w:val="en-US" w:eastAsia="zh-CN"/>
              </w:rPr>
              <w:br w:type="textWrapping"/>
            </w:r>
            <w:r>
              <w:rPr>
                <w:rFonts w:hint="eastAsia" w:eastAsia="宋体"/>
                <w:color w:val="auto"/>
                <w:highlight w:val="none"/>
                <w:lang w:val="en-US" w:eastAsia="zh-CN"/>
              </w:rPr>
              <w:t xml:space="preserve">    （2）除评标办法前附表规定采用技术标或综合性入围方式的（按前附表设定规则计算最终得分和排序），最终得分计算和排序方法按照经济标+技术标+资信标+其他评审汇总得分排序，并按得分由高到低顺序推荐中标候选人，或根据招标人授权直接确定中标人，但投标报价低于其成本的除外。综合评分相等时，依次按下列因素排序：（1）投标报价由低到高（2）技术标得分由高到低（3）资信标得分由高到低（4）其他因素得分由高到低；上述因素仍不能排定顺序的，由招标人或者招标人授权的评标委员会自行确定。</w:t>
            </w:r>
          </w:p>
        </w:tc>
      </w:tr>
    </w:tbl>
    <w:p w14:paraId="3F2558E6">
      <w:pPr>
        <w:spacing w:line="400" w:lineRule="exact"/>
        <w:rPr>
          <w:color w:val="auto"/>
          <w:szCs w:val="21"/>
          <w:highlight w:val="none"/>
        </w:rPr>
      </w:pPr>
      <w:r>
        <w:rPr>
          <w:color w:val="auto"/>
          <w:szCs w:val="21"/>
          <w:highlight w:val="none"/>
        </w:rPr>
        <w:br w:type="page"/>
      </w:r>
    </w:p>
    <w:p w14:paraId="340D9A6E">
      <w:pPr>
        <w:pStyle w:val="25"/>
        <w:rPr>
          <w:color w:val="auto"/>
        </w:rPr>
      </w:pPr>
      <w:bookmarkStart w:id="431" w:name="_Toc183107218"/>
      <w:bookmarkStart w:id="432" w:name="_Toc4869"/>
      <w:bookmarkStart w:id="433" w:name="_Hlk176002393"/>
      <w:r>
        <w:rPr>
          <w:rFonts w:hint="eastAsia"/>
          <w:color w:val="auto"/>
        </w:rPr>
        <w:t>评标办法正文部分</w:t>
      </w:r>
      <w:bookmarkEnd w:id="431"/>
      <w:bookmarkEnd w:id="432"/>
    </w:p>
    <w:bookmarkEnd w:id="433"/>
    <w:p w14:paraId="4DAAC615">
      <w:pPr>
        <w:pStyle w:val="25"/>
        <w:rPr>
          <w:color w:val="auto"/>
        </w:rPr>
      </w:pPr>
      <w:bookmarkStart w:id="434" w:name="_Toc183107219"/>
      <w:bookmarkStart w:id="435" w:name="_Toc12723"/>
      <w:r>
        <w:rPr>
          <w:rFonts w:hint="eastAsia"/>
          <w:color w:val="auto"/>
        </w:rPr>
        <w:t>1. 评标方法</w:t>
      </w:r>
      <w:bookmarkEnd w:id="434"/>
      <w:bookmarkEnd w:id="435"/>
    </w:p>
    <w:p w14:paraId="586D582D">
      <w:pPr>
        <w:spacing w:line="380" w:lineRule="exact"/>
        <w:ind w:firstLine="420" w:firstLineChars="200"/>
        <w:rPr>
          <w:color w:val="auto"/>
        </w:rPr>
      </w:pPr>
      <w:bookmarkStart w:id="436" w:name="_Hlk174448114"/>
      <w:r>
        <w:rPr>
          <w:rFonts w:hint="eastAsia"/>
          <w:color w:val="auto"/>
        </w:rPr>
        <w:t>本次评标采用综合评估法。评标委员会对满足招标文件实质性要求的投标文件，按照本章第2.2款规定的评分标准进行打分，并按评标办法前附表的规定推荐中标候选人</w:t>
      </w:r>
      <w:bookmarkStart w:id="437" w:name="_Hlk152257834"/>
      <w:r>
        <w:rPr>
          <w:rFonts w:hint="eastAsia" w:ascii="宋体" w:hAnsi="宋体" w:cs="宋体"/>
          <w:color w:val="auto"/>
          <w:szCs w:val="21"/>
        </w:rPr>
        <w:t>。</w:t>
      </w:r>
      <w:bookmarkEnd w:id="437"/>
    </w:p>
    <w:bookmarkEnd w:id="436"/>
    <w:p w14:paraId="1226147A">
      <w:pPr>
        <w:pStyle w:val="25"/>
        <w:rPr>
          <w:color w:val="auto"/>
        </w:rPr>
      </w:pPr>
      <w:bookmarkStart w:id="438" w:name="_Toc183107220"/>
      <w:bookmarkStart w:id="439" w:name="_Toc26812"/>
      <w:r>
        <w:rPr>
          <w:rFonts w:hint="eastAsia"/>
          <w:color w:val="auto"/>
        </w:rPr>
        <w:t>2. 评审标准</w:t>
      </w:r>
      <w:bookmarkEnd w:id="438"/>
      <w:bookmarkEnd w:id="439"/>
    </w:p>
    <w:p w14:paraId="2A2FAD1D">
      <w:pPr>
        <w:pStyle w:val="27"/>
        <w:rPr>
          <w:color w:val="auto"/>
        </w:rPr>
      </w:pPr>
      <w:bookmarkStart w:id="440" w:name="_Toc183107221"/>
      <w:bookmarkStart w:id="441" w:name="_Toc14424"/>
      <w:r>
        <w:rPr>
          <w:rFonts w:hint="eastAsia"/>
          <w:color w:val="auto"/>
        </w:rPr>
        <w:t>2.1 初步评审标准</w:t>
      </w:r>
      <w:bookmarkEnd w:id="440"/>
      <w:bookmarkEnd w:id="441"/>
    </w:p>
    <w:p w14:paraId="219194FD">
      <w:pPr>
        <w:spacing w:line="380" w:lineRule="exact"/>
        <w:ind w:firstLine="420" w:firstLineChars="200"/>
        <w:rPr>
          <w:color w:val="auto"/>
        </w:rPr>
      </w:pPr>
      <w:r>
        <w:rPr>
          <w:rFonts w:hint="eastAsia"/>
          <w:color w:val="auto"/>
        </w:rPr>
        <w:t>2.1.1 形式评审标准：见评标办法前附表。</w:t>
      </w:r>
    </w:p>
    <w:p w14:paraId="60F0B866">
      <w:pPr>
        <w:spacing w:line="380" w:lineRule="exact"/>
        <w:ind w:firstLine="420" w:firstLineChars="200"/>
        <w:rPr>
          <w:color w:val="auto"/>
        </w:rPr>
      </w:pPr>
      <w:r>
        <w:rPr>
          <w:rFonts w:hint="eastAsia"/>
          <w:color w:val="auto"/>
        </w:rPr>
        <w:t>2.1.2 资格评审标准：见评标办法前附表。</w:t>
      </w:r>
    </w:p>
    <w:p w14:paraId="1E2FF49C">
      <w:pPr>
        <w:spacing w:line="380" w:lineRule="exact"/>
        <w:ind w:firstLine="420" w:firstLineChars="200"/>
        <w:rPr>
          <w:color w:val="auto"/>
        </w:rPr>
      </w:pPr>
      <w:r>
        <w:rPr>
          <w:rFonts w:hint="eastAsia"/>
          <w:color w:val="auto"/>
        </w:rPr>
        <w:t>2.1.3 响应性评审标准：见评标办法前附表。</w:t>
      </w:r>
    </w:p>
    <w:p w14:paraId="3EDE14C3">
      <w:pPr>
        <w:pStyle w:val="27"/>
        <w:rPr>
          <w:color w:val="auto"/>
        </w:rPr>
      </w:pPr>
      <w:bookmarkStart w:id="442" w:name="_Toc8589"/>
      <w:bookmarkStart w:id="443" w:name="_Toc183107222"/>
      <w:r>
        <w:rPr>
          <w:rFonts w:hint="eastAsia"/>
          <w:color w:val="auto"/>
        </w:rPr>
        <w:t>2.2 分值构成与评分标准</w:t>
      </w:r>
      <w:bookmarkEnd w:id="442"/>
      <w:bookmarkEnd w:id="443"/>
    </w:p>
    <w:p w14:paraId="43BDFA76">
      <w:pPr>
        <w:spacing w:line="400" w:lineRule="exact"/>
        <w:ind w:firstLine="420" w:firstLineChars="200"/>
        <w:rPr>
          <w:color w:val="auto"/>
        </w:rPr>
      </w:pPr>
      <w:r>
        <w:rPr>
          <w:rFonts w:hint="eastAsia"/>
          <w:color w:val="auto"/>
        </w:rPr>
        <w:t xml:space="preserve">2.2.1 </w:t>
      </w:r>
      <w:r>
        <w:rPr>
          <w:rFonts w:hint="eastAsia" w:ascii="黑体" w:eastAsia="黑体"/>
          <w:color w:val="auto"/>
        </w:rPr>
        <w:t>分值构成</w:t>
      </w:r>
    </w:p>
    <w:p w14:paraId="1EDF5146">
      <w:pPr>
        <w:spacing w:line="380" w:lineRule="exact"/>
        <w:ind w:firstLine="420" w:firstLineChars="200"/>
        <w:rPr>
          <w:color w:val="auto"/>
        </w:rPr>
      </w:pPr>
      <w:r>
        <w:rPr>
          <w:rFonts w:hint="eastAsia"/>
          <w:color w:val="auto"/>
        </w:rPr>
        <w:t>（1）投标报价（经济标）：见评标办法前附表；</w:t>
      </w:r>
    </w:p>
    <w:p w14:paraId="75131044">
      <w:pPr>
        <w:spacing w:line="380" w:lineRule="exact"/>
        <w:ind w:firstLine="420" w:firstLineChars="200"/>
        <w:rPr>
          <w:color w:val="auto"/>
        </w:rPr>
      </w:pPr>
      <w:r>
        <w:rPr>
          <w:rFonts w:hint="eastAsia"/>
          <w:color w:val="auto"/>
        </w:rPr>
        <w:t>（2）施工组织设计（技术标）：见评标办法前附表；</w:t>
      </w:r>
    </w:p>
    <w:p w14:paraId="206BD590">
      <w:pPr>
        <w:spacing w:line="380" w:lineRule="exact"/>
        <w:ind w:firstLine="420" w:firstLineChars="200"/>
        <w:rPr>
          <w:color w:val="auto"/>
        </w:rPr>
      </w:pPr>
      <w:r>
        <w:rPr>
          <w:rFonts w:hint="eastAsia"/>
          <w:color w:val="auto"/>
        </w:rPr>
        <w:t>（3）资信业绩：见评标办法前附表；</w:t>
      </w:r>
    </w:p>
    <w:p w14:paraId="0F101022">
      <w:pPr>
        <w:spacing w:line="380" w:lineRule="exact"/>
        <w:ind w:firstLine="420" w:firstLineChars="200"/>
        <w:rPr>
          <w:color w:val="auto"/>
        </w:rPr>
      </w:pPr>
      <w:r>
        <w:rPr>
          <w:rFonts w:hint="eastAsia"/>
          <w:color w:val="auto"/>
        </w:rPr>
        <w:t>（4）其他因素：见评标办法前附表。</w:t>
      </w:r>
    </w:p>
    <w:p w14:paraId="25B63AA7">
      <w:pPr>
        <w:spacing w:line="400" w:lineRule="exact"/>
        <w:ind w:firstLine="420" w:firstLineChars="200"/>
        <w:rPr>
          <w:color w:val="auto"/>
        </w:rPr>
      </w:pPr>
      <w:r>
        <w:rPr>
          <w:rFonts w:hint="eastAsia"/>
          <w:color w:val="auto"/>
        </w:rPr>
        <w:t xml:space="preserve">2.2.2 </w:t>
      </w:r>
      <w:r>
        <w:rPr>
          <w:rFonts w:hint="eastAsia" w:ascii="黑体" w:eastAsia="黑体"/>
          <w:color w:val="auto"/>
        </w:rPr>
        <w:t>评标基准价计算</w:t>
      </w:r>
    </w:p>
    <w:p w14:paraId="25727674">
      <w:pPr>
        <w:spacing w:line="380" w:lineRule="exact"/>
        <w:ind w:firstLine="420" w:firstLineChars="200"/>
        <w:rPr>
          <w:color w:val="auto"/>
        </w:rPr>
      </w:pPr>
      <w:r>
        <w:rPr>
          <w:rFonts w:hint="eastAsia"/>
          <w:color w:val="auto"/>
        </w:rPr>
        <w:t>（1）评标价确定方法：见评标办法前附表；</w:t>
      </w:r>
    </w:p>
    <w:p w14:paraId="4DF36C6E">
      <w:pPr>
        <w:spacing w:line="380" w:lineRule="exact"/>
        <w:ind w:firstLine="420" w:firstLineChars="200"/>
        <w:rPr>
          <w:color w:val="auto"/>
        </w:rPr>
      </w:pPr>
      <w:r>
        <w:rPr>
          <w:rFonts w:hint="eastAsia"/>
          <w:color w:val="auto"/>
        </w:rPr>
        <w:t>（2）评标基准价计算方法：见评标办法前附表。</w:t>
      </w:r>
    </w:p>
    <w:p w14:paraId="79E6764F">
      <w:pPr>
        <w:spacing w:line="400" w:lineRule="exact"/>
        <w:ind w:firstLine="420" w:firstLineChars="200"/>
        <w:rPr>
          <w:color w:val="auto"/>
        </w:rPr>
      </w:pPr>
      <w:r>
        <w:rPr>
          <w:rFonts w:hint="eastAsia"/>
          <w:color w:val="auto"/>
        </w:rPr>
        <w:t xml:space="preserve">2.2.3 </w:t>
      </w:r>
      <w:r>
        <w:rPr>
          <w:rFonts w:hint="eastAsia" w:ascii="黑体" w:eastAsia="黑体"/>
          <w:color w:val="auto"/>
        </w:rPr>
        <w:t>投标报价的偏差率计算</w:t>
      </w:r>
    </w:p>
    <w:p w14:paraId="633AF42F">
      <w:pPr>
        <w:spacing w:line="380" w:lineRule="exact"/>
        <w:ind w:firstLine="420" w:firstLineChars="200"/>
        <w:rPr>
          <w:color w:val="auto"/>
        </w:rPr>
      </w:pPr>
      <w:r>
        <w:rPr>
          <w:rFonts w:hint="eastAsia"/>
          <w:color w:val="auto"/>
        </w:rPr>
        <w:t>投标报价的偏差率计算公式：见评标办法前附表。</w:t>
      </w:r>
    </w:p>
    <w:p w14:paraId="1345E32B">
      <w:pPr>
        <w:spacing w:line="400" w:lineRule="exact"/>
        <w:ind w:firstLine="420" w:firstLineChars="200"/>
        <w:rPr>
          <w:color w:val="auto"/>
        </w:rPr>
      </w:pPr>
      <w:r>
        <w:rPr>
          <w:rFonts w:hint="eastAsia"/>
          <w:color w:val="auto"/>
        </w:rPr>
        <w:t xml:space="preserve">2.2.4 </w:t>
      </w:r>
      <w:r>
        <w:rPr>
          <w:rFonts w:hint="eastAsia" w:ascii="黑体" w:eastAsia="黑体"/>
          <w:color w:val="auto"/>
        </w:rPr>
        <w:t>评分标准</w:t>
      </w:r>
    </w:p>
    <w:p w14:paraId="387A3976">
      <w:pPr>
        <w:spacing w:line="380" w:lineRule="exact"/>
        <w:ind w:firstLine="420" w:firstLineChars="200"/>
        <w:rPr>
          <w:color w:val="auto"/>
        </w:rPr>
      </w:pPr>
      <w:r>
        <w:rPr>
          <w:rFonts w:hint="eastAsia"/>
          <w:color w:val="auto"/>
        </w:rPr>
        <w:t>（1）经济标评分标准：见评标办法前附表；</w:t>
      </w:r>
    </w:p>
    <w:p w14:paraId="65891A78">
      <w:pPr>
        <w:spacing w:line="380" w:lineRule="exact"/>
        <w:ind w:firstLine="420" w:firstLineChars="200"/>
        <w:rPr>
          <w:color w:val="auto"/>
        </w:rPr>
      </w:pPr>
      <w:r>
        <w:rPr>
          <w:rFonts w:hint="eastAsia"/>
          <w:color w:val="auto"/>
        </w:rPr>
        <w:t>（2）技术标评分标准：见评标办法前附表；</w:t>
      </w:r>
    </w:p>
    <w:p w14:paraId="257D61BF">
      <w:pPr>
        <w:spacing w:line="380" w:lineRule="exact"/>
        <w:ind w:firstLine="420" w:firstLineChars="200"/>
        <w:rPr>
          <w:color w:val="auto"/>
        </w:rPr>
      </w:pPr>
      <w:r>
        <w:rPr>
          <w:rFonts w:hint="eastAsia"/>
          <w:color w:val="auto"/>
        </w:rPr>
        <w:t>（3）资信标评分标准：见评标办法前附表；</w:t>
      </w:r>
    </w:p>
    <w:p w14:paraId="79CBC277">
      <w:pPr>
        <w:spacing w:line="380" w:lineRule="exact"/>
        <w:ind w:firstLine="420" w:firstLineChars="200"/>
        <w:rPr>
          <w:color w:val="auto"/>
        </w:rPr>
      </w:pPr>
      <w:r>
        <w:rPr>
          <w:rFonts w:hint="eastAsia"/>
          <w:color w:val="auto"/>
        </w:rPr>
        <w:t>（4）其他因素评分标准：见评标办法前附表。</w:t>
      </w:r>
    </w:p>
    <w:p w14:paraId="2699FDD7">
      <w:pPr>
        <w:pStyle w:val="25"/>
        <w:rPr>
          <w:color w:val="auto"/>
        </w:rPr>
      </w:pPr>
      <w:bookmarkStart w:id="444" w:name="_Toc183107223"/>
      <w:bookmarkStart w:id="445" w:name="_Toc31556"/>
      <w:r>
        <w:rPr>
          <w:rFonts w:hint="eastAsia"/>
          <w:color w:val="auto"/>
        </w:rPr>
        <w:t>3. 评标程序</w:t>
      </w:r>
      <w:bookmarkEnd w:id="444"/>
      <w:bookmarkEnd w:id="445"/>
    </w:p>
    <w:p w14:paraId="089093E7">
      <w:pPr>
        <w:pStyle w:val="27"/>
        <w:rPr>
          <w:color w:val="auto"/>
        </w:rPr>
      </w:pPr>
      <w:bookmarkStart w:id="446" w:name="_Toc5581"/>
      <w:bookmarkStart w:id="447" w:name="_Toc183107224"/>
      <w:r>
        <w:rPr>
          <w:rFonts w:hint="eastAsia"/>
          <w:color w:val="auto"/>
        </w:rPr>
        <w:t>3.1 初步评审</w:t>
      </w:r>
      <w:bookmarkEnd w:id="446"/>
      <w:bookmarkEnd w:id="447"/>
    </w:p>
    <w:p w14:paraId="786CE0C6">
      <w:pPr>
        <w:spacing w:line="380" w:lineRule="exact"/>
        <w:ind w:firstLine="420" w:firstLineChars="200"/>
        <w:rPr>
          <w:color w:val="auto"/>
        </w:rPr>
      </w:pPr>
      <w:r>
        <w:rPr>
          <w:rFonts w:hint="eastAsia"/>
          <w:color w:val="auto"/>
        </w:rPr>
        <w:t>3.1.1评标委员会依据本章第2.1款规定的标准对投标文件进行初步评审。有一项不符合评审标准的，评标委员会应当否决其投标。</w:t>
      </w:r>
    </w:p>
    <w:p w14:paraId="4BE303A7">
      <w:pPr>
        <w:spacing w:line="380" w:lineRule="exact"/>
        <w:ind w:firstLine="420" w:firstLineChars="200"/>
        <w:rPr>
          <w:color w:val="auto"/>
        </w:rPr>
      </w:pPr>
      <w:r>
        <w:rPr>
          <w:rFonts w:hint="eastAsia"/>
          <w:color w:val="auto"/>
        </w:rPr>
        <w:t>3.1.2 投标人有以下情形之一的，评标委员会应当否决其投标：</w:t>
      </w:r>
    </w:p>
    <w:p w14:paraId="7555D7B0">
      <w:pPr>
        <w:spacing w:line="380" w:lineRule="exact"/>
        <w:ind w:firstLine="420" w:firstLineChars="200"/>
        <w:rPr>
          <w:color w:val="auto"/>
        </w:rPr>
      </w:pPr>
      <w:r>
        <w:rPr>
          <w:rFonts w:hint="eastAsia"/>
          <w:color w:val="auto"/>
        </w:rPr>
        <w:t>（1）不按评标委员会要求澄清、说明或补正。</w:t>
      </w:r>
    </w:p>
    <w:p w14:paraId="12D2DD43">
      <w:pPr>
        <w:spacing w:line="380" w:lineRule="exact"/>
        <w:ind w:firstLine="420" w:firstLineChars="200"/>
        <w:rPr>
          <w:color w:val="auto"/>
        </w:rPr>
      </w:pPr>
      <w:r>
        <w:rPr>
          <w:rFonts w:hint="eastAsia"/>
          <w:color w:val="auto"/>
        </w:rPr>
        <w:t>（2）有串通投标、弄虚作假、行贿或有其他违法行为；</w:t>
      </w:r>
    </w:p>
    <w:p w14:paraId="731CAD9C">
      <w:pPr>
        <w:spacing w:line="380" w:lineRule="exact"/>
        <w:ind w:firstLine="420" w:firstLineChars="200"/>
        <w:rPr>
          <w:color w:val="auto"/>
        </w:rPr>
      </w:pPr>
      <w:r>
        <w:rPr>
          <w:rFonts w:hint="eastAsia"/>
          <w:color w:val="auto"/>
        </w:rPr>
        <w:t>1）有下列情形之一的，视为投标人相互串通投标：</w:t>
      </w:r>
    </w:p>
    <w:p w14:paraId="071EBFF7">
      <w:pPr>
        <w:spacing w:line="380" w:lineRule="exact"/>
        <w:ind w:firstLine="420" w:firstLineChars="200"/>
        <w:rPr>
          <w:color w:val="auto"/>
        </w:rPr>
      </w:pPr>
      <w:r>
        <w:rPr>
          <w:rFonts w:hint="eastAsia"/>
          <w:color w:val="auto"/>
        </w:rPr>
        <w:t>① 不同投标人的投标文件由同一单位或者个人编制；</w:t>
      </w:r>
    </w:p>
    <w:p w14:paraId="5B462108">
      <w:pPr>
        <w:spacing w:line="380" w:lineRule="exact"/>
        <w:ind w:firstLine="420" w:firstLineChars="200"/>
        <w:rPr>
          <w:color w:val="auto"/>
        </w:rPr>
      </w:pPr>
      <w:r>
        <w:rPr>
          <w:rFonts w:hint="eastAsia"/>
          <w:color w:val="auto"/>
        </w:rPr>
        <w:t>② 不同投标人委托同一单位或者个人办理投标事宜；</w:t>
      </w:r>
    </w:p>
    <w:p w14:paraId="47E1FC58">
      <w:pPr>
        <w:spacing w:line="380" w:lineRule="exact"/>
        <w:ind w:firstLine="420" w:firstLineChars="200"/>
        <w:rPr>
          <w:color w:val="auto"/>
        </w:rPr>
      </w:pPr>
      <w:r>
        <w:rPr>
          <w:rFonts w:hint="eastAsia"/>
          <w:color w:val="auto"/>
        </w:rPr>
        <w:t>③ 不同投标人使用同一电脑等电子设备办理投标事宜（下载招标文件、上传投标文件、授权委托人或项目经理实名认证等关键环节）；</w:t>
      </w:r>
    </w:p>
    <w:p w14:paraId="274E98BD">
      <w:pPr>
        <w:spacing w:line="380" w:lineRule="exact"/>
        <w:ind w:firstLine="420" w:firstLineChars="200"/>
        <w:rPr>
          <w:color w:val="auto"/>
        </w:rPr>
      </w:pPr>
      <w:r>
        <w:rPr>
          <w:rFonts w:hint="eastAsia"/>
          <w:color w:val="auto"/>
        </w:rPr>
        <w:t>④ 不同投标人的投标文件载明的项目管理成员为同一人；</w:t>
      </w:r>
    </w:p>
    <w:p w14:paraId="023FFC81">
      <w:pPr>
        <w:spacing w:line="380" w:lineRule="exact"/>
        <w:ind w:firstLine="420" w:firstLineChars="200"/>
        <w:rPr>
          <w:color w:val="auto"/>
        </w:rPr>
      </w:pPr>
      <w:r>
        <w:rPr>
          <w:rFonts w:hint="eastAsia"/>
          <w:color w:val="auto"/>
        </w:rPr>
        <w:t>⑤ 不同投标人的投标文件非典型一致或者投标报价呈规律性差异；</w:t>
      </w:r>
    </w:p>
    <w:p w14:paraId="01DC82FA">
      <w:pPr>
        <w:spacing w:line="380" w:lineRule="exact"/>
        <w:ind w:firstLine="420" w:firstLineChars="200"/>
        <w:rPr>
          <w:color w:val="auto"/>
        </w:rPr>
      </w:pPr>
      <w:r>
        <w:rPr>
          <w:rFonts w:hint="eastAsia"/>
          <w:color w:val="auto"/>
        </w:rPr>
        <w:t>⑥ 不同投标人的投标文件相互混装；</w:t>
      </w:r>
    </w:p>
    <w:p w14:paraId="3F7DBF20">
      <w:pPr>
        <w:spacing w:line="380" w:lineRule="exact"/>
        <w:ind w:firstLine="420" w:firstLineChars="200"/>
        <w:rPr>
          <w:color w:val="auto"/>
        </w:rPr>
      </w:pPr>
      <w:r>
        <w:rPr>
          <w:color w:val="auto"/>
        </w:rPr>
        <w:fldChar w:fldCharType="begin"/>
      </w:r>
      <w:r>
        <w:rPr>
          <w:color w:val="auto"/>
        </w:rPr>
        <w:instrText xml:space="preserve"> </w:instrText>
      </w:r>
      <w:r>
        <w:rPr>
          <w:rFonts w:hint="eastAsia"/>
          <w:color w:val="auto"/>
        </w:rPr>
        <w:instrText xml:space="preserve">= 7 \* GB3</w:instrText>
      </w:r>
      <w:r>
        <w:rPr>
          <w:color w:val="auto"/>
        </w:rPr>
        <w:instrText xml:space="preserve"> </w:instrText>
      </w:r>
      <w:r>
        <w:rPr>
          <w:color w:val="auto"/>
        </w:rPr>
        <w:fldChar w:fldCharType="separate"/>
      </w:r>
      <w:r>
        <w:rPr>
          <w:rFonts w:hint="eastAsia"/>
          <w:color w:val="auto"/>
        </w:rPr>
        <w:t>⑦</w:t>
      </w:r>
      <w:r>
        <w:rPr>
          <w:color w:val="auto"/>
        </w:rPr>
        <w:fldChar w:fldCharType="end"/>
      </w:r>
      <w:r>
        <w:rPr>
          <w:color w:val="auto"/>
        </w:rPr>
        <w:t xml:space="preserve"> </w:t>
      </w:r>
      <w:r>
        <w:rPr>
          <w:rFonts w:hint="eastAsia"/>
          <w:color w:val="auto"/>
        </w:rPr>
        <w:t>不同投标人的投标保证金或保函（保险）财务费用从同一单位或者个人的账户转出；</w:t>
      </w:r>
    </w:p>
    <w:p w14:paraId="49336CC4">
      <w:pPr>
        <w:spacing w:line="380" w:lineRule="exact"/>
        <w:ind w:firstLine="420" w:firstLineChars="200"/>
        <w:rPr>
          <w:color w:val="auto"/>
        </w:rPr>
      </w:pPr>
      <w:r>
        <w:rPr>
          <w:rFonts w:hint="eastAsia" w:ascii="宋体" w:hAnsi="宋体"/>
          <w:color w:val="auto"/>
        </w:rPr>
        <w:t>⑧</w:t>
      </w:r>
      <w:r>
        <w:rPr>
          <w:color w:val="auto"/>
        </w:rPr>
        <w:t xml:space="preserve"> </w:t>
      </w:r>
      <w:r>
        <w:rPr>
          <w:rFonts w:hint="eastAsia"/>
          <w:color w:val="auto"/>
        </w:rPr>
        <w:t>不同投标人的投标文件存在“MAC地址”、“文件创建标识码”、“文件制作机器码”等唯一性标识一致等情形。</w:t>
      </w:r>
    </w:p>
    <w:p w14:paraId="0423FC64">
      <w:pPr>
        <w:spacing w:line="380" w:lineRule="exact"/>
        <w:ind w:firstLine="420" w:firstLineChars="200"/>
        <w:rPr>
          <w:color w:val="auto"/>
        </w:rPr>
      </w:pPr>
      <w:r>
        <w:rPr>
          <w:rFonts w:hint="eastAsia"/>
          <w:color w:val="auto"/>
        </w:rPr>
        <w:t>2）有下列情形之一的，属于弄虚作假行为：</w:t>
      </w:r>
    </w:p>
    <w:p w14:paraId="009EF940">
      <w:pPr>
        <w:spacing w:line="380" w:lineRule="exact"/>
        <w:ind w:firstLine="420" w:firstLineChars="200"/>
        <w:rPr>
          <w:color w:val="auto"/>
        </w:rPr>
      </w:pPr>
      <w:r>
        <w:rPr>
          <w:rFonts w:hint="eastAsia"/>
          <w:color w:val="auto"/>
        </w:rPr>
        <w:t>① 使用通过受让或者租借等方式获取的资格、资质证书投标的，即以他人名义投标的。</w:t>
      </w:r>
    </w:p>
    <w:p w14:paraId="064C8109">
      <w:pPr>
        <w:spacing w:line="380" w:lineRule="exact"/>
        <w:ind w:firstLine="420" w:firstLineChars="200"/>
        <w:rPr>
          <w:color w:val="auto"/>
        </w:rPr>
      </w:pPr>
      <w:r>
        <w:rPr>
          <w:rFonts w:hint="eastAsia"/>
          <w:color w:val="auto"/>
        </w:rPr>
        <w:t>② 使用伪造、变造的许可证件；</w:t>
      </w:r>
    </w:p>
    <w:p w14:paraId="31857181">
      <w:pPr>
        <w:spacing w:line="380" w:lineRule="exact"/>
        <w:ind w:firstLine="420" w:firstLineChars="200"/>
        <w:rPr>
          <w:color w:val="auto"/>
        </w:rPr>
      </w:pPr>
      <w:r>
        <w:rPr>
          <w:rFonts w:hint="eastAsia"/>
          <w:color w:val="auto"/>
        </w:rPr>
        <w:t>③ 提供虚假的财务状况或者业绩；</w:t>
      </w:r>
    </w:p>
    <w:p w14:paraId="17E90691">
      <w:pPr>
        <w:spacing w:line="380" w:lineRule="exact"/>
        <w:ind w:firstLine="420" w:firstLineChars="200"/>
        <w:rPr>
          <w:color w:val="auto"/>
        </w:rPr>
      </w:pPr>
      <w:r>
        <w:rPr>
          <w:rFonts w:hint="eastAsia"/>
          <w:color w:val="auto"/>
        </w:rPr>
        <w:t>④ 提供虚假的项目负责人或者主要技术人员简历、社会保险证明；</w:t>
      </w:r>
    </w:p>
    <w:p w14:paraId="5459557C">
      <w:pPr>
        <w:spacing w:line="380" w:lineRule="exact"/>
        <w:ind w:firstLine="420" w:firstLineChars="200"/>
        <w:rPr>
          <w:color w:val="auto"/>
        </w:rPr>
      </w:pPr>
      <w:r>
        <w:rPr>
          <w:rFonts w:hint="eastAsia"/>
          <w:color w:val="auto"/>
        </w:rPr>
        <w:t>⑤ 提供虚假的信用状况；</w:t>
      </w:r>
    </w:p>
    <w:p w14:paraId="65808A67">
      <w:pPr>
        <w:spacing w:line="380" w:lineRule="exact"/>
        <w:ind w:firstLine="420" w:firstLineChars="200"/>
        <w:rPr>
          <w:color w:val="auto"/>
        </w:rPr>
      </w:pPr>
      <w:r>
        <w:rPr>
          <w:rFonts w:hint="eastAsia"/>
          <w:color w:val="auto"/>
        </w:rPr>
        <w:t>⑥ 其他弄虚作假的行为。</w:t>
      </w:r>
    </w:p>
    <w:p w14:paraId="0354C650">
      <w:pPr>
        <w:spacing w:line="380" w:lineRule="exact"/>
        <w:ind w:firstLine="420" w:firstLineChars="200"/>
        <w:rPr>
          <w:color w:val="auto"/>
        </w:rPr>
      </w:pPr>
      <w:r>
        <w:rPr>
          <w:rFonts w:hint="eastAsia"/>
          <w:color w:val="auto"/>
        </w:rPr>
        <w:t>3.1.3投标报价有算术错误的，评标委员会按以下原则对投标报价进行修正，修正的价格经投标人书面确认后具有约束力。投标人不接受修正价格的，或者修正后的投标报价超过最高投标限价的（如有），评标委员会应当否决其投标。</w:t>
      </w:r>
    </w:p>
    <w:p w14:paraId="6464D94E">
      <w:pPr>
        <w:spacing w:line="380" w:lineRule="exact"/>
        <w:ind w:firstLine="420" w:firstLineChars="200"/>
        <w:rPr>
          <w:color w:val="auto"/>
        </w:rPr>
      </w:pPr>
      <w:r>
        <w:rPr>
          <w:rFonts w:hint="eastAsia"/>
          <w:color w:val="auto"/>
        </w:rPr>
        <w:t>（1）投标文件中的大写金额与小写金额不一致的，以大写金额为准；</w:t>
      </w:r>
    </w:p>
    <w:p w14:paraId="772A7451">
      <w:pPr>
        <w:spacing w:line="380" w:lineRule="exact"/>
        <w:ind w:firstLine="420" w:firstLineChars="200"/>
        <w:rPr>
          <w:color w:val="auto"/>
        </w:rPr>
      </w:pPr>
      <w:r>
        <w:rPr>
          <w:rFonts w:hint="eastAsia"/>
          <w:color w:val="auto"/>
        </w:rPr>
        <w:t>（2）总价金额与依据单价计算出的结果不一致的，以单价金额为准修正总价，但单价金额小数点有明显错误的除外。</w:t>
      </w:r>
    </w:p>
    <w:p w14:paraId="33D876AC">
      <w:pPr>
        <w:spacing w:line="380" w:lineRule="exact"/>
        <w:ind w:firstLine="420" w:firstLineChars="200"/>
        <w:rPr>
          <w:color w:val="auto"/>
        </w:rPr>
      </w:pPr>
      <w:r>
        <w:rPr>
          <w:rFonts w:hint="eastAsia"/>
          <w:color w:val="auto"/>
        </w:rPr>
        <w:t>3.1.4 评标委员会发现投标人的报价明显低于其他投标报价，或者在设有最高投标限价时明显低于最高投标限价，使得其投标报价可能低于其个别成本的，应当要求该投标人作出书面说明并提供相应的证明材料。投标人不能合理说明或者不能提供相应证明材料的，由评标委员会认定该投标人以低于成本报价竞标，否决其投标。</w:t>
      </w:r>
    </w:p>
    <w:p w14:paraId="1B4D947D">
      <w:pPr>
        <w:spacing w:line="380" w:lineRule="exact"/>
        <w:ind w:firstLine="420" w:firstLineChars="200"/>
        <w:rPr>
          <w:color w:val="auto"/>
        </w:rPr>
      </w:pPr>
      <w:r>
        <w:rPr>
          <w:rFonts w:hint="eastAsia"/>
          <w:color w:val="auto"/>
        </w:rPr>
        <w:t>3.1</w:t>
      </w:r>
      <w:r>
        <w:rPr>
          <w:color w:val="auto"/>
        </w:rPr>
        <w:t>.</w:t>
      </w:r>
      <w:r>
        <w:rPr>
          <w:rFonts w:hint="eastAsia"/>
          <w:color w:val="auto"/>
        </w:rPr>
        <w:t>5</w:t>
      </w:r>
      <w:r>
        <w:rPr>
          <w:color w:val="auto"/>
        </w:rPr>
        <w:t xml:space="preserve"> 评标委员会否决不合格投标后，因有效投标不足三个使得投标明显缺乏竞争的，评标委员会可以否决全部投标。</w:t>
      </w:r>
    </w:p>
    <w:p w14:paraId="7418D87F">
      <w:pPr>
        <w:pStyle w:val="27"/>
        <w:rPr>
          <w:color w:val="auto"/>
        </w:rPr>
      </w:pPr>
      <w:bookmarkStart w:id="448" w:name="_Toc22552"/>
      <w:bookmarkStart w:id="449" w:name="_Toc183107225"/>
      <w:r>
        <w:rPr>
          <w:rFonts w:hint="eastAsia"/>
          <w:color w:val="auto"/>
        </w:rPr>
        <w:t>3.2 详细评审</w:t>
      </w:r>
      <w:bookmarkEnd w:id="448"/>
      <w:bookmarkEnd w:id="449"/>
    </w:p>
    <w:p w14:paraId="19E58153">
      <w:pPr>
        <w:spacing w:line="380" w:lineRule="exact"/>
        <w:ind w:firstLine="420" w:firstLineChars="200"/>
        <w:rPr>
          <w:color w:val="auto"/>
        </w:rPr>
      </w:pPr>
      <w:r>
        <w:rPr>
          <w:rFonts w:hint="eastAsia"/>
          <w:color w:val="auto"/>
        </w:rPr>
        <w:t>3.2.1 评标委员会对通过了初步评审的投标文件进行详细评审。</w:t>
      </w:r>
      <w:bookmarkStart w:id="450" w:name="_Hlk155258945"/>
      <w:r>
        <w:rPr>
          <w:rFonts w:hint="eastAsia"/>
          <w:color w:val="auto"/>
        </w:rPr>
        <w:t>如采用入围方式的，则按照评标办法前附表规定的方式进行入围。</w:t>
      </w:r>
      <w:bookmarkEnd w:id="450"/>
    </w:p>
    <w:p w14:paraId="19F62F9E">
      <w:pPr>
        <w:spacing w:line="380" w:lineRule="exact"/>
        <w:ind w:firstLine="420" w:firstLineChars="200"/>
        <w:rPr>
          <w:color w:val="auto"/>
        </w:rPr>
      </w:pPr>
      <w:r>
        <w:rPr>
          <w:rFonts w:hint="eastAsia"/>
          <w:color w:val="auto"/>
        </w:rPr>
        <w:t>3.2.2 评标委员会按本章第2.2款规定的量化因素和分值进行打分，并计算出综合评估得分。</w:t>
      </w:r>
    </w:p>
    <w:p w14:paraId="4D4DEACD">
      <w:pPr>
        <w:spacing w:line="380" w:lineRule="exact"/>
        <w:ind w:firstLine="420" w:firstLineChars="200"/>
        <w:rPr>
          <w:color w:val="auto"/>
        </w:rPr>
      </w:pPr>
      <w:r>
        <w:rPr>
          <w:rFonts w:hint="eastAsia"/>
          <w:color w:val="auto"/>
        </w:rPr>
        <w:t>（1）按本章第2.2.4（1）目规定的评审因素和分值对经济标计算出得分A；</w:t>
      </w:r>
    </w:p>
    <w:p w14:paraId="457C33E9">
      <w:pPr>
        <w:spacing w:line="380" w:lineRule="exact"/>
        <w:ind w:firstLine="420" w:firstLineChars="200"/>
        <w:rPr>
          <w:color w:val="auto"/>
        </w:rPr>
      </w:pPr>
      <w:r>
        <w:rPr>
          <w:rFonts w:hint="eastAsia"/>
          <w:color w:val="auto"/>
        </w:rPr>
        <w:t>（2）按本章第2.2.4（2）目规定的评审因素和分值对技术标计算出得分B；</w:t>
      </w:r>
    </w:p>
    <w:p w14:paraId="72E4E046">
      <w:pPr>
        <w:spacing w:line="380" w:lineRule="exact"/>
        <w:ind w:firstLine="420" w:firstLineChars="200"/>
        <w:rPr>
          <w:color w:val="auto"/>
        </w:rPr>
      </w:pPr>
      <w:r>
        <w:rPr>
          <w:rFonts w:hint="eastAsia"/>
          <w:color w:val="auto"/>
        </w:rPr>
        <w:t>（3）按本章第2.2.4（3）目规定的评审因素和分值对资信标计算出得分C；</w:t>
      </w:r>
    </w:p>
    <w:p w14:paraId="7729203C">
      <w:pPr>
        <w:spacing w:line="380" w:lineRule="exact"/>
        <w:ind w:firstLine="420" w:firstLineChars="200"/>
        <w:rPr>
          <w:color w:val="auto"/>
        </w:rPr>
      </w:pPr>
      <w:r>
        <w:rPr>
          <w:rFonts w:hint="eastAsia"/>
          <w:color w:val="auto"/>
        </w:rPr>
        <w:t>（4）按本章第2.2.4（4）目规定的评审因素和分值对其他因素计算出得分D。</w:t>
      </w:r>
    </w:p>
    <w:p w14:paraId="0EBF8528">
      <w:pPr>
        <w:spacing w:line="380" w:lineRule="exact"/>
        <w:ind w:firstLine="420" w:firstLineChars="200"/>
        <w:rPr>
          <w:color w:val="auto"/>
        </w:rPr>
      </w:pPr>
      <w:r>
        <w:rPr>
          <w:rFonts w:hint="eastAsia"/>
          <w:color w:val="auto"/>
        </w:rPr>
        <w:t>3.2.3 评分分值计算保留小数点后两位，小数点后第三位“四舍五入”。</w:t>
      </w:r>
    </w:p>
    <w:p w14:paraId="6EB8603C">
      <w:pPr>
        <w:spacing w:line="380" w:lineRule="exact"/>
        <w:ind w:firstLine="420" w:firstLineChars="200"/>
        <w:rPr>
          <w:color w:val="auto"/>
        </w:rPr>
      </w:pPr>
      <w:r>
        <w:rPr>
          <w:rFonts w:hint="eastAsia"/>
          <w:color w:val="auto"/>
        </w:rPr>
        <w:t>3.2.4 投标人得分=A+B+C+D。</w:t>
      </w:r>
    </w:p>
    <w:p w14:paraId="24FB65E0">
      <w:pPr>
        <w:spacing w:line="380" w:lineRule="exact"/>
        <w:ind w:firstLine="420" w:firstLineChars="200"/>
        <w:rPr>
          <w:color w:val="auto"/>
        </w:rPr>
      </w:pPr>
      <w:r>
        <w:rPr>
          <w:rFonts w:hint="eastAsia"/>
          <w:color w:val="auto"/>
        </w:rPr>
        <w:t xml:space="preserve">3.2.5 </w:t>
      </w:r>
      <w:bookmarkStart w:id="451" w:name="_Hlk174450796"/>
      <w:r>
        <w:rPr>
          <w:rFonts w:hint="eastAsia"/>
          <w:color w:val="auto"/>
        </w:rPr>
        <w:t>各投标人评分结果汇总确定办法详见评标办法前附表。</w:t>
      </w:r>
      <w:bookmarkEnd w:id="451"/>
    </w:p>
    <w:p w14:paraId="183801BB">
      <w:pPr>
        <w:pStyle w:val="27"/>
        <w:rPr>
          <w:color w:val="auto"/>
        </w:rPr>
      </w:pPr>
      <w:bookmarkStart w:id="452" w:name="_Toc183107226"/>
      <w:bookmarkStart w:id="453" w:name="_Toc175"/>
      <w:r>
        <w:rPr>
          <w:rFonts w:hint="eastAsia"/>
          <w:color w:val="auto"/>
        </w:rPr>
        <w:t>3.3 投标文件的澄清和补正</w:t>
      </w:r>
      <w:bookmarkEnd w:id="452"/>
      <w:bookmarkEnd w:id="453"/>
    </w:p>
    <w:p w14:paraId="0B1F1E02">
      <w:pPr>
        <w:spacing w:line="380" w:lineRule="exact"/>
        <w:ind w:firstLine="420" w:firstLineChars="200"/>
        <w:rPr>
          <w:color w:val="auto"/>
        </w:rPr>
      </w:pPr>
      <w:r>
        <w:rPr>
          <w:rFonts w:hint="eastAsia"/>
          <w:color w:val="auto"/>
        </w:rPr>
        <w:t>3.3.1在评标过程中，评标委员会可以书面形式要求投标人对投标文件中含义不明确、对同类问题表述不一致或者有明显文字和计算错误的内容作必要的澄清、说明或补正。澄清、说明或补正应以书面方式进行。评标委员会不接受投标人主动提出的澄清、说明或补正。</w:t>
      </w:r>
    </w:p>
    <w:p w14:paraId="72427BE3">
      <w:pPr>
        <w:spacing w:line="380" w:lineRule="exact"/>
        <w:ind w:firstLine="420" w:firstLineChars="200"/>
        <w:rPr>
          <w:color w:val="auto"/>
        </w:rPr>
      </w:pPr>
      <w:r>
        <w:rPr>
          <w:rFonts w:hint="eastAsia"/>
          <w:color w:val="auto"/>
        </w:rPr>
        <w:t>3.3.2 澄清、说明和补正不得超出投标文件的范围且不得改变投标文件的实质性内容（算术错误修正的除外）。投标人的书面澄清、说明和补正属于投标文件的组成部分。</w:t>
      </w:r>
    </w:p>
    <w:p w14:paraId="2E52C378">
      <w:pPr>
        <w:spacing w:line="380" w:lineRule="exact"/>
        <w:ind w:firstLine="420" w:firstLineChars="200"/>
        <w:rPr>
          <w:color w:val="auto"/>
        </w:rPr>
      </w:pPr>
      <w:r>
        <w:rPr>
          <w:rFonts w:hint="eastAsia"/>
          <w:color w:val="auto"/>
        </w:rPr>
        <w:t>3.3.3 评标委员会对投标人提交的澄清、说明或补正有疑问的，可以要求投标人进一步澄清、说明或补正，直至满足评标委员会的要求。</w:t>
      </w:r>
    </w:p>
    <w:p w14:paraId="6177ECB9">
      <w:pPr>
        <w:spacing w:line="380" w:lineRule="exact"/>
        <w:ind w:firstLine="420" w:firstLineChars="200"/>
        <w:rPr>
          <w:color w:val="auto"/>
        </w:rPr>
      </w:pPr>
      <w:bookmarkStart w:id="454" w:name="_Hlk150329621"/>
      <w:r>
        <w:rPr>
          <w:rFonts w:hint="eastAsia"/>
          <w:color w:val="auto"/>
        </w:rPr>
        <w:t>3.3.4</w:t>
      </w:r>
      <w:bookmarkStart w:id="455" w:name="_Hlk174451177"/>
      <w:r>
        <w:rPr>
          <w:rFonts w:hint="eastAsia"/>
          <w:color w:val="auto"/>
        </w:rPr>
        <w:t>评标委员会要求投标人对投标文件问题澄清的通知，以及投标人对投标文件的澄清通过</w:t>
      </w:r>
      <w:bookmarkStart w:id="456" w:name="_Hlk164710198"/>
      <w:r>
        <w:rPr>
          <w:rFonts w:hint="eastAsia"/>
          <w:color w:val="auto"/>
        </w:rPr>
        <w:t>电子招标投标系统（辽宁省工程建设项目数字化开标评标系统）</w:t>
      </w:r>
      <w:bookmarkEnd w:id="456"/>
      <w:r>
        <w:rPr>
          <w:rFonts w:hint="eastAsia"/>
          <w:color w:val="auto"/>
        </w:rPr>
        <w:t>以书面形式进行。</w:t>
      </w:r>
      <w:bookmarkStart w:id="457" w:name="_Hlk161316527"/>
      <w:r>
        <w:rPr>
          <w:rFonts w:hint="eastAsia"/>
          <w:color w:val="auto"/>
        </w:rPr>
        <w:t>投标人的澄清、说明或补正应在评标办法前附表通知规定的</w:t>
      </w:r>
      <w:r>
        <w:rPr>
          <w:rFonts w:hint="eastAsia" w:ascii="宋体" w:hAnsi="宋体" w:cs="微软雅黑"/>
          <w:color w:val="auto"/>
          <w:szCs w:val="21"/>
        </w:rPr>
        <w:t>时间要求内</w:t>
      </w:r>
      <w:r>
        <w:rPr>
          <w:rFonts w:hint="eastAsia"/>
          <w:color w:val="auto"/>
        </w:rPr>
        <w:t>提交，否则评标委员会（电子招标投标系统）将拒绝接收。</w:t>
      </w:r>
      <w:bookmarkEnd w:id="455"/>
      <w:bookmarkEnd w:id="457"/>
    </w:p>
    <w:bookmarkEnd w:id="454"/>
    <w:p w14:paraId="1A19D76E">
      <w:pPr>
        <w:pStyle w:val="27"/>
        <w:rPr>
          <w:color w:val="auto"/>
        </w:rPr>
      </w:pPr>
      <w:bookmarkStart w:id="458" w:name="_Toc183107227"/>
      <w:bookmarkStart w:id="459" w:name="_Toc2286"/>
      <w:r>
        <w:rPr>
          <w:rFonts w:hint="eastAsia"/>
          <w:color w:val="auto"/>
        </w:rPr>
        <w:t>3.4 评标结果</w:t>
      </w:r>
      <w:bookmarkEnd w:id="458"/>
      <w:bookmarkEnd w:id="459"/>
    </w:p>
    <w:p w14:paraId="2CC5581F">
      <w:pPr>
        <w:spacing w:line="380" w:lineRule="exact"/>
        <w:ind w:firstLine="420" w:firstLineChars="200"/>
        <w:rPr>
          <w:color w:val="auto"/>
        </w:rPr>
      </w:pPr>
      <w:r>
        <w:rPr>
          <w:rFonts w:hint="eastAsia"/>
          <w:color w:val="auto"/>
        </w:rPr>
        <w:t>3.4.1</w:t>
      </w:r>
      <w:bookmarkStart w:id="460" w:name="_Hlk174451188"/>
      <w:r>
        <w:rPr>
          <w:rFonts w:hint="eastAsia"/>
          <w:color w:val="auto"/>
        </w:rPr>
        <w:t>评标委员会按照本章评标办法前附表规定的推荐方法和第二章“投标人须知”前附表第7.1款推荐的中标候选人数量推荐中标候选人。</w:t>
      </w:r>
      <w:bookmarkEnd w:id="460"/>
    </w:p>
    <w:p w14:paraId="6CD5B168">
      <w:pPr>
        <w:spacing w:line="380" w:lineRule="exact"/>
        <w:ind w:firstLine="420" w:firstLineChars="200"/>
        <w:rPr>
          <w:color w:val="auto"/>
        </w:rPr>
      </w:pPr>
      <w:r>
        <w:rPr>
          <w:rFonts w:hint="eastAsia"/>
          <w:color w:val="auto"/>
        </w:rPr>
        <w:t>3.4.2评标委员会完成评标后，应当向招标人提交书面评标报告。</w:t>
      </w:r>
    </w:p>
    <w:p w14:paraId="1E6A74A4">
      <w:pPr>
        <w:spacing w:line="380" w:lineRule="exact"/>
        <w:ind w:firstLine="420" w:firstLineChars="200"/>
        <w:rPr>
          <w:color w:val="auto"/>
        </w:rPr>
      </w:pPr>
      <w:bookmarkStart w:id="461" w:name="_Hlk174451199"/>
      <w:r>
        <w:rPr>
          <w:rFonts w:hint="eastAsia"/>
          <w:color w:val="auto"/>
        </w:rPr>
        <w:t>3.4.3投标人串通投标或弄虚作假或有其他违法行为，评标委员会在评标过程中发现，证据确凿的，经评标委员会成员三分之二以上同意，其投标作否决投标处理；证据不够确凿的，其投标不能作否决投标处理，但评标委员会在向招标人提交书面评标报告时，应予说明。在评标结束后发现投标人串通投标或弄虚作假或有其他违法行为，查证属实的，取消其中标资格。</w:t>
      </w:r>
      <w:bookmarkEnd w:id="461"/>
    </w:p>
    <w:p w14:paraId="5176D81A">
      <w:pPr>
        <w:spacing w:line="400" w:lineRule="exact"/>
        <w:ind w:firstLine="420" w:firstLineChars="200"/>
        <w:rPr>
          <w:color w:val="auto"/>
        </w:rPr>
      </w:pPr>
      <w:r>
        <w:rPr>
          <w:color w:val="auto"/>
        </w:rPr>
        <w:br w:type="page"/>
      </w:r>
    </w:p>
    <w:p w14:paraId="09576AC8">
      <w:pPr>
        <w:spacing w:line="400" w:lineRule="exact"/>
        <w:ind w:firstLine="420" w:firstLineChars="200"/>
        <w:rPr>
          <w:rFonts w:hint="eastAsia" w:ascii="宋体" w:hAnsi="宋体"/>
          <w:color w:val="auto"/>
          <w:szCs w:val="21"/>
        </w:rPr>
        <w:sectPr>
          <w:pgSz w:w="11906" w:h="16838"/>
          <w:pgMar w:top="1440" w:right="1797" w:bottom="1440" w:left="1797" w:header="851" w:footer="851" w:gutter="0"/>
          <w:cols w:space="720" w:num="1"/>
          <w:docGrid w:linePitch="312" w:charSpace="0"/>
        </w:sectPr>
      </w:pPr>
    </w:p>
    <w:p w14:paraId="5DF2E498">
      <w:pPr>
        <w:pStyle w:val="3"/>
        <w:rPr>
          <w:b w:val="0"/>
          <w:color w:val="auto"/>
          <w:sz w:val="24"/>
          <w:szCs w:val="24"/>
        </w:rPr>
      </w:pPr>
      <w:bookmarkStart w:id="462" w:name="_Toc14550"/>
      <w:bookmarkStart w:id="463" w:name="_Toc183107228"/>
      <w:bookmarkStart w:id="464" w:name="_Hlk164528783"/>
      <w:r>
        <w:rPr>
          <w:rFonts w:hint="eastAsia"/>
          <w:b w:val="0"/>
          <w:color w:val="auto"/>
          <w:sz w:val="24"/>
          <w:szCs w:val="24"/>
        </w:rPr>
        <w:t>附件A：评标详细程序</w:t>
      </w:r>
      <w:bookmarkEnd w:id="462"/>
      <w:bookmarkEnd w:id="463"/>
    </w:p>
    <w:p w14:paraId="6011A98F">
      <w:pPr>
        <w:jc w:val="center"/>
        <w:rPr>
          <w:rFonts w:ascii="黑体" w:eastAsia="黑体"/>
          <w:b/>
          <w:color w:val="auto"/>
          <w:sz w:val="28"/>
          <w:szCs w:val="28"/>
        </w:rPr>
      </w:pPr>
      <w:r>
        <w:rPr>
          <w:rFonts w:hint="eastAsia" w:ascii="黑体" w:eastAsia="黑体"/>
          <w:b/>
          <w:color w:val="auto"/>
          <w:sz w:val="28"/>
          <w:szCs w:val="28"/>
        </w:rPr>
        <w:t>评标详细程序</w:t>
      </w:r>
    </w:p>
    <w:p w14:paraId="55179901">
      <w:pPr>
        <w:pStyle w:val="27"/>
        <w:rPr>
          <w:color w:val="auto"/>
        </w:rPr>
      </w:pPr>
      <w:bookmarkStart w:id="465" w:name="_Toc8995"/>
      <w:bookmarkStart w:id="466" w:name="_Toc162103211"/>
      <w:bookmarkStart w:id="467" w:name="_Toc150507309"/>
      <w:bookmarkStart w:id="468" w:name="_Toc166326929"/>
      <w:bookmarkStart w:id="469" w:name="_Toc183107229"/>
      <w:bookmarkStart w:id="470" w:name="_Hlk174451732"/>
      <w:r>
        <w:rPr>
          <w:rFonts w:hint="eastAsia"/>
          <w:color w:val="auto"/>
        </w:rPr>
        <w:t>A0.总  则</w:t>
      </w:r>
      <w:bookmarkEnd w:id="465"/>
      <w:bookmarkEnd w:id="466"/>
      <w:bookmarkEnd w:id="467"/>
      <w:bookmarkEnd w:id="468"/>
      <w:bookmarkEnd w:id="469"/>
    </w:p>
    <w:p w14:paraId="1F932A9B">
      <w:pPr>
        <w:spacing w:line="400" w:lineRule="exact"/>
        <w:ind w:firstLine="420" w:firstLineChars="200"/>
        <w:rPr>
          <w:rFonts w:hint="eastAsia" w:ascii="宋体" w:hAnsi="宋体"/>
          <w:color w:val="auto"/>
          <w:szCs w:val="21"/>
        </w:rPr>
      </w:pPr>
      <w:r>
        <w:rPr>
          <w:rFonts w:hint="eastAsia" w:ascii="宋体" w:hAnsi="宋体"/>
          <w:color w:val="auto"/>
          <w:szCs w:val="21"/>
        </w:rPr>
        <w:t>本附件是本章“评标办法”的组成部分，是对本章第3条所规定的评标程序的进一步细化，评标委员会应当按照本附件所</w:t>
      </w:r>
      <w:r>
        <w:rPr>
          <w:rFonts w:hint="eastAsia"/>
          <w:color w:val="auto"/>
        </w:rPr>
        <w:t>规定</w:t>
      </w:r>
      <w:r>
        <w:rPr>
          <w:rFonts w:hint="eastAsia" w:ascii="宋体" w:hAnsi="宋体"/>
          <w:color w:val="auto"/>
          <w:szCs w:val="21"/>
        </w:rPr>
        <w:t>的详细程序开展并完成评标工作。</w:t>
      </w:r>
    </w:p>
    <w:p w14:paraId="0322709E">
      <w:pPr>
        <w:pStyle w:val="27"/>
        <w:rPr>
          <w:color w:val="auto"/>
        </w:rPr>
      </w:pPr>
      <w:bookmarkStart w:id="471" w:name="_Toc14944"/>
      <w:bookmarkStart w:id="472" w:name="_Toc162103212"/>
      <w:bookmarkStart w:id="473" w:name="_Toc183107230"/>
      <w:bookmarkStart w:id="474" w:name="_Toc166326930"/>
      <w:bookmarkStart w:id="475" w:name="_Toc150507310"/>
      <w:r>
        <w:rPr>
          <w:rFonts w:hint="eastAsia"/>
          <w:color w:val="auto"/>
        </w:rPr>
        <w:t>A1.基本程序</w:t>
      </w:r>
      <w:bookmarkEnd w:id="471"/>
      <w:bookmarkEnd w:id="472"/>
      <w:bookmarkEnd w:id="473"/>
      <w:bookmarkEnd w:id="474"/>
      <w:bookmarkEnd w:id="475"/>
    </w:p>
    <w:p w14:paraId="4F98B74D">
      <w:pPr>
        <w:spacing w:line="400" w:lineRule="exact"/>
        <w:ind w:firstLine="420" w:firstLineChars="200"/>
        <w:rPr>
          <w:rFonts w:hint="eastAsia" w:ascii="宋体" w:hAnsi="宋体"/>
          <w:color w:val="auto"/>
          <w:szCs w:val="21"/>
        </w:rPr>
      </w:pPr>
      <w:r>
        <w:rPr>
          <w:rFonts w:hint="eastAsia" w:ascii="宋体" w:hAnsi="宋体"/>
          <w:color w:val="auto"/>
          <w:szCs w:val="21"/>
        </w:rPr>
        <w:t>评标活动将按以下五个步骤进行：</w:t>
      </w:r>
    </w:p>
    <w:p w14:paraId="45EA1855">
      <w:pPr>
        <w:spacing w:line="400" w:lineRule="exact"/>
        <w:ind w:firstLine="420" w:firstLineChars="200"/>
        <w:rPr>
          <w:rFonts w:hint="eastAsia" w:ascii="宋体" w:hAnsi="宋体"/>
          <w:color w:val="auto"/>
          <w:szCs w:val="21"/>
        </w:rPr>
      </w:pPr>
      <w:r>
        <w:rPr>
          <w:rFonts w:hint="eastAsia" w:ascii="宋体" w:hAnsi="宋体"/>
          <w:color w:val="auto"/>
          <w:szCs w:val="21"/>
        </w:rPr>
        <w:t>（1）评标准备；</w:t>
      </w:r>
    </w:p>
    <w:p w14:paraId="0991C4EB">
      <w:pPr>
        <w:spacing w:line="400" w:lineRule="exact"/>
        <w:ind w:firstLine="420" w:firstLineChars="200"/>
        <w:rPr>
          <w:rFonts w:hint="eastAsia" w:ascii="宋体" w:hAnsi="宋体"/>
          <w:color w:val="auto"/>
          <w:szCs w:val="21"/>
        </w:rPr>
      </w:pPr>
      <w:r>
        <w:rPr>
          <w:rFonts w:hint="eastAsia" w:ascii="宋体" w:hAnsi="宋体"/>
          <w:color w:val="auto"/>
          <w:szCs w:val="21"/>
        </w:rPr>
        <w:t>（2）初步评审；</w:t>
      </w:r>
    </w:p>
    <w:p w14:paraId="1EED9EC4">
      <w:pPr>
        <w:spacing w:line="400" w:lineRule="exact"/>
        <w:ind w:firstLine="420" w:firstLineChars="200"/>
        <w:rPr>
          <w:rFonts w:hint="eastAsia" w:ascii="宋体" w:hAnsi="宋体"/>
          <w:color w:val="auto"/>
          <w:szCs w:val="21"/>
        </w:rPr>
      </w:pPr>
      <w:r>
        <w:rPr>
          <w:rFonts w:hint="eastAsia" w:ascii="宋体" w:hAnsi="宋体"/>
          <w:color w:val="auto"/>
          <w:szCs w:val="21"/>
        </w:rPr>
        <w:t>（3）详细评审；</w:t>
      </w:r>
    </w:p>
    <w:p w14:paraId="7989C4A0">
      <w:pPr>
        <w:spacing w:line="400" w:lineRule="exact"/>
        <w:ind w:firstLine="420" w:firstLineChars="200"/>
        <w:rPr>
          <w:rFonts w:hint="eastAsia" w:ascii="宋体" w:hAnsi="宋体"/>
          <w:color w:val="auto"/>
          <w:szCs w:val="21"/>
        </w:rPr>
      </w:pPr>
      <w:r>
        <w:rPr>
          <w:rFonts w:hint="eastAsia" w:ascii="宋体" w:hAnsi="宋体"/>
          <w:color w:val="auto"/>
          <w:szCs w:val="21"/>
        </w:rPr>
        <w:t>（4）澄清、说明或</w:t>
      </w:r>
      <w:r>
        <w:rPr>
          <w:rFonts w:hint="eastAsia"/>
          <w:color w:val="auto"/>
        </w:rPr>
        <w:t>补正</w:t>
      </w:r>
      <w:r>
        <w:rPr>
          <w:rFonts w:hint="eastAsia" w:ascii="宋体" w:hAnsi="宋体"/>
          <w:color w:val="auto"/>
          <w:szCs w:val="21"/>
        </w:rPr>
        <w:t>；</w:t>
      </w:r>
    </w:p>
    <w:p w14:paraId="286A8F76">
      <w:pPr>
        <w:spacing w:line="400" w:lineRule="exact"/>
        <w:ind w:firstLine="420" w:firstLineChars="200"/>
        <w:rPr>
          <w:rFonts w:hint="eastAsia" w:ascii="宋体" w:hAnsi="宋体"/>
          <w:color w:val="auto"/>
          <w:szCs w:val="21"/>
        </w:rPr>
      </w:pPr>
      <w:r>
        <w:rPr>
          <w:rFonts w:hint="eastAsia" w:ascii="宋体" w:hAnsi="宋体"/>
          <w:color w:val="auto"/>
          <w:szCs w:val="21"/>
        </w:rPr>
        <w:t>（5）推荐中标候选人</w:t>
      </w:r>
      <w:r>
        <w:rPr>
          <w:rFonts w:hint="eastAsia"/>
          <w:color w:val="auto"/>
        </w:rPr>
        <w:t>或者</w:t>
      </w:r>
      <w:r>
        <w:rPr>
          <w:rFonts w:hint="eastAsia" w:ascii="宋体" w:hAnsi="宋体"/>
          <w:color w:val="auto"/>
          <w:szCs w:val="21"/>
        </w:rPr>
        <w:t>直接确定中标人及提交评标报告。</w:t>
      </w:r>
    </w:p>
    <w:p w14:paraId="7E1E361F">
      <w:pPr>
        <w:pStyle w:val="27"/>
        <w:rPr>
          <w:color w:val="auto"/>
        </w:rPr>
      </w:pPr>
      <w:bookmarkStart w:id="476" w:name="_Toc166326931"/>
      <w:bookmarkStart w:id="477" w:name="_Toc150507311"/>
      <w:bookmarkStart w:id="478" w:name="_Toc26023"/>
      <w:bookmarkStart w:id="479" w:name="_Toc183107231"/>
      <w:bookmarkStart w:id="480" w:name="_Toc162103213"/>
      <w:r>
        <w:rPr>
          <w:rFonts w:hint="eastAsia"/>
          <w:color w:val="auto"/>
        </w:rPr>
        <w:t>A2.评标准备</w:t>
      </w:r>
      <w:bookmarkEnd w:id="476"/>
      <w:bookmarkEnd w:id="477"/>
      <w:bookmarkEnd w:id="478"/>
      <w:bookmarkEnd w:id="479"/>
      <w:bookmarkEnd w:id="480"/>
    </w:p>
    <w:p w14:paraId="7B5041E0">
      <w:pPr>
        <w:pStyle w:val="27"/>
        <w:rPr>
          <w:rFonts w:hint="eastAsia" w:ascii="宋体" w:hAnsi="宋体"/>
          <w:bCs/>
          <w:color w:val="auto"/>
          <w:sz w:val="21"/>
          <w:szCs w:val="21"/>
        </w:rPr>
      </w:pPr>
      <w:bookmarkStart w:id="481" w:name="_Toc183107232"/>
      <w:bookmarkStart w:id="482" w:name="_Toc166326932"/>
      <w:bookmarkStart w:id="483" w:name="_Toc162103214"/>
      <w:bookmarkStart w:id="484" w:name="_Toc150507312"/>
      <w:bookmarkStart w:id="485" w:name="_Toc30345"/>
      <w:r>
        <w:rPr>
          <w:rFonts w:hint="eastAsia"/>
          <w:bCs/>
          <w:color w:val="auto"/>
          <w:sz w:val="21"/>
          <w:szCs w:val="21"/>
        </w:rPr>
        <w:t>A2.1评标委员会成员签到</w:t>
      </w:r>
      <w:bookmarkEnd w:id="481"/>
      <w:bookmarkEnd w:id="482"/>
      <w:bookmarkEnd w:id="483"/>
      <w:bookmarkEnd w:id="484"/>
      <w:bookmarkEnd w:id="485"/>
    </w:p>
    <w:p w14:paraId="07A26411">
      <w:pPr>
        <w:spacing w:line="400" w:lineRule="exact"/>
        <w:ind w:firstLine="420" w:firstLineChars="200"/>
        <w:rPr>
          <w:rFonts w:hint="eastAsia" w:ascii="宋体" w:hAnsi="宋体"/>
          <w:color w:val="auto"/>
          <w:szCs w:val="21"/>
        </w:rPr>
      </w:pPr>
      <w:r>
        <w:rPr>
          <w:rFonts w:hint="eastAsia" w:ascii="宋体" w:hAnsi="宋体"/>
          <w:color w:val="auto"/>
          <w:szCs w:val="21"/>
        </w:rPr>
        <w:t>评标委员会成员到达评标现场时应在</w:t>
      </w:r>
      <w:r>
        <w:rPr>
          <w:rFonts w:hint="eastAsia"/>
          <w:color w:val="auto"/>
        </w:rPr>
        <w:t>签到</w:t>
      </w:r>
      <w:r>
        <w:rPr>
          <w:rFonts w:hint="eastAsia" w:ascii="宋体" w:hAnsi="宋体"/>
          <w:color w:val="auto"/>
          <w:szCs w:val="21"/>
        </w:rPr>
        <w:t>表上签到以证明其出席。评标委员会签到表见</w:t>
      </w:r>
      <w:r>
        <w:rPr>
          <w:rFonts w:hint="eastAsia" w:ascii="宋体" w:hAnsi="宋体"/>
          <w:b/>
          <w:color w:val="auto"/>
          <w:szCs w:val="21"/>
        </w:rPr>
        <w:t>附表A-1</w:t>
      </w:r>
      <w:r>
        <w:rPr>
          <w:rFonts w:hint="eastAsia" w:ascii="宋体" w:hAnsi="宋体"/>
          <w:color w:val="auto"/>
          <w:szCs w:val="21"/>
        </w:rPr>
        <w:t>。并按照要求阅读评标纪律。</w:t>
      </w:r>
    </w:p>
    <w:p w14:paraId="36696F89">
      <w:pPr>
        <w:spacing w:line="400" w:lineRule="exact"/>
        <w:ind w:firstLine="420" w:firstLineChars="200"/>
        <w:rPr>
          <w:rFonts w:hint="eastAsia" w:ascii="宋体" w:hAnsi="宋体"/>
          <w:color w:val="auto"/>
          <w:szCs w:val="21"/>
        </w:rPr>
      </w:pPr>
      <w:r>
        <w:rPr>
          <w:rFonts w:hint="eastAsia" w:ascii="宋体" w:hAnsi="宋体"/>
          <w:color w:val="auto"/>
          <w:szCs w:val="21"/>
        </w:rPr>
        <w:t>评标委员会成员在评标前，应当签订签署评标专家告知承诺函。评标专家告知承诺函见</w:t>
      </w:r>
      <w:r>
        <w:rPr>
          <w:rFonts w:hint="eastAsia" w:ascii="宋体" w:hAnsi="宋体"/>
          <w:b/>
          <w:color w:val="auto"/>
          <w:szCs w:val="21"/>
        </w:rPr>
        <w:t>附表A-2。</w:t>
      </w:r>
      <w:r>
        <w:rPr>
          <w:rFonts w:hint="eastAsia" w:ascii="宋体" w:hAnsi="宋体"/>
          <w:color w:val="auto"/>
          <w:szCs w:val="21"/>
        </w:rPr>
        <w:t>评标委员会成员对尽职、回避、保密、廉洁，不参与串通投标等进行承诺，承诺遵守有关评标管理规定以及评标纪律，客观、公正地进行评标，并接受招投标监管部门的监督。</w:t>
      </w:r>
    </w:p>
    <w:p w14:paraId="3ED1CE3B">
      <w:pPr>
        <w:pStyle w:val="27"/>
        <w:rPr>
          <w:bCs/>
          <w:color w:val="auto"/>
          <w:sz w:val="21"/>
          <w:szCs w:val="21"/>
        </w:rPr>
      </w:pPr>
      <w:bookmarkStart w:id="486" w:name="_Toc162103215"/>
      <w:bookmarkStart w:id="487" w:name="_Toc150507313"/>
      <w:bookmarkStart w:id="488" w:name="_Toc183107233"/>
      <w:bookmarkStart w:id="489" w:name="_Toc166326933"/>
      <w:bookmarkStart w:id="490" w:name="_Toc6830"/>
      <w:r>
        <w:rPr>
          <w:rFonts w:hint="eastAsia"/>
          <w:bCs/>
          <w:color w:val="auto"/>
          <w:sz w:val="21"/>
          <w:szCs w:val="21"/>
        </w:rPr>
        <w:t>A2.2评标委员会的分工</w:t>
      </w:r>
      <w:bookmarkEnd w:id="486"/>
      <w:bookmarkEnd w:id="487"/>
      <w:bookmarkEnd w:id="488"/>
      <w:bookmarkEnd w:id="489"/>
      <w:bookmarkEnd w:id="490"/>
    </w:p>
    <w:p w14:paraId="2B962212">
      <w:pPr>
        <w:spacing w:line="420" w:lineRule="exact"/>
        <w:ind w:firstLine="420" w:firstLineChars="200"/>
        <w:rPr>
          <w:rFonts w:hint="eastAsia" w:ascii="宋体" w:hAnsi="宋体"/>
          <w:color w:val="auto"/>
          <w:szCs w:val="21"/>
        </w:rPr>
      </w:pPr>
      <w:r>
        <w:rPr>
          <w:rFonts w:hint="eastAsia" w:ascii="宋体" w:hAnsi="宋体"/>
          <w:color w:val="auto"/>
          <w:szCs w:val="21"/>
        </w:rPr>
        <w:t>A2.2.</w:t>
      </w:r>
      <w:r>
        <w:rPr>
          <w:rFonts w:ascii="宋体" w:hAnsi="宋体"/>
          <w:color w:val="auto"/>
          <w:szCs w:val="21"/>
        </w:rPr>
        <w:t>1</w:t>
      </w:r>
      <w:r>
        <w:rPr>
          <w:rFonts w:hint="eastAsia" w:ascii="宋体" w:hAnsi="宋体"/>
          <w:color w:val="auto"/>
          <w:szCs w:val="21"/>
        </w:rPr>
        <w:t>评标委员会首先推选一名评标委员会主任。评标委员会主任负责评标活动的组织工作。</w:t>
      </w:r>
    </w:p>
    <w:p w14:paraId="5082F4EC">
      <w:pPr>
        <w:spacing w:line="400" w:lineRule="exact"/>
        <w:ind w:firstLine="420" w:firstLineChars="200"/>
        <w:rPr>
          <w:rFonts w:hint="eastAsia" w:ascii="宋体" w:hAnsi="宋体"/>
          <w:color w:val="auto"/>
          <w:szCs w:val="21"/>
        </w:rPr>
      </w:pPr>
      <w:r>
        <w:rPr>
          <w:rFonts w:hint="eastAsia" w:ascii="宋体" w:hAnsi="宋体"/>
          <w:color w:val="auto"/>
          <w:szCs w:val="21"/>
        </w:rPr>
        <w:t>A2.2.2 评标委员会主任除履行自己作为评标委员会</w:t>
      </w:r>
      <w:r>
        <w:rPr>
          <w:rFonts w:hint="eastAsia"/>
          <w:color w:val="auto"/>
        </w:rPr>
        <w:t>成员</w:t>
      </w:r>
      <w:r>
        <w:rPr>
          <w:rFonts w:hint="eastAsia" w:ascii="宋体" w:hAnsi="宋体"/>
          <w:color w:val="auto"/>
          <w:szCs w:val="21"/>
        </w:rPr>
        <w:t>独立评标的职责外，主要负责以下工作：</w:t>
      </w:r>
    </w:p>
    <w:p w14:paraId="739BBE7C">
      <w:pPr>
        <w:spacing w:line="400" w:lineRule="exact"/>
        <w:ind w:firstLine="420" w:firstLineChars="200"/>
        <w:rPr>
          <w:rFonts w:hint="eastAsia" w:ascii="宋体" w:hAnsi="宋体"/>
          <w:color w:val="auto"/>
          <w:szCs w:val="21"/>
        </w:rPr>
      </w:pPr>
      <w:r>
        <w:rPr>
          <w:rFonts w:hint="eastAsia" w:ascii="宋体" w:hAnsi="宋体"/>
          <w:color w:val="auto"/>
          <w:szCs w:val="21"/>
        </w:rPr>
        <w:t>（1）组织评标委员会成员学习</w:t>
      </w:r>
      <w:r>
        <w:rPr>
          <w:rFonts w:hint="eastAsia"/>
          <w:color w:val="auto"/>
        </w:rPr>
        <w:t>招标文件</w:t>
      </w:r>
      <w:r>
        <w:rPr>
          <w:rFonts w:hint="eastAsia" w:ascii="宋体" w:hAnsi="宋体"/>
          <w:color w:val="auto"/>
          <w:szCs w:val="21"/>
        </w:rPr>
        <w:t>中载明的评标标准和方法；</w:t>
      </w:r>
    </w:p>
    <w:p w14:paraId="6FD4FBFD">
      <w:pPr>
        <w:spacing w:line="430" w:lineRule="exact"/>
        <w:ind w:firstLine="420" w:firstLineChars="200"/>
        <w:rPr>
          <w:rFonts w:hint="eastAsia" w:ascii="宋体" w:hAnsi="宋体"/>
          <w:color w:val="auto"/>
          <w:szCs w:val="21"/>
        </w:rPr>
      </w:pPr>
      <w:r>
        <w:rPr>
          <w:rFonts w:hint="eastAsia" w:ascii="宋体" w:hAnsi="宋体"/>
          <w:color w:val="auto"/>
          <w:szCs w:val="21"/>
        </w:rPr>
        <w:t>（2）提醒招标人做好评标准备工作，包括提供所需的评标基础资料；</w:t>
      </w:r>
    </w:p>
    <w:p w14:paraId="023BEB64">
      <w:pPr>
        <w:spacing w:line="400" w:lineRule="exact"/>
        <w:ind w:firstLine="420" w:firstLineChars="200"/>
        <w:rPr>
          <w:rFonts w:hint="eastAsia" w:ascii="宋体" w:hAnsi="宋体"/>
          <w:color w:val="auto"/>
          <w:szCs w:val="21"/>
        </w:rPr>
      </w:pPr>
      <w:r>
        <w:rPr>
          <w:rFonts w:hint="eastAsia" w:ascii="宋体" w:hAnsi="宋体"/>
          <w:color w:val="auto"/>
          <w:szCs w:val="21"/>
        </w:rPr>
        <w:t>（3）汇总各评标委员会成员认为</w:t>
      </w:r>
      <w:r>
        <w:rPr>
          <w:rFonts w:hint="eastAsia"/>
          <w:color w:val="auto"/>
        </w:rPr>
        <w:t>需要</w:t>
      </w:r>
      <w:r>
        <w:rPr>
          <w:rFonts w:hint="eastAsia" w:ascii="宋体" w:hAnsi="宋体"/>
          <w:color w:val="auto"/>
          <w:szCs w:val="21"/>
        </w:rPr>
        <w:t>投标人澄清、说明或者补正的问题，组织评标委员会对投标人质询并对投标人的答复进行评审；</w:t>
      </w:r>
    </w:p>
    <w:p w14:paraId="63D00F6B">
      <w:pPr>
        <w:spacing w:line="400" w:lineRule="exact"/>
        <w:ind w:firstLine="420" w:firstLineChars="200"/>
        <w:rPr>
          <w:rFonts w:hint="eastAsia" w:ascii="宋体" w:hAnsi="宋体"/>
          <w:color w:val="auto"/>
          <w:szCs w:val="21"/>
        </w:rPr>
      </w:pPr>
      <w:r>
        <w:rPr>
          <w:rFonts w:hint="eastAsia" w:ascii="宋体" w:hAnsi="宋体"/>
          <w:color w:val="auto"/>
          <w:szCs w:val="21"/>
        </w:rPr>
        <w:t>（4）对出现较大争议的事项进行</w:t>
      </w:r>
      <w:r>
        <w:rPr>
          <w:rFonts w:hint="eastAsia"/>
          <w:color w:val="auto"/>
        </w:rPr>
        <w:t>书面</w:t>
      </w:r>
      <w:r>
        <w:rPr>
          <w:rFonts w:hint="eastAsia" w:ascii="宋体" w:hAnsi="宋体"/>
          <w:color w:val="auto"/>
          <w:szCs w:val="21"/>
        </w:rPr>
        <w:t>记录；</w:t>
      </w:r>
    </w:p>
    <w:p w14:paraId="2049797C">
      <w:pPr>
        <w:spacing w:line="400" w:lineRule="exact"/>
        <w:ind w:firstLine="420" w:firstLineChars="200"/>
        <w:rPr>
          <w:rFonts w:hint="eastAsia" w:ascii="宋体" w:hAnsi="宋体"/>
          <w:color w:val="auto"/>
          <w:szCs w:val="21"/>
        </w:rPr>
      </w:pPr>
      <w:r>
        <w:rPr>
          <w:rFonts w:hint="eastAsia" w:ascii="宋体" w:hAnsi="宋体"/>
          <w:color w:val="auto"/>
          <w:szCs w:val="21"/>
        </w:rPr>
        <w:t>（5）查验评标用表格和评标记录的完整性及有效性；</w:t>
      </w:r>
    </w:p>
    <w:p w14:paraId="717C0D3F">
      <w:pPr>
        <w:spacing w:line="400" w:lineRule="exact"/>
        <w:ind w:firstLine="420" w:firstLineChars="200"/>
        <w:rPr>
          <w:rFonts w:hint="eastAsia" w:ascii="宋体" w:hAnsi="宋体"/>
          <w:color w:val="auto"/>
          <w:szCs w:val="21"/>
        </w:rPr>
      </w:pPr>
      <w:r>
        <w:rPr>
          <w:rFonts w:hint="eastAsia" w:ascii="宋体" w:hAnsi="宋体"/>
          <w:color w:val="auto"/>
          <w:szCs w:val="21"/>
        </w:rPr>
        <w:t>（6）组织对评标结论进行复核</w:t>
      </w:r>
      <w:r>
        <w:rPr>
          <w:rFonts w:hint="eastAsia"/>
          <w:color w:val="auto"/>
        </w:rPr>
        <w:t>确认</w:t>
      </w:r>
      <w:r>
        <w:rPr>
          <w:rFonts w:hint="eastAsia" w:ascii="宋体" w:hAnsi="宋体"/>
          <w:color w:val="auto"/>
          <w:szCs w:val="21"/>
        </w:rPr>
        <w:t>；</w:t>
      </w:r>
    </w:p>
    <w:p w14:paraId="279AB837">
      <w:pPr>
        <w:spacing w:line="400" w:lineRule="exact"/>
        <w:ind w:firstLine="420" w:firstLineChars="200"/>
        <w:rPr>
          <w:rFonts w:hint="eastAsia" w:ascii="宋体" w:hAnsi="宋体"/>
          <w:color w:val="auto"/>
          <w:szCs w:val="21"/>
        </w:rPr>
      </w:pPr>
      <w:r>
        <w:rPr>
          <w:rFonts w:hint="eastAsia" w:ascii="宋体" w:hAnsi="宋体"/>
          <w:color w:val="auto"/>
          <w:szCs w:val="21"/>
        </w:rPr>
        <w:t>（7）组织编写评标报告，推荐中标候选人。</w:t>
      </w:r>
    </w:p>
    <w:p w14:paraId="7D851B80">
      <w:pPr>
        <w:spacing w:line="420" w:lineRule="exact"/>
        <w:ind w:firstLine="420" w:firstLineChars="200"/>
        <w:rPr>
          <w:rFonts w:hint="eastAsia" w:ascii="宋体" w:hAnsi="宋体"/>
          <w:color w:val="auto"/>
          <w:szCs w:val="21"/>
        </w:rPr>
      </w:pPr>
      <w:r>
        <w:rPr>
          <w:rFonts w:hint="eastAsia" w:ascii="宋体" w:hAnsi="宋体"/>
          <w:color w:val="auto"/>
          <w:szCs w:val="21"/>
        </w:rPr>
        <w:t>A2.2.3评标委员会主任在与其他评标委员会成员商议的基础上可以将评标委员会按照评标专家抽取专业划分为技术组和经济组。</w:t>
      </w:r>
    </w:p>
    <w:p w14:paraId="64FA8EA6">
      <w:pPr>
        <w:pStyle w:val="27"/>
        <w:rPr>
          <w:bCs/>
          <w:color w:val="auto"/>
          <w:sz w:val="21"/>
          <w:szCs w:val="21"/>
        </w:rPr>
      </w:pPr>
      <w:bookmarkStart w:id="491" w:name="_Toc162103216"/>
      <w:bookmarkStart w:id="492" w:name="_Toc150507314"/>
      <w:bookmarkStart w:id="493" w:name="_Toc15632"/>
      <w:bookmarkStart w:id="494" w:name="_Toc183107234"/>
      <w:bookmarkStart w:id="495" w:name="_Toc166326934"/>
      <w:r>
        <w:rPr>
          <w:rFonts w:hint="eastAsia"/>
          <w:bCs/>
          <w:color w:val="auto"/>
          <w:sz w:val="21"/>
          <w:szCs w:val="21"/>
        </w:rPr>
        <w:t>A2.3熟悉文件资料</w:t>
      </w:r>
      <w:bookmarkEnd w:id="491"/>
      <w:bookmarkEnd w:id="492"/>
      <w:bookmarkEnd w:id="493"/>
      <w:bookmarkEnd w:id="494"/>
      <w:bookmarkEnd w:id="495"/>
    </w:p>
    <w:p w14:paraId="42929B15">
      <w:pPr>
        <w:spacing w:line="400" w:lineRule="exact"/>
        <w:ind w:firstLine="420" w:firstLineChars="200"/>
        <w:rPr>
          <w:rFonts w:hint="eastAsia" w:ascii="宋体" w:hAnsi="宋体"/>
          <w:color w:val="auto"/>
          <w:szCs w:val="21"/>
        </w:rPr>
      </w:pPr>
      <w:r>
        <w:rPr>
          <w:rFonts w:hint="eastAsia" w:ascii="宋体" w:hAnsi="宋体"/>
          <w:color w:val="auto"/>
          <w:szCs w:val="21"/>
        </w:rPr>
        <w:t>A2.3.1评标委员会主任应组织评标委员会成员认真研究招标文件，了解和熟悉招标目的、招标范围、主要合同条件、技术标准和要求、质量标准和工期要求，掌握评标标准和方法，熟悉本章及附件中包括的评标表格的使用，如果本章及附件所附的表格不能满足评标所需时，评标委员会应补充编制评标所需的表格。未在招标文件中规定的标准和方法不得作为评标的依据。</w:t>
      </w:r>
    </w:p>
    <w:p w14:paraId="09EF4893">
      <w:pPr>
        <w:spacing w:line="430" w:lineRule="exact"/>
        <w:ind w:firstLine="420" w:firstLineChars="200"/>
        <w:rPr>
          <w:rFonts w:hint="eastAsia" w:ascii="宋体" w:hAnsi="宋体"/>
          <w:color w:val="auto"/>
          <w:szCs w:val="21"/>
        </w:rPr>
      </w:pPr>
      <w:r>
        <w:rPr>
          <w:rFonts w:hint="eastAsia" w:ascii="宋体" w:hAnsi="宋体"/>
          <w:color w:val="auto"/>
          <w:szCs w:val="21"/>
        </w:rPr>
        <w:t>A2.3.2招标人或招标代理机构应向评标委员会提供评标所需的信息和数据，包括：</w:t>
      </w:r>
    </w:p>
    <w:p w14:paraId="6DEC7F45">
      <w:pPr>
        <w:spacing w:line="400" w:lineRule="exact"/>
        <w:ind w:firstLine="420" w:firstLineChars="200"/>
        <w:rPr>
          <w:rFonts w:hint="eastAsia" w:ascii="宋体" w:hAnsi="宋体"/>
          <w:color w:val="auto"/>
          <w:szCs w:val="21"/>
        </w:rPr>
      </w:pPr>
      <w:r>
        <w:rPr>
          <w:rFonts w:hint="eastAsia" w:ascii="宋体" w:hAnsi="宋体"/>
          <w:color w:val="auto"/>
          <w:szCs w:val="21"/>
        </w:rPr>
        <w:t>（1）招标文件及其澄清、修改</w:t>
      </w:r>
      <w:r>
        <w:rPr>
          <w:rFonts w:hint="eastAsia"/>
          <w:color w:val="auto"/>
        </w:rPr>
        <w:t>文件</w:t>
      </w:r>
      <w:r>
        <w:rPr>
          <w:rFonts w:hint="eastAsia" w:ascii="宋体" w:hAnsi="宋体"/>
          <w:color w:val="auto"/>
          <w:szCs w:val="21"/>
        </w:rPr>
        <w:t>；</w:t>
      </w:r>
    </w:p>
    <w:p w14:paraId="64A56BD3">
      <w:pPr>
        <w:spacing w:line="400" w:lineRule="exact"/>
        <w:ind w:firstLine="420" w:firstLineChars="200"/>
        <w:rPr>
          <w:rFonts w:hint="eastAsia" w:ascii="宋体" w:hAnsi="宋体"/>
          <w:color w:val="auto"/>
          <w:szCs w:val="21"/>
        </w:rPr>
      </w:pPr>
      <w:r>
        <w:rPr>
          <w:rFonts w:hint="eastAsia" w:ascii="宋体" w:hAnsi="宋体"/>
          <w:color w:val="auto"/>
          <w:szCs w:val="21"/>
        </w:rPr>
        <w:t>（2）投标人的投标文件；</w:t>
      </w:r>
    </w:p>
    <w:p w14:paraId="58D12EBF">
      <w:pPr>
        <w:spacing w:line="430" w:lineRule="exact"/>
        <w:ind w:firstLine="420" w:firstLineChars="200"/>
        <w:rPr>
          <w:rFonts w:hint="eastAsia" w:ascii="宋体" w:hAnsi="宋体"/>
          <w:color w:val="auto"/>
          <w:szCs w:val="21"/>
        </w:rPr>
      </w:pPr>
      <w:r>
        <w:rPr>
          <w:rFonts w:hint="eastAsia" w:ascii="宋体" w:hAnsi="宋体"/>
          <w:color w:val="auto"/>
          <w:szCs w:val="21"/>
        </w:rPr>
        <w:t>（3）开标记录表以及二次刷卡、保证金缴纳等信息；</w:t>
      </w:r>
    </w:p>
    <w:p w14:paraId="477573CA">
      <w:pPr>
        <w:spacing w:line="400" w:lineRule="exact"/>
        <w:ind w:firstLine="420" w:firstLineChars="200"/>
        <w:rPr>
          <w:rFonts w:hint="eastAsia" w:ascii="宋体" w:hAnsi="宋体"/>
          <w:color w:val="auto"/>
          <w:szCs w:val="21"/>
        </w:rPr>
      </w:pPr>
      <w:r>
        <w:rPr>
          <w:rFonts w:hint="eastAsia" w:ascii="宋体" w:hAnsi="宋体"/>
          <w:color w:val="auto"/>
          <w:szCs w:val="21"/>
        </w:rPr>
        <w:t>（4）最高投标限价；</w:t>
      </w:r>
    </w:p>
    <w:p w14:paraId="796D1553">
      <w:pPr>
        <w:spacing w:line="400" w:lineRule="exact"/>
        <w:ind w:firstLine="420" w:firstLineChars="200"/>
        <w:rPr>
          <w:rFonts w:hint="eastAsia" w:ascii="宋体" w:hAnsi="宋体"/>
          <w:color w:val="auto"/>
          <w:szCs w:val="21"/>
        </w:rPr>
      </w:pPr>
      <w:r>
        <w:rPr>
          <w:rFonts w:hint="eastAsia" w:ascii="宋体" w:hAnsi="宋体"/>
          <w:color w:val="auto"/>
          <w:szCs w:val="21"/>
        </w:rPr>
        <w:t>（5）评标表格；</w:t>
      </w:r>
    </w:p>
    <w:p w14:paraId="6F55779D">
      <w:pPr>
        <w:spacing w:line="400" w:lineRule="exact"/>
        <w:ind w:firstLine="420" w:firstLineChars="200"/>
        <w:rPr>
          <w:rFonts w:hint="eastAsia" w:ascii="宋体" w:hAnsi="宋体"/>
          <w:color w:val="auto"/>
          <w:szCs w:val="21"/>
        </w:rPr>
      </w:pPr>
      <w:r>
        <w:rPr>
          <w:rFonts w:hint="eastAsia" w:ascii="宋体" w:hAnsi="宋体"/>
          <w:color w:val="auto"/>
          <w:szCs w:val="21"/>
        </w:rPr>
        <w:t>（6）有关的法律、法规、规章、国家标准以及招标人或评标委员会认为必要的其他信息和数据。</w:t>
      </w:r>
    </w:p>
    <w:p w14:paraId="1344AB0F">
      <w:pPr>
        <w:pStyle w:val="27"/>
        <w:rPr>
          <w:bCs/>
          <w:color w:val="auto"/>
          <w:sz w:val="21"/>
          <w:szCs w:val="21"/>
        </w:rPr>
      </w:pPr>
      <w:bookmarkStart w:id="496" w:name="_Toc162103217"/>
      <w:bookmarkStart w:id="497" w:name="_Toc150507315"/>
      <w:bookmarkStart w:id="498" w:name="_Toc12269"/>
      <w:bookmarkStart w:id="499" w:name="_Toc183107235"/>
      <w:bookmarkStart w:id="500" w:name="_Toc166326935"/>
      <w:r>
        <w:rPr>
          <w:rFonts w:hint="eastAsia"/>
          <w:bCs/>
          <w:color w:val="auto"/>
          <w:sz w:val="21"/>
          <w:szCs w:val="21"/>
        </w:rPr>
        <w:t>A2.4暗标编号</w:t>
      </w:r>
      <w:bookmarkEnd w:id="496"/>
      <w:bookmarkEnd w:id="497"/>
      <w:bookmarkEnd w:id="498"/>
      <w:bookmarkEnd w:id="499"/>
      <w:bookmarkEnd w:id="500"/>
    </w:p>
    <w:p w14:paraId="15CE3834">
      <w:pPr>
        <w:spacing w:line="400" w:lineRule="exact"/>
        <w:ind w:firstLine="420" w:firstLineChars="200"/>
        <w:rPr>
          <w:rFonts w:hint="eastAsia" w:ascii="宋体" w:hAnsi="宋体"/>
          <w:color w:val="auto"/>
          <w:szCs w:val="21"/>
        </w:rPr>
      </w:pPr>
      <w:r>
        <w:rPr>
          <w:rFonts w:hint="eastAsia" w:ascii="宋体" w:hAnsi="宋体"/>
          <w:color w:val="auto"/>
          <w:szCs w:val="21"/>
        </w:rPr>
        <w:t>第二章“投标人须知”前附表第3.7.4款要求对技术标采用“模块化暗标”评审方式且编制有</w:t>
      </w:r>
      <w:r>
        <w:rPr>
          <w:rFonts w:hint="eastAsia"/>
          <w:color w:val="auto"/>
        </w:rPr>
        <w:t>模块化</w:t>
      </w:r>
      <w:r>
        <w:rPr>
          <w:rFonts w:hint="eastAsia" w:ascii="宋体" w:hAnsi="宋体"/>
          <w:color w:val="auto"/>
          <w:szCs w:val="21"/>
        </w:rPr>
        <w:t>暗标要求的，则在评标工作开始前，就暗标模块编号与投标人的对应关系使用</w:t>
      </w:r>
      <w:r>
        <w:rPr>
          <w:rFonts w:ascii="宋体" w:hAnsi="宋体"/>
          <w:b/>
          <w:color w:val="auto"/>
          <w:szCs w:val="21"/>
        </w:rPr>
        <w:t>附表A-3</w:t>
      </w:r>
      <w:r>
        <w:rPr>
          <w:rFonts w:hint="eastAsia" w:ascii="宋体" w:hAnsi="宋体"/>
          <w:color w:val="auto"/>
          <w:szCs w:val="21"/>
        </w:rPr>
        <w:t>做好暗标编号记录，暗标模块编号按随机方式编排。在评标委员会技术标成员均完成暗标部分评审并对评审结果签字确认和汇总后，招标人方可向评标委员会公布暗标编号。</w:t>
      </w:r>
    </w:p>
    <w:p w14:paraId="6534A04F">
      <w:pPr>
        <w:pStyle w:val="27"/>
        <w:rPr>
          <w:bCs/>
          <w:color w:val="auto"/>
          <w:sz w:val="21"/>
          <w:szCs w:val="21"/>
        </w:rPr>
      </w:pPr>
      <w:bookmarkStart w:id="501" w:name="_Toc30202"/>
      <w:bookmarkStart w:id="502" w:name="_Toc166326936"/>
      <w:bookmarkStart w:id="503" w:name="_Toc162103218"/>
      <w:bookmarkStart w:id="504" w:name="_Toc183107236"/>
      <w:bookmarkStart w:id="505" w:name="_Toc150507316"/>
      <w:r>
        <w:rPr>
          <w:rFonts w:hint="eastAsia"/>
          <w:bCs/>
          <w:color w:val="auto"/>
          <w:sz w:val="21"/>
          <w:szCs w:val="21"/>
        </w:rPr>
        <w:t>A2.5对投标文件进行基础性数据分析和整理工作</w:t>
      </w:r>
      <w:bookmarkEnd w:id="501"/>
      <w:bookmarkEnd w:id="502"/>
      <w:bookmarkEnd w:id="503"/>
      <w:bookmarkEnd w:id="504"/>
      <w:bookmarkEnd w:id="505"/>
    </w:p>
    <w:p w14:paraId="68053330">
      <w:pPr>
        <w:spacing w:line="400" w:lineRule="exact"/>
        <w:ind w:firstLine="420" w:firstLineChars="200"/>
        <w:rPr>
          <w:rFonts w:hint="eastAsia" w:ascii="宋体" w:hAnsi="宋体"/>
          <w:color w:val="auto"/>
          <w:szCs w:val="21"/>
        </w:rPr>
      </w:pPr>
      <w:r>
        <w:rPr>
          <w:rFonts w:hint="eastAsia" w:ascii="宋体" w:hAnsi="宋体"/>
          <w:color w:val="auto"/>
          <w:szCs w:val="21"/>
        </w:rPr>
        <w:t>A2.5.1在不改变投标人投标文件实质性内容的前提下，评标委员会应当借助</w:t>
      </w:r>
      <w:r>
        <w:rPr>
          <w:rFonts w:ascii="宋体" w:hAnsi="宋体"/>
          <w:color w:val="auto"/>
          <w:szCs w:val="21"/>
        </w:rPr>
        <w:t>计算机辅助评标系统</w:t>
      </w:r>
      <w:r>
        <w:rPr>
          <w:rFonts w:hint="eastAsia" w:ascii="宋体" w:hAnsi="宋体"/>
          <w:color w:val="auto"/>
          <w:szCs w:val="21"/>
        </w:rPr>
        <w:t>对投标文件进行基础性数据分析和整理，评标委员会对分析成果审议后，决定需要投标人进行书面澄清、说明或补正的，通过电子招标投标系统（辽宁省工程建设项目数字化开标评标系统）向投标人发出</w:t>
      </w:r>
      <w:r>
        <w:rPr>
          <w:rFonts w:ascii="宋体" w:hAnsi="宋体"/>
          <w:color w:val="auto"/>
          <w:szCs w:val="21"/>
        </w:rPr>
        <w:t>投标文件</w:t>
      </w:r>
      <w:r>
        <w:rPr>
          <w:rFonts w:hint="eastAsia" w:ascii="宋体" w:hAnsi="宋体"/>
          <w:color w:val="auto"/>
          <w:szCs w:val="21"/>
        </w:rPr>
        <w:t>澄清通知。《</w:t>
      </w:r>
      <w:r>
        <w:rPr>
          <w:rFonts w:ascii="宋体" w:hAnsi="宋体"/>
          <w:color w:val="auto"/>
          <w:szCs w:val="21"/>
        </w:rPr>
        <w:t>投标文件</w:t>
      </w:r>
      <w:r>
        <w:rPr>
          <w:rFonts w:hint="eastAsia" w:ascii="宋体" w:hAnsi="宋体"/>
          <w:color w:val="auto"/>
          <w:szCs w:val="21"/>
        </w:rPr>
        <w:t>问题澄清通知》采用投标人须知附表六所提供的格式。</w:t>
      </w:r>
    </w:p>
    <w:p w14:paraId="196AEACE">
      <w:pPr>
        <w:spacing w:line="400" w:lineRule="exact"/>
        <w:ind w:firstLine="420" w:firstLineChars="200"/>
        <w:rPr>
          <w:rFonts w:hint="eastAsia" w:ascii="宋体" w:hAnsi="宋体"/>
          <w:color w:val="auto"/>
          <w:szCs w:val="21"/>
        </w:rPr>
      </w:pPr>
      <w:r>
        <w:rPr>
          <w:rFonts w:hint="eastAsia" w:ascii="宋体" w:hAnsi="宋体"/>
          <w:color w:val="auto"/>
          <w:szCs w:val="21"/>
        </w:rPr>
        <w:t>A2.5.2投标人接到评标委员会发出的</w:t>
      </w:r>
      <w:r>
        <w:rPr>
          <w:rFonts w:ascii="宋体" w:hAnsi="宋体"/>
          <w:color w:val="auto"/>
          <w:szCs w:val="21"/>
        </w:rPr>
        <w:t>投标文件</w:t>
      </w:r>
      <w:r>
        <w:rPr>
          <w:rFonts w:hint="eastAsia" w:ascii="宋体" w:hAnsi="宋体"/>
          <w:color w:val="auto"/>
          <w:szCs w:val="21"/>
        </w:rPr>
        <w:t>澄清</w:t>
      </w:r>
      <w:r>
        <w:rPr>
          <w:rFonts w:hint="eastAsia"/>
          <w:color w:val="auto"/>
        </w:rPr>
        <w:t>通知</w:t>
      </w:r>
      <w:r>
        <w:rPr>
          <w:rFonts w:hint="eastAsia" w:ascii="宋体" w:hAnsi="宋体"/>
          <w:color w:val="auto"/>
          <w:szCs w:val="21"/>
        </w:rPr>
        <w:t>后，</w:t>
      </w:r>
      <w:r>
        <w:rPr>
          <w:rFonts w:ascii="宋体" w:hAnsi="宋体"/>
          <w:color w:val="auto"/>
          <w:szCs w:val="21"/>
        </w:rPr>
        <w:t>应按评标委员会的要求在规定的时间</w:t>
      </w:r>
      <w:r>
        <w:rPr>
          <w:rFonts w:hint="eastAsia" w:ascii="宋体" w:hAnsi="宋体"/>
          <w:color w:val="auto"/>
          <w:szCs w:val="21"/>
        </w:rPr>
        <w:t>内，</w:t>
      </w:r>
      <w:r>
        <w:rPr>
          <w:rFonts w:ascii="宋体" w:hAnsi="宋体"/>
          <w:color w:val="auto"/>
          <w:szCs w:val="21"/>
        </w:rPr>
        <w:t>通过</w:t>
      </w:r>
      <w:r>
        <w:rPr>
          <w:rFonts w:hint="eastAsia" w:ascii="宋体" w:hAnsi="宋体"/>
          <w:color w:val="auto"/>
          <w:szCs w:val="21"/>
        </w:rPr>
        <w:t>电子招标投标系统（辽宁省工程建设项目数字化开标评标系统）提交</w:t>
      </w:r>
      <w:r>
        <w:rPr>
          <w:rFonts w:ascii="宋体" w:hAnsi="宋体"/>
          <w:color w:val="auto"/>
          <w:szCs w:val="21"/>
        </w:rPr>
        <w:t>投标文件</w:t>
      </w:r>
      <w:r>
        <w:rPr>
          <w:rFonts w:hint="eastAsia" w:ascii="宋体" w:hAnsi="宋体"/>
          <w:color w:val="auto"/>
          <w:szCs w:val="21"/>
        </w:rPr>
        <w:t>的</w:t>
      </w:r>
      <w:r>
        <w:rPr>
          <w:rFonts w:ascii="宋体" w:hAnsi="宋体"/>
          <w:color w:val="auto"/>
          <w:szCs w:val="21"/>
        </w:rPr>
        <w:t>澄清</w:t>
      </w:r>
      <w:r>
        <w:rPr>
          <w:rFonts w:hint="eastAsia" w:ascii="宋体" w:hAnsi="宋体"/>
          <w:color w:val="auto"/>
          <w:szCs w:val="21"/>
        </w:rPr>
        <w:t>和相关资料（如有）</w:t>
      </w:r>
      <w:r>
        <w:rPr>
          <w:rFonts w:ascii="宋体" w:hAnsi="宋体"/>
          <w:color w:val="auto"/>
          <w:szCs w:val="21"/>
        </w:rPr>
        <w:t>。</w:t>
      </w:r>
      <w:r>
        <w:rPr>
          <w:rFonts w:hint="eastAsia" w:ascii="宋体" w:hAnsi="宋体"/>
          <w:color w:val="auto"/>
          <w:szCs w:val="21"/>
        </w:rPr>
        <w:t>《</w:t>
      </w:r>
      <w:r>
        <w:rPr>
          <w:rFonts w:ascii="宋体" w:hAnsi="宋体"/>
          <w:color w:val="auto"/>
          <w:szCs w:val="21"/>
        </w:rPr>
        <w:t>投标文件</w:t>
      </w:r>
      <w:r>
        <w:rPr>
          <w:rFonts w:hint="eastAsia" w:ascii="宋体" w:hAnsi="宋体"/>
          <w:color w:val="auto"/>
          <w:szCs w:val="21"/>
        </w:rPr>
        <w:t>问题的澄清》采用投标人须知附表七所提供的格式。</w:t>
      </w:r>
    </w:p>
    <w:p w14:paraId="0897B3DA">
      <w:pPr>
        <w:pStyle w:val="27"/>
        <w:rPr>
          <w:color w:val="auto"/>
        </w:rPr>
      </w:pPr>
      <w:bookmarkStart w:id="506" w:name="_Toc162103219"/>
      <w:bookmarkStart w:id="507" w:name="_Toc166326937"/>
      <w:bookmarkStart w:id="508" w:name="_Toc150507317"/>
      <w:bookmarkStart w:id="509" w:name="_Toc466"/>
      <w:bookmarkStart w:id="510" w:name="_Toc183107237"/>
      <w:r>
        <w:rPr>
          <w:rFonts w:hint="eastAsia"/>
          <w:color w:val="auto"/>
        </w:rPr>
        <w:t>A3</w:t>
      </w:r>
      <w:r>
        <w:rPr>
          <w:color w:val="auto"/>
        </w:rPr>
        <w:t>.</w:t>
      </w:r>
      <w:r>
        <w:rPr>
          <w:rFonts w:hint="eastAsia"/>
          <w:color w:val="auto"/>
        </w:rPr>
        <w:t>初步评审</w:t>
      </w:r>
      <w:bookmarkEnd w:id="506"/>
      <w:bookmarkEnd w:id="507"/>
      <w:bookmarkEnd w:id="508"/>
      <w:bookmarkEnd w:id="509"/>
      <w:bookmarkEnd w:id="510"/>
    </w:p>
    <w:p w14:paraId="2082F706">
      <w:pPr>
        <w:pStyle w:val="27"/>
        <w:rPr>
          <w:bCs/>
          <w:color w:val="auto"/>
          <w:sz w:val="21"/>
          <w:szCs w:val="21"/>
        </w:rPr>
      </w:pPr>
      <w:bookmarkStart w:id="511" w:name="_Toc166326938"/>
      <w:bookmarkStart w:id="512" w:name="_Toc162103220"/>
      <w:bookmarkStart w:id="513" w:name="_Toc183107238"/>
      <w:bookmarkStart w:id="514" w:name="_Toc22142"/>
      <w:bookmarkStart w:id="515" w:name="_Toc150507318"/>
      <w:r>
        <w:rPr>
          <w:rFonts w:hint="eastAsia"/>
          <w:bCs/>
          <w:color w:val="auto"/>
          <w:sz w:val="21"/>
          <w:szCs w:val="21"/>
        </w:rPr>
        <w:t>A3.1形式评审</w:t>
      </w:r>
      <w:bookmarkEnd w:id="511"/>
      <w:bookmarkEnd w:id="512"/>
      <w:bookmarkEnd w:id="513"/>
      <w:bookmarkEnd w:id="514"/>
      <w:bookmarkEnd w:id="515"/>
    </w:p>
    <w:p w14:paraId="076B5268">
      <w:pPr>
        <w:spacing w:line="400" w:lineRule="exact"/>
        <w:ind w:firstLine="420" w:firstLineChars="200"/>
        <w:rPr>
          <w:rFonts w:hint="eastAsia" w:ascii="宋体" w:hAnsi="宋体"/>
          <w:color w:val="auto"/>
          <w:szCs w:val="21"/>
        </w:rPr>
      </w:pPr>
      <w:r>
        <w:rPr>
          <w:rFonts w:hint="eastAsia" w:ascii="宋体" w:hAnsi="宋体"/>
          <w:color w:val="auto"/>
          <w:szCs w:val="21"/>
        </w:rPr>
        <w:t>评标委员会根据评标办法前附表中规定的评审因素和评审标准，对投标人的投标文件进行形式评审，并使用</w:t>
      </w:r>
      <w:r>
        <w:rPr>
          <w:rFonts w:hint="eastAsia" w:ascii="宋体" w:hAnsi="宋体"/>
          <w:b/>
          <w:color w:val="auto"/>
          <w:szCs w:val="21"/>
        </w:rPr>
        <w:t>附表A-4</w:t>
      </w:r>
      <w:r>
        <w:rPr>
          <w:rFonts w:hint="eastAsia" w:ascii="宋体" w:hAnsi="宋体"/>
          <w:color w:val="auto"/>
          <w:szCs w:val="21"/>
        </w:rPr>
        <w:t>记录评审结果。</w:t>
      </w:r>
    </w:p>
    <w:p w14:paraId="090CF466">
      <w:pPr>
        <w:pStyle w:val="27"/>
        <w:rPr>
          <w:bCs/>
          <w:color w:val="auto"/>
          <w:sz w:val="21"/>
          <w:szCs w:val="21"/>
        </w:rPr>
      </w:pPr>
      <w:bookmarkStart w:id="516" w:name="_Toc183107239"/>
      <w:bookmarkStart w:id="517" w:name="_Toc162103221"/>
      <w:bookmarkStart w:id="518" w:name="_Toc150507319"/>
      <w:bookmarkStart w:id="519" w:name="_Toc31055"/>
      <w:bookmarkStart w:id="520" w:name="_Toc166326939"/>
      <w:r>
        <w:rPr>
          <w:rFonts w:hint="eastAsia"/>
          <w:bCs/>
          <w:color w:val="auto"/>
          <w:sz w:val="21"/>
          <w:szCs w:val="21"/>
        </w:rPr>
        <w:t>A3.2资格评审</w:t>
      </w:r>
      <w:bookmarkEnd w:id="516"/>
      <w:bookmarkEnd w:id="517"/>
      <w:bookmarkEnd w:id="518"/>
      <w:bookmarkEnd w:id="519"/>
      <w:bookmarkEnd w:id="520"/>
    </w:p>
    <w:p w14:paraId="1B4ED1F8">
      <w:pPr>
        <w:spacing w:line="400" w:lineRule="exact"/>
        <w:ind w:firstLine="420" w:firstLineChars="200"/>
        <w:rPr>
          <w:rFonts w:hint="eastAsia" w:ascii="宋体" w:hAnsi="宋体"/>
          <w:color w:val="auto"/>
          <w:szCs w:val="21"/>
        </w:rPr>
      </w:pPr>
      <w:r>
        <w:rPr>
          <w:rFonts w:hint="eastAsia" w:ascii="宋体" w:hAnsi="宋体"/>
          <w:color w:val="auto"/>
          <w:szCs w:val="21"/>
        </w:rPr>
        <w:t>评标委员会根据评标办法前附表中规定的评审因素和评审标准，对投标人的投标文件进行资格评审，并使用</w:t>
      </w:r>
      <w:r>
        <w:rPr>
          <w:rFonts w:hint="eastAsia" w:ascii="宋体" w:hAnsi="宋体"/>
          <w:b/>
          <w:color w:val="auto"/>
          <w:szCs w:val="21"/>
        </w:rPr>
        <w:t>附表A-5</w:t>
      </w:r>
      <w:r>
        <w:rPr>
          <w:rFonts w:hint="eastAsia" w:ascii="宋体" w:hAnsi="宋体"/>
          <w:color w:val="auto"/>
          <w:szCs w:val="21"/>
        </w:rPr>
        <w:t>记录评审结果。</w:t>
      </w:r>
    </w:p>
    <w:p w14:paraId="69FCBF6A">
      <w:pPr>
        <w:pStyle w:val="27"/>
        <w:rPr>
          <w:bCs/>
          <w:color w:val="auto"/>
          <w:sz w:val="21"/>
          <w:szCs w:val="21"/>
        </w:rPr>
      </w:pPr>
      <w:bookmarkStart w:id="521" w:name="_Toc21004"/>
      <w:bookmarkStart w:id="522" w:name="_Toc150507320"/>
      <w:bookmarkStart w:id="523" w:name="_Toc166326940"/>
      <w:bookmarkStart w:id="524" w:name="_Toc183107240"/>
      <w:bookmarkStart w:id="525" w:name="_Toc162103222"/>
      <w:r>
        <w:rPr>
          <w:rFonts w:hint="eastAsia"/>
          <w:bCs/>
          <w:color w:val="auto"/>
          <w:sz w:val="21"/>
          <w:szCs w:val="21"/>
        </w:rPr>
        <w:t>A3.3响应性评审</w:t>
      </w:r>
      <w:bookmarkEnd w:id="521"/>
      <w:bookmarkEnd w:id="522"/>
      <w:bookmarkEnd w:id="523"/>
      <w:bookmarkEnd w:id="524"/>
      <w:bookmarkEnd w:id="525"/>
    </w:p>
    <w:p w14:paraId="30D53292">
      <w:pPr>
        <w:spacing w:line="400" w:lineRule="exact"/>
        <w:ind w:firstLine="420" w:firstLineChars="200"/>
        <w:rPr>
          <w:rFonts w:hint="eastAsia" w:ascii="宋体" w:hAnsi="宋体"/>
          <w:color w:val="auto"/>
          <w:szCs w:val="21"/>
        </w:rPr>
      </w:pPr>
      <w:r>
        <w:rPr>
          <w:rFonts w:hint="eastAsia" w:ascii="宋体" w:hAnsi="宋体"/>
          <w:color w:val="auto"/>
          <w:szCs w:val="21"/>
        </w:rPr>
        <w:t>A3.3.1评标委员会根据评标办法前附表中规定的评审因素和评审标准，对投标人的投标文件进行响应性评审，并使用</w:t>
      </w:r>
      <w:r>
        <w:rPr>
          <w:rFonts w:hint="eastAsia" w:ascii="宋体" w:hAnsi="宋体"/>
          <w:b/>
          <w:color w:val="auto"/>
          <w:szCs w:val="21"/>
        </w:rPr>
        <w:t>附表A-6</w:t>
      </w:r>
      <w:r>
        <w:rPr>
          <w:rFonts w:hint="eastAsia" w:ascii="宋体" w:hAnsi="宋体"/>
          <w:color w:val="auto"/>
          <w:szCs w:val="21"/>
        </w:rPr>
        <w:t>记录评审结果。</w:t>
      </w:r>
    </w:p>
    <w:p w14:paraId="1E6A8371">
      <w:pPr>
        <w:spacing w:line="400" w:lineRule="exact"/>
        <w:ind w:firstLine="420" w:firstLineChars="200"/>
        <w:rPr>
          <w:rFonts w:hint="eastAsia" w:ascii="宋体" w:hAnsi="宋体"/>
          <w:color w:val="auto"/>
          <w:szCs w:val="21"/>
        </w:rPr>
      </w:pPr>
      <w:r>
        <w:rPr>
          <w:rFonts w:hint="eastAsia" w:ascii="宋体" w:hAnsi="宋体"/>
          <w:color w:val="auto"/>
          <w:szCs w:val="21"/>
        </w:rPr>
        <w:t>A3.3.2投标人投标价格不得超出（不含等于）按照第二章“投标人须知”前附表载明的最高投标限价（投标人投标价格是指投标函中的大写报价或经投标人确认的算术错误修正后的价格不超过本项目最高投标限价），凡投标人的投标价格超出最高投标限价的，该投标人的投标文件不能通过响应性评审。</w:t>
      </w:r>
    </w:p>
    <w:p w14:paraId="5A71EC22">
      <w:pPr>
        <w:pStyle w:val="27"/>
        <w:rPr>
          <w:bCs/>
          <w:color w:val="auto"/>
          <w:sz w:val="21"/>
          <w:szCs w:val="21"/>
        </w:rPr>
      </w:pPr>
      <w:bookmarkStart w:id="526" w:name="_Toc150507321"/>
      <w:bookmarkStart w:id="527" w:name="_Toc183107241"/>
      <w:bookmarkStart w:id="528" w:name="_Toc162103223"/>
      <w:bookmarkStart w:id="529" w:name="_Toc166326941"/>
      <w:bookmarkStart w:id="530" w:name="_Toc22836"/>
      <w:r>
        <w:rPr>
          <w:rFonts w:hint="eastAsia"/>
          <w:bCs/>
          <w:color w:val="auto"/>
          <w:sz w:val="21"/>
          <w:szCs w:val="21"/>
        </w:rPr>
        <w:t>A3.</w:t>
      </w:r>
      <w:r>
        <w:rPr>
          <w:bCs/>
          <w:color w:val="auto"/>
          <w:sz w:val="21"/>
          <w:szCs w:val="21"/>
        </w:rPr>
        <w:t>4</w:t>
      </w:r>
      <w:r>
        <w:rPr>
          <w:rFonts w:hint="eastAsia"/>
          <w:bCs/>
          <w:color w:val="auto"/>
          <w:sz w:val="21"/>
          <w:szCs w:val="21"/>
        </w:rPr>
        <w:t>算术错误修正</w:t>
      </w:r>
      <w:bookmarkEnd w:id="526"/>
      <w:bookmarkEnd w:id="527"/>
      <w:bookmarkEnd w:id="528"/>
      <w:bookmarkEnd w:id="529"/>
      <w:bookmarkEnd w:id="530"/>
    </w:p>
    <w:p w14:paraId="3231692B">
      <w:pPr>
        <w:spacing w:line="400" w:lineRule="exact"/>
        <w:ind w:firstLine="420" w:firstLineChars="200"/>
        <w:rPr>
          <w:rFonts w:ascii="黑体" w:eastAsia="黑体"/>
          <w:color w:val="auto"/>
          <w:szCs w:val="21"/>
        </w:rPr>
      </w:pPr>
      <w:r>
        <w:rPr>
          <w:rFonts w:hint="eastAsia" w:ascii="宋体" w:hAnsi="宋体"/>
          <w:color w:val="auto"/>
          <w:szCs w:val="21"/>
        </w:rPr>
        <w:t>评标委员会依据本章中规定的相关原则对投标报价中存在的算术错误进行修正，修正的价格经投标人书面确认后具有约束力。投标人不接受修正价格的，或者修正后的投标价格超过最高投标限价的（如有），其投标应当被否决。</w:t>
      </w:r>
    </w:p>
    <w:p w14:paraId="4F8C599D">
      <w:pPr>
        <w:pStyle w:val="27"/>
        <w:rPr>
          <w:bCs/>
          <w:color w:val="auto"/>
          <w:sz w:val="21"/>
          <w:szCs w:val="21"/>
        </w:rPr>
      </w:pPr>
      <w:bookmarkStart w:id="531" w:name="_Toc162103224"/>
      <w:bookmarkStart w:id="532" w:name="_Toc150507322"/>
      <w:bookmarkStart w:id="533" w:name="_Toc20688"/>
      <w:bookmarkStart w:id="534" w:name="_Toc166326942"/>
      <w:bookmarkStart w:id="535" w:name="_Toc183107242"/>
      <w:r>
        <w:rPr>
          <w:rFonts w:hint="eastAsia"/>
          <w:bCs/>
          <w:color w:val="auto"/>
          <w:sz w:val="21"/>
          <w:szCs w:val="21"/>
        </w:rPr>
        <w:t>A3.</w:t>
      </w:r>
      <w:r>
        <w:rPr>
          <w:bCs/>
          <w:color w:val="auto"/>
          <w:sz w:val="21"/>
          <w:szCs w:val="21"/>
        </w:rPr>
        <w:t>5</w:t>
      </w:r>
      <w:r>
        <w:rPr>
          <w:rFonts w:hint="eastAsia"/>
          <w:bCs/>
          <w:color w:val="auto"/>
          <w:sz w:val="21"/>
          <w:szCs w:val="21"/>
        </w:rPr>
        <w:t>判断投标报价是否低于成本</w:t>
      </w:r>
      <w:bookmarkEnd w:id="531"/>
      <w:bookmarkEnd w:id="532"/>
      <w:bookmarkEnd w:id="533"/>
      <w:bookmarkEnd w:id="534"/>
      <w:bookmarkEnd w:id="535"/>
    </w:p>
    <w:p w14:paraId="053DA594">
      <w:pPr>
        <w:spacing w:line="400" w:lineRule="exact"/>
        <w:ind w:firstLine="420" w:firstLineChars="200"/>
        <w:rPr>
          <w:rFonts w:hint="eastAsia" w:ascii="宋体" w:hAnsi="宋体"/>
          <w:color w:val="auto"/>
          <w:szCs w:val="21"/>
        </w:rPr>
      </w:pPr>
      <w:r>
        <w:rPr>
          <w:rFonts w:hint="eastAsia" w:ascii="宋体" w:hAnsi="宋体"/>
          <w:color w:val="auto"/>
          <w:szCs w:val="21"/>
        </w:rPr>
        <w:t>根据本章第3.1.4项的规定，评标委员会根据评审程序、标准和方法，判断投标报价是否低于其成本。评标委员会认定投标人以低于成本竞标的，其投标应当被否决。并使用</w:t>
      </w:r>
      <w:r>
        <w:rPr>
          <w:rFonts w:hint="eastAsia" w:ascii="宋体" w:hAnsi="宋体"/>
          <w:b/>
          <w:color w:val="auto"/>
          <w:szCs w:val="21"/>
        </w:rPr>
        <w:t>附表</w:t>
      </w:r>
      <w:r>
        <w:rPr>
          <w:rFonts w:ascii="宋体" w:hAnsi="宋体"/>
          <w:b/>
          <w:color w:val="auto"/>
          <w:szCs w:val="21"/>
        </w:rPr>
        <w:t>C</w:t>
      </w:r>
      <w:r>
        <w:rPr>
          <w:rFonts w:hint="eastAsia" w:ascii="宋体" w:hAnsi="宋体"/>
          <w:b/>
          <w:color w:val="auto"/>
          <w:szCs w:val="21"/>
        </w:rPr>
        <w:t>-1</w:t>
      </w:r>
      <w:r>
        <w:rPr>
          <w:rFonts w:hint="eastAsia" w:ascii="宋体" w:hAnsi="宋体"/>
          <w:color w:val="auto"/>
          <w:szCs w:val="21"/>
        </w:rPr>
        <w:t>记录评审结果</w:t>
      </w:r>
    </w:p>
    <w:p w14:paraId="293C088F">
      <w:pPr>
        <w:pStyle w:val="27"/>
        <w:rPr>
          <w:bCs/>
          <w:color w:val="auto"/>
          <w:sz w:val="21"/>
          <w:szCs w:val="21"/>
        </w:rPr>
      </w:pPr>
      <w:bookmarkStart w:id="536" w:name="_Toc166326943"/>
      <w:bookmarkStart w:id="537" w:name="_Toc183107243"/>
      <w:bookmarkStart w:id="538" w:name="_Toc150507323"/>
      <w:bookmarkStart w:id="539" w:name="_Toc162103225"/>
      <w:bookmarkStart w:id="540" w:name="_Toc16175"/>
      <w:r>
        <w:rPr>
          <w:rFonts w:hint="eastAsia"/>
          <w:bCs/>
          <w:color w:val="auto"/>
          <w:sz w:val="21"/>
          <w:szCs w:val="21"/>
        </w:rPr>
        <w:t>A3.</w:t>
      </w:r>
      <w:r>
        <w:rPr>
          <w:bCs/>
          <w:color w:val="auto"/>
          <w:sz w:val="21"/>
          <w:szCs w:val="21"/>
        </w:rPr>
        <w:t>6</w:t>
      </w:r>
      <w:r>
        <w:rPr>
          <w:rFonts w:hint="eastAsia"/>
          <w:bCs/>
          <w:color w:val="auto"/>
          <w:sz w:val="21"/>
          <w:szCs w:val="21"/>
        </w:rPr>
        <w:t xml:space="preserve"> 判断投标是否为应当被否决</w:t>
      </w:r>
      <w:bookmarkEnd w:id="536"/>
      <w:bookmarkEnd w:id="537"/>
      <w:bookmarkEnd w:id="538"/>
      <w:bookmarkEnd w:id="539"/>
      <w:bookmarkEnd w:id="540"/>
    </w:p>
    <w:p w14:paraId="02BD6381">
      <w:pPr>
        <w:spacing w:line="400" w:lineRule="exact"/>
        <w:ind w:firstLine="420" w:firstLineChars="200"/>
        <w:rPr>
          <w:rFonts w:hint="eastAsia" w:ascii="宋体" w:hAnsi="宋体"/>
          <w:color w:val="auto"/>
          <w:szCs w:val="21"/>
        </w:rPr>
      </w:pPr>
      <w:r>
        <w:rPr>
          <w:rFonts w:hint="eastAsia" w:ascii="宋体" w:hAnsi="宋体"/>
          <w:color w:val="auto"/>
          <w:szCs w:val="21"/>
        </w:rPr>
        <w:t>A3.</w:t>
      </w:r>
      <w:r>
        <w:rPr>
          <w:rFonts w:ascii="宋体" w:hAnsi="宋体"/>
          <w:color w:val="auto"/>
          <w:szCs w:val="21"/>
        </w:rPr>
        <w:t>6</w:t>
      </w:r>
      <w:r>
        <w:rPr>
          <w:rFonts w:hint="eastAsia" w:ascii="宋体" w:hAnsi="宋体"/>
          <w:color w:val="auto"/>
          <w:szCs w:val="21"/>
        </w:rPr>
        <w:t>.1判断投标人的投标是否应当被</w:t>
      </w:r>
      <w:r>
        <w:rPr>
          <w:rFonts w:hint="eastAsia"/>
          <w:color w:val="auto"/>
        </w:rPr>
        <w:t>否决</w:t>
      </w:r>
      <w:r>
        <w:rPr>
          <w:rFonts w:hint="eastAsia" w:ascii="宋体" w:hAnsi="宋体"/>
          <w:color w:val="auto"/>
          <w:szCs w:val="21"/>
        </w:rPr>
        <w:t>的全部条件（包括本章第3.1.2项、第3.1.3项中规定的条件），在本章前附表中集中列示。并使用</w:t>
      </w:r>
      <w:r>
        <w:rPr>
          <w:rFonts w:hint="eastAsia" w:ascii="宋体" w:hAnsi="宋体"/>
          <w:b/>
          <w:color w:val="auto"/>
          <w:szCs w:val="21"/>
        </w:rPr>
        <w:t>附表A-9</w:t>
      </w:r>
      <w:r>
        <w:rPr>
          <w:rFonts w:hint="eastAsia" w:ascii="宋体" w:hAnsi="宋体"/>
          <w:color w:val="auto"/>
          <w:szCs w:val="21"/>
        </w:rPr>
        <w:t>记录评审结果。</w:t>
      </w:r>
    </w:p>
    <w:p w14:paraId="10D59545">
      <w:pPr>
        <w:spacing w:line="400" w:lineRule="exact"/>
        <w:ind w:firstLine="420" w:firstLineChars="200"/>
        <w:rPr>
          <w:rFonts w:hint="eastAsia" w:ascii="宋体" w:hAnsi="宋体"/>
          <w:color w:val="auto"/>
          <w:szCs w:val="21"/>
        </w:rPr>
      </w:pPr>
      <w:r>
        <w:rPr>
          <w:rFonts w:hint="eastAsia" w:ascii="宋体" w:hAnsi="宋体"/>
          <w:color w:val="auto"/>
          <w:szCs w:val="21"/>
        </w:rPr>
        <w:t>A3.</w:t>
      </w:r>
      <w:r>
        <w:rPr>
          <w:rFonts w:ascii="宋体" w:hAnsi="宋体"/>
          <w:color w:val="auto"/>
          <w:szCs w:val="21"/>
        </w:rPr>
        <w:t>6</w:t>
      </w:r>
      <w:r>
        <w:rPr>
          <w:rFonts w:hint="eastAsia" w:ascii="宋体" w:hAnsi="宋体"/>
          <w:color w:val="auto"/>
          <w:szCs w:val="21"/>
        </w:rPr>
        <w:t>.2本章</w:t>
      </w:r>
      <w:r>
        <w:rPr>
          <w:rFonts w:hint="eastAsia" w:ascii="宋体" w:hAnsi="宋体"/>
          <w:b/>
          <w:color w:val="auto"/>
          <w:szCs w:val="21"/>
        </w:rPr>
        <w:t>附件B</w:t>
      </w:r>
      <w:r>
        <w:rPr>
          <w:rFonts w:hint="eastAsia" w:ascii="宋体" w:hAnsi="宋体"/>
          <w:color w:val="auto"/>
          <w:szCs w:val="21"/>
        </w:rPr>
        <w:t>集中列示的否决投标的条件不应与第二章“投标人须知”和本章前附表和正文部分包括的否决投标的条件抵触，</w:t>
      </w:r>
      <w:r>
        <w:rPr>
          <w:rFonts w:hint="eastAsia"/>
          <w:color w:val="auto"/>
        </w:rPr>
        <w:t>如果</w:t>
      </w:r>
      <w:r>
        <w:rPr>
          <w:rFonts w:hint="eastAsia" w:ascii="宋体" w:hAnsi="宋体"/>
          <w:color w:val="auto"/>
          <w:szCs w:val="21"/>
        </w:rPr>
        <w:t>出现相互矛盾的情况，以本章前附表和正文部分的规定为准。</w:t>
      </w:r>
    </w:p>
    <w:p w14:paraId="00C5B199">
      <w:pPr>
        <w:spacing w:line="400" w:lineRule="exact"/>
        <w:ind w:firstLine="420" w:firstLineChars="200"/>
        <w:rPr>
          <w:rFonts w:hint="eastAsia" w:ascii="宋体" w:hAnsi="宋体"/>
          <w:color w:val="auto"/>
          <w:szCs w:val="21"/>
        </w:rPr>
      </w:pPr>
      <w:r>
        <w:rPr>
          <w:rFonts w:hint="eastAsia" w:ascii="宋体" w:hAnsi="宋体"/>
          <w:color w:val="auto"/>
          <w:szCs w:val="21"/>
        </w:rPr>
        <w:t>A3.</w:t>
      </w:r>
      <w:r>
        <w:rPr>
          <w:rFonts w:ascii="宋体" w:hAnsi="宋体"/>
          <w:color w:val="auto"/>
          <w:szCs w:val="21"/>
        </w:rPr>
        <w:t>6</w:t>
      </w:r>
      <w:r>
        <w:rPr>
          <w:rFonts w:hint="eastAsia" w:ascii="宋体" w:hAnsi="宋体"/>
          <w:color w:val="auto"/>
          <w:szCs w:val="21"/>
        </w:rPr>
        <w:t>.3评标委员会在评标（包括初步评审和详细评审）过程中，依据本章前附表和正文部分中规定的否决投标的条件判断投标人的投标是否为应当被否决。</w:t>
      </w:r>
    </w:p>
    <w:p w14:paraId="63DECBF0">
      <w:pPr>
        <w:pStyle w:val="27"/>
        <w:rPr>
          <w:bCs/>
          <w:color w:val="auto"/>
          <w:sz w:val="21"/>
          <w:szCs w:val="21"/>
        </w:rPr>
      </w:pPr>
      <w:bookmarkStart w:id="541" w:name="_Toc166326944"/>
      <w:bookmarkStart w:id="542" w:name="_Toc162103226"/>
      <w:bookmarkStart w:id="543" w:name="_Toc150507324"/>
      <w:bookmarkStart w:id="544" w:name="_Toc16169"/>
      <w:bookmarkStart w:id="545" w:name="_Toc183107244"/>
      <w:r>
        <w:rPr>
          <w:rFonts w:hint="eastAsia"/>
          <w:bCs/>
          <w:color w:val="auto"/>
          <w:sz w:val="21"/>
          <w:szCs w:val="21"/>
        </w:rPr>
        <w:t>A3.</w:t>
      </w:r>
      <w:r>
        <w:rPr>
          <w:bCs/>
          <w:color w:val="auto"/>
          <w:sz w:val="21"/>
          <w:szCs w:val="21"/>
        </w:rPr>
        <w:t>7</w:t>
      </w:r>
      <w:r>
        <w:rPr>
          <w:rFonts w:hint="eastAsia"/>
          <w:bCs/>
          <w:color w:val="auto"/>
          <w:sz w:val="21"/>
          <w:szCs w:val="21"/>
        </w:rPr>
        <w:t xml:space="preserve"> 澄清、说明或补正</w:t>
      </w:r>
      <w:bookmarkEnd w:id="541"/>
      <w:bookmarkEnd w:id="542"/>
      <w:bookmarkEnd w:id="543"/>
      <w:bookmarkEnd w:id="544"/>
      <w:bookmarkEnd w:id="545"/>
    </w:p>
    <w:p w14:paraId="3EA35E59">
      <w:pPr>
        <w:spacing w:line="400" w:lineRule="exact"/>
        <w:ind w:firstLine="420" w:firstLineChars="200"/>
        <w:rPr>
          <w:rFonts w:hint="eastAsia" w:ascii="宋体" w:hAnsi="宋体"/>
          <w:color w:val="auto"/>
          <w:szCs w:val="21"/>
        </w:rPr>
      </w:pPr>
      <w:r>
        <w:rPr>
          <w:rFonts w:hint="eastAsia" w:ascii="宋体" w:hAnsi="宋体"/>
          <w:color w:val="auto"/>
          <w:szCs w:val="21"/>
        </w:rPr>
        <w:t>在初步评审过程中，评标委员会应当就投标文件中</w:t>
      </w:r>
      <w:r>
        <w:rPr>
          <w:rFonts w:hint="eastAsia"/>
          <w:color w:val="auto"/>
        </w:rPr>
        <w:t>含义不明确、对同类问题表述不一致或者有明显文字和计算错误的内容</w:t>
      </w:r>
      <w:r>
        <w:rPr>
          <w:rFonts w:hint="eastAsia" w:ascii="宋体" w:hAnsi="宋体"/>
          <w:color w:val="auto"/>
          <w:szCs w:val="21"/>
        </w:rPr>
        <w:t>要求投标人进行澄清、说明或者补正。投标人对此以书面形式予以澄清、说明或者补正。澄清、说明或补正根据本章第3.3款的规定执行。《投标文件问题澄清通知》及《投标文件问题的澄清》采用投标人须知附表六与投标人须知附表七所提供的格式，并</w:t>
      </w:r>
      <w:r>
        <w:rPr>
          <w:rFonts w:hint="eastAsia"/>
          <w:color w:val="auto"/>
        </w:rPr>
        <w:t>通过电子招标投标系统</w:t>
      </w:r>
      <w:r>
        <w:rPr>
          <w:rFonts w:hint="eastAsia" w:ascii="宋体" w:hAnsi="宋体"/>
          <w:color w:val="auto"/>
          <w:szCs w:val="21"/>
        </w:rPr>
        <w:t>（辽宁省工程建设项目数字化开标评标系统）</w:t>
      </w:r>
      <w:r>
        <w:rPr>
          <w:rFonts w:hint="eastAsia"/>
          <w:color w:val="auto"/>
        </w:rPr>
        <w:t>以书面形式进行。</w:t>
      </w:r>
    </w:p>
    <w:p w14:paraId="78EE9D96">
      <w:pPr>
        <w:pStyle w:val="27"/>
        <w:rPr>
          <w:color w:val="auto"/>
        </w:rPr>
      </w:pPr>
      <w:bookmarkStart w:id="546" w:name="_Toc150507325"/>
      <w:bookmarkStart w:id="547" w:name="_Toc183107245"/>
      <w:bookmarkStart w:id="548" w:name="_Toc166326945"/>
      <w:bookmarkStart w:id="549" w:name="_Toc162103227"/>
      <w:bookmarkStart w:id="550" w:name="_Toc15845"/>
      <w:r>
        <w:rPr>
          <w:rFonts w:hint="eastAsia"/>
          <w:color w:val="auto"/>
        </w:rPr>
        <w:t>A4.详细评审</w:t>
      </w:r>
      <w:bookmarkEnd w:id="546"/>
      <w:bookmarkEnd w:id="547"/>
      <w:bookmarkEnd w:id="548"/>
      <w:bookmarkEnd w:id="549"/>
      <w:bookmarkEnd w:id="550"/>
    </w:p>
    <w:p w14:paraId="3B903AE1">
      <w:pPr>
        <w:spacing w:line="400" w:lineRule="exact"/>
        <w:ind w:firstLine="420" w:firstLineChars="200"/>
        <w:rPr>
          <w:rFonts w:hint="eastAsia" w:ascii="宋体" w:hAnsi="宋体"/>
          <w:color w:val="auto"/>
          <w:szCs w:val="21"/>
        </w:rPr>
      </w:pPr>
      <w:bookmarkStart w:id="551" w:name="_Toc162103228"/>
      <w:bookmarkStart w:id="552" w:name="_Toc150507326"/>
      <w:r>
        <w:rPr>
          <w:rFonts w:hint="eastAsia" w:ascii="宋体" w:hAnsi="宋体"/>
          <w:color w:val="auto"/>
          <w:szCs w:val="21"/>
        </w:rPr>
        <w:t>只有通过了初步评审、被判定为合格的投标方可进入详细评审。初步评审通过后，使用</w:t>
      </w:r>
      <w:r>
        <w:rPr>
          <w:rFonts w:hint="eastAsia" w:ascii="宋体" w:hAnsi="宋体"/>
          <w:b/>
          <w:color w:val="auto"/>
          <w:szCs w:val="21"/>
        </w:rPr>
        <w:t>附表A-</w:t>
      </w:r>
      <w:r>
        <w:rPr>
          <w:rFonts w:ascii="宋体" w:hAnsi="宋体"/>
          <w:b/>
          <w:color w:val="auto"/>
          <w:szCs w:val="21"/>
        </w:rPr>
        <w:t>8</w:t>
      </w:r>
      <w:r>
        <w:rPr>
          <w:rFonts w:hint="eastAsia" w:ascii="宋体" w:hAnsi="宋体"/>
          <w:color w:val="auto"/>
          <w:szCs w:val="21"/>
        </w:rPr>
        <w:t>记录初步评审结果</w:t>
      </w:r>
      <w:r>
        <w:rPr>
          <w:rFonts w:hint="eastAsia" w:ascii="黑体" w:hAnsi="宋体" w:eastAsia="黑体"/>
          <w:color w:val="auto"/>
          <w:szCs w:val="21"/>
        </w:rPr>
        <w:t>。</w:t>
      </w:r>
    </w:p>
    <w:p w14:paraId="70EB6446">
      <w:pPr>
        <w:pStyle w:val="27"/>
        <w:rPr>
          <w:bCs/>
          <w:color w:val="auto"/>
          <w:sz w:val="21"/>
          <w:szCs w:val="21"/>
        </w:rPr>
      </w:pPr>
      <w:bookmarkStart w:id="553" w:name="_Toc26083"/>
      <w:bookmarkStart w:id="554" w:name="_Toc183107246"/>
      <w:bookmarkStart w:id="555" w:name="_Toc166326946"/>
      <w:r>
        <w:rPr>
          <w:rFonts w:hint="eastAsia"/>
          <w:bCs/>
          <w:color w:val="auto"/>
          <w:sz w:val="21"/>
          <w:szCs w:val="21"/>
        </w:rPr>
        <w:t>A4.1详细评审的程序</w:t>
      </w:r>
      <w:bookmarkEnd w:id="551"/>
      <w:bookmarkEnd w:id="552"/>
      <w:bookmarkEnd w:id="553"/>
      <w:bookmarkEnd w:id="554"/>
      <w:bookmarkEnd w:id="555"/>
    </w:p>
    <w:p w14:paraId="0F790AC2">
      <w:pPr>
        <w:spacing w:line="400" w:lineRule="exact"/>
        <w:ind w:firstLine="420" w:firstLineChars="200"/>
        <w:rPr>
          <w:rFonts w:hint="eastAsia" w:ascii="宋体" w:hAnsi="宋体"/>
          <w:color w:val="auto"/>
          <w:szCs w:val="21"/>
        </w:rPr>
      </w:pPr>
      <w:r>
        <w:rPr>
          <w:rFonts w:hint="eastAsia" w:ascii="宋体" w:hAnsi="宋体"/>
          <w:color w:val="auto"/>
          <w:szCs w:val="21"/>
        </w:rPr>
        <w:t>评标委员会按照本章第3.2款中规定的程序进行详细评审：</w:t>
      </w:r>
    </w:p>
    <w:p w14:paraId="3BFD34AB">
      <w:pPr>
        <w:spacing w:line="400" w:lineRule="exact"/>
        <w:ind w:firstLine="420" w:firstLineChars="200"/>
        <w:rPr>
          <w:rFonts w:hint="eastAsia" w:ascii="宋体" w:hAnsi="宋体"/>
          <w:color w:val="auto"/>
          <w:szCs w:val="21"/>
        </w:rPr>
      </w:pPr>
      <w:r>
        <w:rPr>
          <w:rFonts w:hint="eastAsia" w:ascii="宋体" w:hAnsi="宋体"/>
          <w:color w:val="auto"/>
          <w:szCs w:val="21"/>
        </w:rPr>
        <w:t>（1）经济标评审和评分；</w:t>
      </w:r>
    </w:p>
    <w:p w14:paraId="54BF34E6">
      <w:pPr>
        <w:spacing w:line="400" w:lineRule="exact"/>
        <w:ind w:firstLine="420" w:firstLineChars="200"/>
        <w:rPr>
          <w:rFonts w:hint="eastAsia" w:ascii="宋体" w:hAnsi="宋体"/>
          <w:color w:val="auto"/>
          <w:szCs w:val="21"/>
        </w:rPr>
      </w:pPr>
      <w:r>
        <w:rPr>
          <w:rFonts w:hint="eastAsia" w:ascii="宋体" w:hAnsi="宋体"/>
          <w:color w:val="auto"/>
          <w:szCs w:val="21"/>
        </w:rPr>
        <w:t xml:space="preserve">（2）技术标评审和评分； </w:t>
      </w:r>
    </w:p>
    <w:p w14:paraId="05EF4312">
      <w:pPr>
        <w:spacing w:line="400" w:lineRule="exact"/>
        <w:ind w:firstLine="420" w:firstLineChars="200"/>
        <w:rPr>
          <w:rFonts w:hint="eastAsia" w:ascii="宋体" w:hAnsi="宋体"/>
          <w:color w:val="auto"/>
          <w:szCs w:val="21"/>
        </w:rPr>
      </w:pPr>
      <w:r>
        <w:rPr>
          <w:rFonts w:hint="eastAsia" w:ascii="宋体" w:hAnsi="宋体"/>
          <w:color w:val="auto"/>
          <w:szCs w:val="21"/>
        </w:rPr>
        <w:t>（3）资信标评审和评分；</w:t>
      </w:r>
    </w:p>
    <w:p w14:paraId="499CEA54">
      <w:pPr>
        <w:spacing w:line="400" w:lineRule="exact"/>
        <w:ind w:firstLine="420" w:firstLineChars="200"/>
        <w:rPr>
          <w:rFonts w:hint="eastAsia" w:ascii="宋体" w:hAnsi="宋体"/>
          <w:color w:val="auto"/>
          <w:szCs w:val="21"/>
        </w:rPr>
      </w:pPr>
      <w:r>
        <w:rPr>
          <w:rFonts w:hint="eastAsia" w:ascii="宋体" w:hAnsi="宋体"/>
          <w:color w:val="auto"/>
          <w:szCs w:val="21"/>
        </w:rPr>
        <w:t>（4）其他因素评审和</w:t>
      </w:r>
      <w:r>
        <w:rPr>
          <w:rFonts w:hint="eastAsia"/>
          <w:color w:val="auto"/>
        </w:rPr>
        <w:t>评分</w:t>
      </w:r>
      <w:r>
        <w:rPr>
          <w:rFonts w:hint="eastAsia" w:ascii="宋体" w:hAnsi="宋体"/>
          <w:color w:val="auto"/>
          <w:szCs w:val="21"/>
        </w:rPr>
        <w:t>；</w:t>
      </w:r>
    </w:p>
    <w:p w14:paraId="56460EBC">
      <w:pPr>
        <w:spacing w:line="400" w:lineRule="exact"/>
        <w:ind w:firstLine="420" w:firstLineChars="200"/>
        <w:rPr>
          <w:rFonts w:hint="eastAsia" w:ascii="宋体" w:hAnsi="宋体"/>
          <w:color w:val="auto"/>
          <w:szCs w:val="21"/>
        </w:rPr>
      </w:pPr>
      <w:r>
        <w:rPr>
          <w:rFonts w:hint="eastAsia" w:ascii="宋体" w:hAnsi="宋体"/>
          <w:color w:val="auto"/>
          <w:szCs w:val="21"/>
        </w:rPr>
        <w:t>（5）汇总评分结果。</w:t>
      </w:r>
    </w:p>
    <w:p w14:paraId="4C04D6D8">
      <w:pPr>
        <w:pStyle w:val="27"/>
        <w:rPr>
          <w:bCs/>
          <w:color w:val="auto"/>
          <w:sz w:val="21"/>
          <w:szCs w:val="21"/>
        </w:rPr>
      </w:pPr>
      <w:bookmarkStart w:id="556" w:name="_Toc150507327"/>
      <w:bookmarkStart w:id="557" w:name="_Toc166326947"/>
      <w:bookmarkStart w:id="558" w:name="_Toc183107247"/>
      <w:bookmarkStart w:id="559" w:name="_Toc24774"/>
      <w:bookmarkStart w:id="560" w:name="_Toc162103229"/>
      <w:r>
        <w:rPr>
          <w:rFonts w:hint="eastAsia"/>
          <w:bCs/>
          <w:color w:val="auto"/>
          <w:sz w:val="21"/>
          <w:szCs w:val="21"/>
        </w:rPr>
        <w:t>A4.2经济标评审和评分</w:t>
      </w:r>
      <w:bookmarkEnd w:id="556"/>
      <w:bookmarkEnd w:id="557"/>
      <w:bookmarkEnd w:id="558"/>
      <w:bookmarkEnd w:id="559"/>
      <w:bookmarkEnd w:id="560"/>
    </w:p>
    <w:p w14:paraId="2D39CCB2">
      <w:pPr>
        <w:spacing w:line="400" w:lineRule="exact"/>
        <w:ind w:firstLine="420" w:firstLineChars="200"/>
        <w:rPr>
          <w:rFonts w:hint="eastAsia" w:ascii="宋体" w:hAnsi="宋体"/>
          <w:color w:val="auto"/>
          <w:szCs w:val="21"/>
        </w:rPr>
      </w:pPr>
      <w:r>
        <w:rPr>
          <w:rFonts w:hint="eastAsia" w:ascii="宋体" w:hAnsi="宋体"/>
          <w:color w:val="auto"/>
          <w:szCs w:val="21"/>
        </w:rPr>
        <w:t>A4.2.1按照评标办法前附表中规定的方法计算各投标人的“评标价”。</w:t>
      </w:r>
    </w:p>
    <w:p w14:paraId="0DD81B90">
      <w:pPr>
        <w:spacing w:line="400" w:lineRule="exact"/>
        <w:ind w:firstLine="420" w:firstLineChars="200"/>
        <w:rPr>
          <w:rFonts w:hint="eastAsia" w:ascii="宋体" w:hAnsi="宋体"/>
          <w:color w:val="auto"/>
          <w:szCs w:val="21"/>
        </w:rPr>
      </w:pPr>
      <w:r>
        <w:rPr>
          <w:rFonts w:hint="eastAsia" w:ascii="宋体" w:hAnsi="宋体"/>
          <w:color w:val="auto"/>
          <w:szCs w:val="21"/>
        </w:rPr>
        <w:t>A4.2.2按照评标办法前附表中</w:t>
      </w:r>
      <w:r>
        <w:rPr>
          <w:rFonts w:hint="eastAsia"/>
          <w:color w:val="auto"/>
        </w:rPr>
        <w:t>规定</w:t>
      </w:r>
      <w:r>
        <w:rPr>
          <w:rFonts w:hint="eastAsia" w:ascii="宋体" w:hAnsi="宋体"/>
          <w:color w:val="auto"/>
          <w:szCs w:val="21"/>
        </w:rPr>
        <w:t>的方法计算“评标基准价”。</w:t>
      </w:r>
    </w:p>
    <w:p w14:paraId="55EEF884">
      <w:pPr>
        <w:spacing w:line="400" w:lineRule="exact"/>
        <w:ind w:firstLine="420" w:firstLineChars="200"/>
        <w:rPr>
          <w:rFonts w:hint="eastAsia" w:ascii="宋体" w:hAnsi="宋体"/>
          <w:color w:val="auto"/>
          <w:szCs w:val="21"/>
        </w:rPr>
      </w:pPr>
      <w:r>
        <w:rPr>
          <w:rFonts w:hint="eastAsia" w:ascii="宋体" w:hAnsi="宋体"/>
          <w:color w:val="auto"/>
          <w:szCs w:val="21"/>
        </w:rPr>
        <w:t>A4.2.</w:t>
      </w:r>
      <w:r>
        <w:rPr>
          <w:rFonts w:ascii="宋体" w:hAnsi="宋体"/>
          <w:color w:val="auto"/>
          <w:szCs w:val="21"/>
        </w:rPr>
        <w:t>3</w:t>
      </w:r>
      <w:r>
        <w:rPr>
          <w:rFonts w:hint="eastAsia" w:ascii="宋体" w:hAnsi="宋体"/>
          <w:color w:val="auto"/>
          <w:szCs w:val="21"/>
        </w:rPr>
        <w:t>按照评标办法前附表中</w:t>
      </w:r>
      <w:r>
        <w:rPr>
          <w:rFonts w:hint="eastAsia"/>
          <w:color w:val="auto"/>
        </w:rPr>
        <w:t>规定</w:t>
      </w:r>
      <w:r>
        <w:rPr>
          <w:rFonts w:hint="eastAsia" w:ascii="宋体" w:hAnsi="宋体"/>
          <w:color w:val="auto"/>
          <w:szCs w:val="21"/>
        </w:rPr>
        <w:t>的方法，计算各个已通过了初步评审的投标报价的“偏差率”。</w:t>
      </w:r>
    </w:p>
    <w:p w14:paraId="07356272">
      <w:pPr>
        <w:spacing w:line="400" w:lineRule="exact"/>
        <w:ind w:firstLine="420" w:firstLineChars="200"/>
        <w:rPr>
          <w:rFonts w:hint="eastAsia" w:ascii="宋体" w:hAnsi="宋体"/>
          <w:color w:val="auto"/>
          <w:szCs w:val="21"/>
        </w:rPr>
      </w:pPr>
      <w:r>
        <w:rPr>
          <w:rFonts w:hint="eastAsia" w:ascii="宋体" w:hAnsi="宋体"/>
          <w:color w:val="auto"/>
          <w:szCs w:val="21"/>
        </w:rPr>
        <w:t>A4.2.</w:t>
      </w:r>
      <w:r>
        <w:rPr>
          <w:rFonts w:ascii="宋体" w:hAnsi="宋体"/>
          <w:color w:val="auto"/>
          <w:szCs w:val="21"/>
        </w:rPr>
        <w:t>4</w:t>
      </w:r>
      <w:r>
        <w:rPr>
          <w:rFonts w:hint="eastAsia" w:ascii="宋体" w:hAnsi="宋体"/>
          <w:color w:val="auto"/>
          <w:szCs w:val="21"/>
        </w:rPr>
        <w:t>按照评标办法前附表中规定的评分标准，对照投标报价的偏差率，分别对各个投标报价进行评分，使用</w:t>
      </w:r>
      <w:r>
        <w:rPr>
          <w:rFonts w:hint="eastAsia" w:ascii="宋体" w:hAnsi="宋体"/>
          <w:b/>
          <w:color w:val="auto"/>
          <w:szCs w:val="21"/>
        </w:rPr>
        <w:t>附表A-</w:t>
      </w:r>
      <w:r>
        <w:rPr>
          <w:rFonts w:ascii="宋体" w:hAnsi="宋体"/>
          <w:b/>
          <w:color w:val="auto"/>
          <w:szCs w:val="21"/>
        </w:rPr>
        <w:t>10</w:t>
      </w:r>
      <w:r>
        <w:rPr>
          <w:rFonts w:hint="eastAsia" w:ascii="宋体" w:hAnsi="宋体"/>
          <w:color w:val="auto"/>
          <w:szCs w:val="21"/>
        </w:rPr>
        <w:t>记录对经济标的评分结果，经济标的得分记录为</w:t>
      </w:r>
      <w:r>
        <w:rPr>
          <w:rFonts w:hint="eastAsia" w:ascii="宋体" w:hAnsi="宋体"/>
          <w:b/>
          <w:color w:val="auto"/>
          <w:szCs w:val="21"/>
        </w:rPr>
        <w:t>A</w:t>
      </w:r>
      <w:r>
        <w:rPr>
          <w:rFonts w:hint="eastAsia" w:ascii="宋体" w:hAnsi="宋体"/>
          <w:color w:val="auto"/>
          <w:szCs w:val="21"/>
        </w:rPr>
        <w:t>。</w:t>
      </w:r>
    </w:p>
    <w:p w14:paraId="2238B365">
      <w:pPr>
        <w:pStyle w:val="27"/>
        <w:rPr>
          <w:bCs/>
          <w:color w:val="auto"/>
          <w:sz w:val="21"/>
          <w:szCs w:val="21"/>
        </w:rPr>
      </w:pPr>
      <w:bookmarkStart w:id="561" w:name="_Toc150507328"/>
      <w:bookmarkStart w:id="562" w:name="_Toc14647"/>
      <w:bookmarkStart w:id="563" w:name="_Toc166326948"/>
      <w:bookmarkStart w:id="564" w:name="_Toc162103230"/>
      <w:bookmarkStart w:id="565" w:name="_Toc183107248"/>
      <w:r>
        <w:rPr>
          <w:rFonts w:hint="eastAsia"/>
          <w:bCs/>
          <w:color w:val="auto"/>
          <w:sz w:val="21"/>
          <w:szCs w:val="21"/>
        </w:rPr>
        <w:t>A4.3 技术标评审和评分</w:t>
      </w:r>
      <w:bookmarkEnd w:id="561"/>
      <w:bookmarkEnd w:id="562"/>
      <w:bookmarkEnd w:id="563"/>
      <w:bookmarkEnd w:id="564"/>
      <w:bookmarkEnd w:id="565"/>
    </w:p>
    <w:p w14:paraId="7798E334">
      <w:pPr>
        <w:spacing w:line="400" w:lineRule="exact"/>
        <w:ind w:firstLine="420" w:firstLineChars="200"/>
        <w:rPr>
          <w:rFonts w:hint="eastAsia" w:ascii="宋体" w:hAnsi="宋体"/>
          <w:color w:val="auto"/>
          <w:szCs w:val="21"/>
        </w:rPr>
      </w:pPr>
      <w:r>
        <w:rPr>
          <w:rFonts w:hint="eastAsia" w:ascii="宋体" w:hAnsi="宋体"/>
          <w:color w:val="auto"/>
          <w:szCs w:val="21"/>
        </w:rPr>
        <w:t>按照评标办法前附表中规定的分值设定、各项评分因素、评分标准，对施工组织设计进行评审和评分，并使用</w:t>
      </w:r>
      <w:r>
        <w:rPr>
          <w:rFonts w:hint="eastAsia" w:ascii="宋体" w:hAnsi="宋体"/>
          <w:b/>
          <w:color w:val="auto"/>
          <w:szCs w:val="21"/>
        </w:rPr>
        <w:t>附表A-</w:t>
      </w:r>
      <w:r>
        <w:rPr>
          <w:rFonts w:ascii="宋体" w:hAnsi="宋体"/>
          <w:b/>
          <w:color w:val="auto"/>
          <w:szCs w:val="21"/>
        </w:rPr>
        <w:t>11</w:t>
      </w:r>
      <w:r>
        <w:rPr>
          <w:rFonts w:hint="eastAsia" w:ascii="宋体" w:hAnsi="宋体"/>
          <w:color w:val="auto"/>
          <w:szCs w:val="21"/>
        </w:rPr>
        <w:t>记录对技术标的评分结果，技术标的得分记录为</w:t>
      </w:r>
      <w:r>
        <w:rPr>
          <w:rFonts w:hint="eastAsia" w:ascii="宋体" w:hAnsi="宋体"/>
          <w:b/>
          <w:color w:val="auto"/>
          <w:szCs w:val="21"/>
        </w:rPr>
        <w:t>B</w:t>
      </w:r>
      <w:r>
        <w:rPr>
          <w:rFonts w:hint="eastAsia" w:ascii="宋体" w:hAnsi="宋体"/>
          <w:color w:val="auto"/>
          <w:szCs w:val="21"/>
        </w:rPr>
        <w:t>。</w:t>
      </w:r>
    </w:p>
    <w:p w14:paraId="11303A16">
      <w:pPr>
        <w:pStyle w:val="27"/>
        <w:rPr>
          <w:bCs/>
          <w:color w:val="auto"/>
          <w:sz w:val="21"/>
          <w:szCs w:val="21"/>
        </w:rPr>
      </w:pPr>
      <w:bookmarkStart w:id="566" w:name="_Toc150507329"/>
      <w:bookmarkStart w:id="567" w:name="_Toc183107249"/>
      <w:bookmarkStart w:id="568" w:name="_Toc12167"/>
      <w:bookmarkStart w:id="569" w:name="_Toc166326949"/>
      <w:bookmarkStart w:id="570" w:name="_Toc162103231"/>
      <w:r>
        <w:rPr>
          <w:rFonts w:hint="eastAsia"/>
          <w:bCs/>
          <w:color w:val="auto"/>
          <w:sz w:val="21"/>
          <w:szCs w:val="21"/>
        </w:rPr>
        <w:t>A4.4</w:t>
      </w:r>
      <w:bookmarkStart w:id="571" w:name="_Hlk164534604"/>
      <w:r>
        <w:rPr>
          <w:rFonts w:hint="eastAsia"/>
          <w:bCs/>
          <w:color w:val="auto"/>
          <w:sz w:val="21"/>
          <w:szCs w:val="21"/>
        </w:rPr>
        <w:t>资信</w:t>
      </w:r>
      <w:bookmarkEnd w:id="571"/>
      <w:r>
        <w:rPr>
          <w:rFonts w:hint="eastAsia"/>
          <w:bCs/>
          <w:color w:val="auto"/>
          <w:sz w:val="21"/>
          <w:szCs w:val="21"/>
        </w:rPr>
        <w:t>标评审和评分</w:t>
      </w:r>
      <w:bookmarkEnd w:id="566"/>
      <w:bookmarkEnd w:id="567"/>
      <w:bookmarkEnd w:id="568"/>
      <w:bookmarkEnd w:id="569"/>
      <w:bookmarkEnd w:id="570"/>
    </w:p>
    <w:p w14:paraId="2F821EC6">
      <w:pPr>
        <w:spacing w:line="400" w:lineRule="exact"/>
        <w:ind w:firstLine="420" w:firstLineChars="200"/>
        <w:rPr>
          <w:rFonts w:hint="eastAsia" w:ascii="宋体" w:hAnsi="宋体"/>
          <w:color w:val="auto"/>
          <w:szCs w:val="21"/>
        </w:rPr>
      </w:pPr>
      <w:r>
        <w:rPr>
          <w:rFonts w:hint="eastAsia" w:ascii="宋体" w:hAnsi="宋体"/>
          <w:color w:val="auto"/>
          <w:szCs w:val="21"/>
        </w:rPr>
        <w:t>按照评标办法前附表中规定的分值设定、各项评分因素、评分标准，对企业业绩、资信和项目管理机构等进行评审和评分，并使用</w:t>
      </w:r>
      <w:r>
        <w:rPr>
          <w:rFonts w:hint="eastAsia" w:ascii="宋体" w:hAnsi="宋体"/>
          <w:b/>
          <w:color w:val="auto"/>
          <w:szCs w:val="21"/>
        </w:rPr>
        <w:t>附表A-1</w:t>
      </w:r>
      <w:r>
        <w:rPr>
          <w:rFonts w:ascii="宋体" w:hAnsi="宋体"/>
          <w:b/>
          <w:color w:val="auto"/>
          <w:szCs w:val="21"/>
        </w:rPr>
        <w:t>3</w:t>
      </w:r>
      <w:r>
        <w:rPr>
          <w:rFonts w:hint="eastAsia" w:ascii="宋体" w:hAnsi="宋体"/>
          <w:color w:val="auto"/>
          <w:szCs w:val="21"/>
        </w:rPr>
        <w:t>记录对资信标的评分结果，资信标的得分记录为</w:t>
      </w:r>
      <w:r>
        <w:rPr>
          <w:rFonts w:hint="eastAsia" w:ascii="宋体" w:hAnsi="宋体"/>
          <w:b/>
          <w:color w:val="auto"/>
          <w:szCs w:val="21"/>
        </w:rPr>
        <w:t>C</w:t>
      </w:r>
      <w:r>
        <w:rPr>
          <w:rFonts w:hint="eastAsia" w:ascii="宋体" w:hAnsi="宋体"/>
          <w:color w:val="auto"/>
          <w:szCs w:val="21"/>
        </w:rPr>
        <w:t>。</w:t>
      </w:r>
    </w:p>
    <w:p w14:paraId="22833438">
      <w:pPr>
        <w:pStyle w:val="27"/>
        <w:rPr>
          <w:bCs/>
          <w:color w:val="auto"/>
          <w:sz w:val="21"/>
          <w:szCs w:val="21"/>
        </w:rPr>
      </w:pPr>
      <w:bookmarkStart w:id="572" w:name="_Toc183107250"/>
      <w:bookmarkStart w:id="573" w:name="_Toc166326950"/>
      <w:bookmarkStart w:id="574" w:name="_Toc162103232"/>
      <w:bookmarkStart w:id="575" w:name="_Toc31968"/>
      <w:bookmarkStart w:id="576" w:name="_Toc150507330"/>
      <w:r>
        <w:rPr>
          <w:rFonts w:hint="eastAsia"/>
          <w:bCs/>
          <w:color w:val="auto"/>
          <w:sz w:val="21"/>
          <w:szCs w:val="21"/>
        </w:rPr>
        <w:t>A4.5 其他因素的评审和评分</w:t>
      </w:r>
      <w:bookmarkEnd w:id="572"/>
      <w:bookmarkEnd w:id="573"/>
      <w:bookmarkEnd w:id="574"/>
      <w:bookmarkEnd w:id="575"/>
      <w:bookmarkEnd w:id="576"/>
    </w:p>
    <w:p w14:paraId="427F6603">
      <w:pPr>
        <w:spacing w:line="400" w:lineRule="exact"/>
        <w:ind w:firstLine="420" w:firstLineChars="200"/>
        <w:rPr>
          <w:rFonts w:hint="eastAsia" w:ascii="宋体" w:hAnsi="宋体"/>
          <w:color w:val="auto"/>
          <w:szCs w:val="21"/>
        </w:rPr>
      </w:pPr>
      <w:r>
        <w:rPr>
          <w:rFonts w:hint="eastAsia" w:ascii="宋体" w:hAnsi="宋体"/>
          <w:color w:val="auto"/>
          <w:szCs w:val="21"/>
        </w:rPr>
        <w:t>根据评标办法前附表中规定的分值设定、各项评分因素和相应的评分标准，对其他因素（如果有）进行评审和评分，并使用</w:t>
      </w:r>
      <w:r>
        <w:rPr>
          <w:rFonts w:hint="eastAsia" w:ascii="宋体" w:hAnsi="宋体"/>
          <w:b/>
          <w:color w:val="auto"/>
          <w:szCs w:val="21"/>
        </w:rPr>
        <w:t>附表A-1</w:t>
      </w:r>
      <w:r>
        <w:rPr>
          <w:rFonts w:ascii="宋体" w:hAnsi="宋体"/>
          <w:b/>
          <w:color w:val="auto"/>
          <w:szCs w:val="21"/>
        </w:rPr>
        <w:t>4</w:t>
      </w:r>
      <w:r>
        <w:rPr>
          <w:rFonts w:hint="eastAsia" w:ascii="宋体" w:hAnsi="宋体"/>
          <w:color w:val="auto"/>
          <w:szCs w:val="21"/>
        </w:rPr>
        <w:t>记录对其他</w:t>
      </w:r>
      <w:r>
        <w:rPr>
          <w:rFonts w:hint="eastAsia"/>
          <w:color w:val="auto"/>
        </w:rPr>
        <w:t>因素</w:t>
      </w:r>
      <w:r>
        <w:rPr>
          <w:rFonts w:hint="eastAsia" w:ascii="宋体" w:hAnsi="宋体"/>
          <w:color w:val="auto"/>
          <w:szCs w:val="21"/>
        </w:rPr>
        <w:t>的评分结果，其他因素的得分记录为</w:t>
      </w:r>
      <w:r>
        <w:rPr>
          <w:rFonts w:hint="eastAsia" w:ascii="宋体" w:hAnsi="宋体"/>
          <w:b/>
          <w:color w:val="auto"/>
          <w:szCs w:val="21"/>
        </w:rPr>
        <w:t>D</w:t>
      </w:r>
      <w:r>
        <w:rPr>
          <w:rFonts w:hint="eastAsia" w:ascii="宋体" w:hAnsi="宋体"/>
          <w:color w:val="auto"/>
          <w:szCs w:val="21"/>
        </w:rPr>
        <w:t>。</w:t>
      </w:r>
    </w:p>
    <w:p w14:paraId="7ECD4013">
      <w:pPr>
        <w:pStyle w:val="27"/>
        <w:rPr>
          <w:bCs/>
          <w:color w:val="auto"/>
          <w:sz w:val="21"/>
          <w:szCs w:val="21"/>
        </w:rPr>
      </w:pPr>
      <w:bookmarkStart w:id="577" w:name="_Toc150507331"/>
      <w:bookmarkStart w:id="578" w:name="_Toc162103233"/>
      <w:bookmarkStart w:id="579" w:name="_Toc166326951"/>
      <w:bookmarkStart w:id="580" w:name="_Toc183107251"/>
      <w:bookmarkStart w:id="581" w:name="_Toc13929"/>
      <w:r>
        <w:rPr>
          <w:rFonts w:hint="eastAsia"/>
          <w:bCs/>
          <w:color w:val="auto"/>
          <w:sz w:val="21"/>
          <w:szCs w:val="21"/>
        </w:rPr>
        <w:t>A4.6 澄清、说明或补正</w:t>
      </w:r>
      <w:bookmarkEnd w:id="577"/>
      <w:bookmarkEnd w:id="578"/>
      <w:bookmarkEnd w:id="579"/>
      <w:bookmarkEnd w:id="580"/>
      <w:bookmarkEnd w:id="581"/>
    </w:p>
    <w:p w14:paraId="44347930">
      <w:pPr>
        <w:spacing w:line="400" w:lineRule="exact"/>
        <w:ind w:firstLine="420" w:firstLineChars="200"/>
        <w:rPr>
          <w:rFonts w:hint="eastAsia" w:ascii="宋体" w:hAnsi="宋体"/>
          <w:color w:val="auto"/>
          <w:szCs w:val="21"/>
        </w:rPr>
      </w:pPr>
      <w:r>
        <w:rPr>
          <w:rFonts w:hint="eastAsia" w:ascii="宋体" w:hAnsi="宋体"/>
          <w:color w:val="auto"/>
          <w:szCs w:val="21"/>
        </w:rPr>
        <w:t>在详细评审过程中，评标委员会应当就投标文件中</w:t>
      </w:r>
      <w:r>
        <w:rPr>
          <w:rFonts w:hint="eastAsia"/>
          <w:color w:val="auto"/>
        </w:rPr>
        <w:t>含义不明确、对同类问题表述不一致或者有明显文字和计算错误的内容</w:t>
      </w:r>
      <w:r>
        <w:rPr>
          <w:rFonts w:hint="eastAsia" w:ascii="宋体" w:hAnsi="宋体"/>
          <w:color w:val="auto"/>
          <w:szCs w:val="21"/>
        </w:rPr>
        <w:t>要求投标人进行澄清、说明或者补正。投标人对此以书面形式予以澄清、说明或者补正。澄清、说明或补正根据本章第3.3款的规定执行。《投标文件问题澄清通知》及《投标文件问题的澄清》采用投标人须知附表六与投标人须知附表七所提供的格式，并</w:t>
      </w:r>
      <w:r>
        <w:rPr>
          <w:rFonts w:hint="eastAsia"/>
          <w:color w:val="auto"/>
        </w:rPr>
        <w:t>通过电子招标投标系统（辽宁省工程建设项目数字化开标评标系统）以书面形式进行。</w:t>
      </w:r>
    </w:p>
    <w:p w14:paraId="5FB793B9">
      <w:pPr>
        <w:pStyle w:val="27"/>
        <w:rPr>
          <w:bCs/>
          <w:color w:val="auto"/>
          <w:sz w:val="21"/>
          <w:szCs w:val="21"/>
        </w:rPr>
      </w:pPr>
      <w:bookmarkStart w:id="582" w:name="_Toc162103234"/>
      <w:bookmarkStart w:id="583" w:name="_Toc183107252"/>
      <w:bookmarkStart w:id="584" w:name="_Toc166326952"/>
      <w:bookmarkStart w:id="585" w:name="_Toc150507332"/>
      <w:bookmarkStart w:id="586" w:name="_Toc19911"/>
      <w:r>
        <w:rPr>
          <w:rFonts w:hint="eastAsia"/>
          <w:bCs/>
          <w:color w:val="auto"/>
          <w:sz w:val="21"/>
          <w:szCs w:val="21"/>
        </w:rPr>
        <w:t>A4.7汇总评分（评审）结果</w:t>
      </w:r>
      <w:bookmarkEnd w:id="582"/>
      <w:bookmarkEnd w:id="583"/>
      <w:bookmarkEnd w:id="584"/>
      <w:bookmarkEnd w:id="585"/>
      <w:bookmarkEnd w:id="586"/>
    </w:p>
    <w:p w14:paraId="6E2683DF">
      <w:pPr>
        <w:spacing w:line="400" w:lineRule="exact"/>
        <w:ind w:firstLine="420" w:firstLineChars="200"/>
        <w:rPr>
          <w:rFonts w:hint="eastAsia" w:ascii="宋体" w:hAnsi="宋体"/>
          <w:color w:val="auto"/>
          <w:szCs w:val="21"/>
        </w:rPr>
      </w:pPr>
      <w:r>
        <w:rPr>
          <w:rFonts w:hint="eastAsia" w:ascii="宋体" w:hAnsi="宋体"/>
          <w:color w:val="auto"/>
          <w:szCs w:val="21"/>
        </w:rPr>
        <w:t>评标委员会成员应按照</w:t>
      </w:r>
      <w:r>
        <w:rPr>
          <w:rFonts w:hint="eastAsia" w:ascii="宋体" w:hAnsi="宋体"/>
          <w:b/>
          <w:color w:val="auto"/>
          <w:szCs w:val="21"/>
        </w:rPr>
        <w:t>附表A-1</w:t>
      </w:r>
      <w:r>
        <w:rPr>
          <w:rFonts w:ascii="宋体" w:hAnsi="宋体"/>
          <w:b/>
          <w:color w:val="auto"/>
          <w:szCs w:val="21"/>
        </w:rPr>
        <w:t>5</w:t>
      </w:r>
      <w:r>
        <w:rPr>
          <w:rFonts w:hint="eastAsia" w:ascii="宋体" w:hAnsi="宋体"/>
          <w:color w:val="auto"/>
          <w:szCs w:val="21"/>
        </w:rPr>
        <w:t>的格式汇总各个评标委员会成员的详细评审评分结果，并按照详细评审最终得分由高至低的次序对投标人进行排序。</w:t>
      </w:r>
    </w:p>
    <w:p w14:paraId="4E43215F">
      <w:pPr>
        <w:pStyle w:val="27"/>
        <w:rPr>
          <w:color w:val="auto"/>
        </w:rPr>
      </w:pPr>
      <w:bookmarkStart w:id="587" w:name="_Toc150507333"/>
      <w:bookmarkStart w:id="588" w:name="_Toc166326953"/>
      <w:bookmarkStart w:id="589" w:name="_Toc434"/>
      <w:bookmarkStart w:id="590" w:name="_Toc162103235"/>
      <w:bookmarkStart w:id="591" w:name="_Toc183107253"/>
      <w:r>
        <w:rPr>
          <w:rFonts w:hint="eastAsia"/>
          <w:color w:val="auto"/>
        </w:rPr>
        <w:t>A5</w:t>
      </w:r>
      <w:r>
        <w:rPr>
          <w:color w:val="auto"/>
        </w:rPr>
        <w:t>.</w:t>
      </w:r>
      <w:r>
        <w:rPr>
          <w:rFonts w:hint="eastAsia"/>
          <w:color w:val="auto"/>
        </w:rPr>
        <w:t>推荐中标候选人或者直接确定中标人</w:t>
      </w:r>
      <w:bookmarkEnd w:id="587"/>
      <w:bookmarkEnd w:id="588"/>
      <w:bookmarkEnd w:id="589"/>
      <w:bookmarkEnd w:id="590"/>
      <w:bookmarkEnd w:id="591"/>
    </w:p>
    <w:p w14:paraId="424F9458">
      <w:pPr>
        <w:pStyle w:val="27"/>
        <w:rPr>
          <w:bCs/>
          <w:color w:val="auto"/>
          <w:sz w:val="21"/>
          <w:szCs w:val="21"/>
        </w:rPr>
      </w:pPr>
      <w:bookmarkStart w:id="592" w:name="_Toc166326954"/>
      <w:bookmarkStart w:id="593" w:name="_Toc162103236"/>
      <w:bookmarkStart w:id="594" w:name="_Toc26128"/>
      <w:bookmarkStart w:id="595" w:name="_Toc150507334"/>
      <w:bookmarkStart w:id="596" w:name="_Toc183107254"/>
      <w:r>
        <w:rPr>
          <w:rFonts w:hint="eastAsia"/>
          <w:bCs/>
          <w:color w:val="auto"/>
          <w:sz w:val="21"/>
          <w:szCs w:val="21"/>
        </w:rPr>
        <w:t>A5.1推荐中标候选人</w:t>
      </w:r>
      <w:bookmarkEnd w:id="592"/>
      <w:bookmarkEnd w:id="593"/>
      <w:bookmarkEnd w:id="594"/>
      <w:bookmarkEnd w:id="595"/>
      <w:bookmarkEnd w:id="596"/>
    </w:p>
    <w:p w14:paraId="7CABCBB3">
      <w:pPr>
        <w:spacing w:line="400" w:lineRule="exact"/>
        <w:ind w:firstLine="420" w:firstLineChars="200"/>
        <w:rPr>
          <w:rFonts w:hint="eastAsia" w:ascii="宋体" w:hAnsi="宋体"/>
          <w:color w:val="auto"/>
          <w:szCs w:val="21"/>
        </w:rPr>
      </w:pPr>
      <w:r>
        <w:rPr>
          <w:rFonts w:hint="eastAsia" w:ascii="宋体" w:hAnsi="宋体"/>
          <w:color w:val="auto"/>
          <w:szCs w:val="21"/>
        </w:rPr>
        <w:t>A5.1.1</w:t>
      </w:r>
      <w:r>
        <w:rPr>
          <w:rFonts w:hint="eastAsia"/>
          <w:color w:val="auto"/>
        </w:rPr>
        <w:t>评标委员会按照本章评标办法前附表规定的推荐方法和第二章“投标人须知”前附表第7.1款推荐的中标候选人数量</w:t>
      </w:r>
      <w:r>
        <w:rPr>
          <w:rFonts w:hint="eastAsia" w:ascii="宋体" w:hAnsi="宋体"/>
          <w:color w:val="auto"/>
          <w:szCs w:val="21"/>
        </w:rPr>
        <w:t>，按照</w:t>
      </w:r>
      <w:r>
        <w:rPr>
          <w:rFonts w:hint="eastAsia" w:ascii="宋体" w:hAnsi="宋体"/>
          <w:b/>
          <w:color w:val="auto"/>
          <w:szCs w:val="21"/>
        </w:rPr>
        <w:t>附表A-1</w:t>
      </w:r>
      <w:r>
        <w:rPr>
          <w:rFonts w:ascii="宋体" w:hAnsi="宋体"/>
          <w:b/>
          <w:color w:val="auto"/>
          <w:szCs w:val="21"/>
        </w:rPr>
        <w:t>7</w:t>
      </w:r>
      <w:r>
        <w:rPr>
          <w:rFonts w:hint="eastAsia" w:ascii="宋体" w:hAnsi="宋体"/>
          <w:bCs/>
          <w:color w:val="auto"/>
          <w:szCs w:val="21"/>
        </w:rPr>
        <w:t>格式推荐中标候选人。</w:t>
      </w:r>
      <w:r>
        <w:rPr>
          <w:rFonts w:hint="eastAsia" w:ascii="宋体" w:hAnsi="宋体"/>
          <w:color w:val="auto"/>
          <w:szCs w:val="21"/>
        </w:rPr>
        <w:t>评标委员会在推荐中标候选人时，应遵照以下原则</w:t>
      </w:r>
      <w:r>
        <w:rPr>
          <w:rFonts w:hint="eastAsia" w:ascii="宋体" w:hAnsi="宋体"/>
          <w:color w:val="auto"/>
          <w:szCs w:val="21"/>
          <w:lang w:eastAsia="zh-CN"/>
        </w:rPr>
        <w:t>：</w:t>
      </w:r>
    </w:p>
    <w:p w14:paraId="0CBF412D">
      <w:pPr>
        <w:spacing w:line="400" w:lineRule="exact"/>
        <w:ind w:firstLine="420" w:firstLineChars="200"/>
        <w:rPr>
          <w:rFonts w:hint="eastAsia" w:ascii="宋体" w:hAnsi="宋体"/>
          <w:color w:val="auto"/>
          <w:szCs w:val="21"/>
        </w:rPr>
      </w:pPr>
      <w:r>
        <w:rPr>
          <w:rFonts w:hint="eastAsia" w:ascii="宋体" w:hAnsi="宋体"/>
          <w:color w:val="auto"/>
          <w:szCs w:val="21"/>
        </w:rPr>
        <w:t>（1）评标委员会按照</w:t>
      </w:r>
      <w:bookmarkStart w:id="597" w:name="_Hlk171344251"/>
      <w:r>
        <w:rPr>
          <w:rFonts w:hint="eastAsia"/>
          <w:color w:val="auto"/>
        </w:rPr>
        <w:t>本章评标办法前附表规定的</w:t>
      </w:r>
      <w:r>
        <w:rPr>
          <w:rFonts w:hint="eastAsia" w:ascii="宋体" w:hAnsi="宋体"/>
          <w:color w:val="auto"/>
          <w:szCs w:val="21"/>
        </w:rPr>
        <w:t>方法</w:t>
      </w:r>
      <w:bookmarkEnd w:id="597"/>
      <w:r>
        <w:rPr>
          <w:rFonts w:hint="eastAsia" w:ascii="宋体" w:hAnsi="宋体"/>
          <w:color w:val="auto"/>
          <w:szCs w:val="21"/>
        </w:rPr>
        <w:t>推荐中标候选人。</w:t>
      </w:r>
      <w:r>
        <w:rPr>
          <w:rFonts w:hint="eastAsia"/>
          <w:color w:val="auto"/>
        </w:rPr>
        <w:t>招标文件允许多标段投标、多标段中标的，各标段中标候选人的推荐按规定执行，对某些标段由此产生的空缺由排序在后的投标人依次替补。</w:t>
      </w:r>
    </w:p>
    <w:p w14:paraId="3C2ED7B2">
      <w:pPr>
        <w:spacing w:line="400" w:lineRule="exact"/>
        <w:ind w:firstLine="420" w:firstLineChars="200"/>
        <w:rPr>
          <w:rFonts w:hint="eastAsia" w:ascii="宋体" w:hAnsi="宋体"/>
          <w:color w:val="auto"/>
          <w:szCs w:val="21"/>
        </w:rPr>
      </w:pPr>
      <w:r>
        <w:rPr>
          <w:rFonts w:hint="eastAsia" w:ascii="宋体" w:hAnsi="宋体"/>
          <w:color w:val="auto"/>
          <w:szCs w:val="21"/>
        </w:rPr>
        <w:t>（2）如果评标委员会根据本章的规定否决有关投标后，有效投标不足三个，且少于第二章“投标人须知”前附表第7.1款规定的中标</w:t>
      </w:r>
      <w:r>
        <w:rPr>
          <w:rFonts w:hint="eastAsia"/>
          <w:color w:val="auto"/>
        </w:rPr>
        <w:t>候选人</w:t>
      </w:r>
      <w:r>
        <w:rPr>
          <w:rFonts w:hint="eastAsia" w:ascii="宋体" w:hAnsi="宋体"/>
          <w:color w:val="auto"/>
          <w:szCs w:val="21"/>
        </w:rPr>
        <w:t>数量的，</w:t>
      </w:r>
      <w:bookmarkStart w:id="598" w:name="_Hlk171344300"/>
      <w:r>
        <w:rPr>
          <w:rFonts w:hint="eastAsia" w:ascii="宋体" w:hAnsi="宋体"/>
          <w:color w:val="auto"/>
          <w:szCs w:val="21"/>
        </w:rPr>
        <w:t>则评标委员会可以将所有有效投标人作为中标候选人向招标人推荐。</w:t>
      </w:r>
      <w:bookmarkEnd w:id="598"/>
      <w:r>
        <w:rPr>
          <w:rFonts w:hint="eastAsia" w:ascii="宋体" w:hAnsi="宋体"/>
          <w:color w:val="auto"/>
          <w:szCs w:val="21"/>
        </w:rPr>
        <w:t>如果因有效投标不足三个使得投标明显缺乏竞争的，评标委员会可以否决所有投标，并建议招标人重新招标。</w:t>
      </w:r>
    </w:p>
    <w:p w14:paraId="3FA2A9BF">
      <w:pPr>
        <w:spacing w:line="400" w:lineRule="exact"/>
        <w:ind w:firstLine="420" w:firstLineChars="200"/>
        <w:rPr>
          <w:rFonts w:hint="eastAsia" w:ascii="宋体" w:hAnsi="宋体"/>
          <w:color w:val="auto"/>
          <w:szCs w:val="21"/>
        </w:rPr>
      </w:pPr>
      <w:r>
        <w:rPr>
          <w:rFonts w:hint="eastAsia" w:ascii="宋体" w:hAnsi="宋体"/>
          <w:color w:val="auto"/>
          <w:szCs w:val="21"/>
        </w:rPr>
        <w:t>A5.1.2投标人数量少于三个或者所有投标被否决的，招标人应当依法重新招标。</w:t>
      </w:r>
    </w:p>
    <w:p w14:paraId="1A27C7A2">
      <w:pPr>
        <w:pStyle w:val="27"/>
        <w:rPr>
          <w:bCs/>
          <w:color w:val="auto"/>
          <w:sz w:val="21"/>
          <w:szCs w:val="21"/>
        </w:rPr>
      </w:pPr>
      <w:bookmarkStart w:id="599" w:name="_Toc162103237"/>
      <w:bookmarkStart w:id="600" w:name="_Toc166326955"/>
      <w:bookmarkStart w:id="601" w:name="_Toc150507335"/>
      <w:bookmarkStart w:id="602" w:name="_Toc11786"/>
      <w:bookmarkStart w:id="603" w:name="_Toc183107255"/>
      <w:r>
        <w:rPr>
          <w:rFonts w:hint="eastAsia"/>
          <w:bCs/>
          <w:color w:val="auto"/>
          <w:sz w:val="21"/>
          <w:szCs w:val="21"/>
        </w:rPr>
        <w:t>A5.2直接确定中标人</w:t>
      </w:r>
      <w:bookmarkEnd w:id="599"/>
      <w:bookmarkEnd w:id="600"/>
      <w:bookmarkEnd w:id="601"/>
      <w:bookmarkEnd w:id="602"/>
      <w:bookmarkEnd w:id="603"/>
    </w:p>
    <w:p w14:paraId="0B8DCAFA">
      <w:pPr>
        <w:spacing w:line="400" w:lineRule="exact"/>
        <w:ind w:firstLine="420" w:firstLineChars="200"/>
        <w:rPr>
          <w:rFonts w:hint="eastAsia" w:ascii="宋体" w:hAnsi="宋体"/>
          <w:color w:val="auto"/>
          <w:szCs w:val="21"/>
        </w:rPr>
      </w:pPr>
      <w:r>
        <w:rPr>
          <w:rFonts w:hint="eastAsia" w:ascii="宋体" w:hAnsi="宋体"/>
          <w:color w:val="auto"/>
          <w:szCs w:val="21"/>
        </w:rPr>
        <w:t>第二章“投标人须知”前附表授权评标委员会</w:t>
      </w:r>
      <w:r>
        <w:rPr>
          <w:rFonts w:hint="eastAsia"/>
          <w:color w:val="auto"/>
        </w:rPr>
        <w:t>直接</w:t>
      </w:r>
      <w:r>
        <w:rPr>
          <w:rFonts w:hint="eastAsia" w:ascii="宋体" w:hAnsi="宋体"/>
          <w:color w:val="auto"/>
          <w:szCs w:val="21"/>
        </w:rPr>
        <w:t>确定中标人的，评标委员会按照最终得分由高至低的次序排列。</w:t>
      </w:r>
    </w:p>
    <w:p w14:paraId="2D973A85">
      <w:pPr>
        <w:pStyle w:val="27"/>
        <w:rPr>
          <w:bCs/>
          <w:color w:val="auto"/>
          <w:sz w:val="21"/>
          <w:szCs w:val="21"/>
        </w:rPr>
      </w:pPr>
      <w:bookmarkStart w:id="604" w:name="_Toc22159"/>
      <w:bookmarkStart w:id="605" w:name="_Toc166326956"/>
      <w:bookmarkStart w:id="606" w:name="_Toc183107256"/>
      <w:bookmarkStart w:id="607" w:name="_Toc162103238"/>
      <w:bookmarkStart w:id="608" w:name="_Toc150507336"/>
      <w:r>
        <w:rPr>
          <w:rFonts w:hint="eastAsia"/>
          <w:bCs/>
          <w:color w:val="auto"/>
          <w:sz w:val="21"/>
          <w:szCs w:val="21"/>
        </w:rPr>
        <w:t>A5.3编制评标报告</w:t>
      </w:r>
      <w:bookmarkEnd w:id="604"/>
      <w:bookmarkEnd w:id="605"/>
      <w:bookmarkEnd w:id="606"/>
      <w:bookmarkEnd w:id="607"/>
      <w:bookmarkEnd w:id="608"/>
    </w:p>
    <w:p w14:paraId="79CF40E4">
      <w:pPr>
        <w:spacing w:line="400" w:lineRule="exact"/>
        <w:ind w:firstLine="420" w:firstLineChars="200"/>
        <w:rPr>
          <w:rFonts w:hint="eastAsia" w:ascii="宋体" w:hAnsi="宋体"/>
          <w:color w:val="auto"/>
          <w:szCs w:val="21"/>
        </w:rPr>
      </w:pPr>
      <w:r>
        <w:rPr>
          <w:rFonts w:hint="eastAsia" w:ascii="宋体" w:hAnsi="宋体"/>
          <w:color w:val="auto"/>
          <w:szCs w:val="21"/>
        </w:rPr>
        <w:t>评标委员会根据本章第3.4.2项的规定向</w:t>
      </w:r>
      <w:r>
        <w:rPr>
          <w:rFonts w:hint="eastAsia"/>
          <w:color w:val="auto"/>
        </w:rPr>
        <w:t>招标</w:t>
      </w:r>
      <w:r>
        <w:rPr>
          <w:rFonts w:hint="eastAsia" w:ascii="宋体" w:hAnsi="宋体"/>
          <w:color w:val="auto"/>
          <w:szCs w:val="21"/>
        </w:rPr>
        <w:t>人提交评标报告。评标报告应当由全体评标委员会成员签字，并于评标结束时抄送有关行政监督部门。评标报告应当包括以下内容：</w:t>
      </w:r>
    </w:p>
    <w:p w14:paraId="51750788">
      <w:pPr>
        <w:spacing w:line="400" w:lineRule="exact"/>
        <w:ind w:firstLine="420" w:firstLineChars="200"/>
        <w:rPr>
          <w:rFonts w:hint="eastAsia" w:ascii="宋体" w:hAnsi="宋体"/>
          <w:color w:val="auto"/>
          <w:szCs w:val="21"/>
        </w:rPr>
      </w:pPr>
      <w:r>
        <w:rPr>
          <w:rFonts w:hint="eastAsia" w:ascii="宋体" w:hAnsi="宋体"/>
          <w:color w:val="auto"/>
          <w:szCs w:val="21"/>
        </w:rPr>
        <w:t>（1）基本情况和数据表；</w:t>
      </w:r>
    </w:p>
    <w:p w14:paraId="7EE2E8E4">
      <w:pPr>
        <w:spacing w:line="400" w:lineRule="exact"/>
        <w:ind w:firstLine="420" w:firstLineChars="200"/>
        <w:rPr>
          <w:rFonts w:hint="eastAsia" w:ascii="宋体" w:hAnsi="宋体"/>
          <w:color w:val="auto"/>
          <w:szCs w:val="21"/>
        </w:rPr>
      </w:pPr>
      <w:r>
        <w:rPr>
          <w:rFonts w:hint="eastAsia" w:ascii="宋体" w:hAnsi="宋体"/>
          <w:color w:val="auto"/>
          <w:szCs w:val="21"/>
        </w:rPr>
        <w:t>（2）评标委员会成员名单；</w:t>
      </w:r>
    </w:p>
    <w:p w14:paraId="6DC38797">
      <w:pPr>
        <w:spacing w:line="400" w:lineRule="exact"/>
        <w:ind w:firstLine="420" w:firstLineChars="200"/>
        <w:rPr>
          <w:rFonts w:hint="eastAsia" w:ascii="宋体" w:hAnsi="宋体"/>
          <w:color w:val="auto"/>
          <w:szCs w:val="21"/>
        </w:rPr>
      </w:pPr>
      <w:r>
        <w:rPr>
          <w:rFonts w:hint="eastAsia" w:ascii="宋体" w:hAnsi="宋体"/>
          <w:color w:val="auto"/>
          <w:szCs w:val="21"/>
        </w:rPr>
        <w:t>（3）开标记录；</w:t>
      </w:r>
    </w:p>
    <w:p w14:paraId="43CC0A44">
      <w:pPr>
        <w:spacing w:line="400" w:lineRule="exact"/>
        <w:ind w:firstLine="420" w:firstLineChars="200"/>
        <w:rPr>
          <w:rFonts w:hint="eastAsia" w:ascii="宋体" w:hAnsi="宋体"/>
          <w:color w:val="auto"/>
          <w:szCs w:val="21"/>
        </w:rPr>
      </w:pPr>
      <w:r>
        <w:rPr>
          <w:rFonts w:hint="eastAsia" w:ascii="宋体" w:hAnsi="宋体"/>
          <w:color w:val="auto"/>
          <w:szCs w:val="21"/>
        </w:rPr>
        <w:t>（4）通过初步评审的投标人一览表；</w:t>
      </w:r>
    </w:p>
    <w:p w14:paraId="4F1632F4">
      <w:pPr>
        <w:spacing w:line="400" w:lineRule="exact"/>
        <w:ind w:firstLine="420" w:firstLineChars="200"/>
        <w:rPr>
          <w:rFonts w:hint="eastAsia" w:ascii="宋体" w:hAnsi="宋体"/>
          <w:color w:val="auto"/>
          <w:szCs w:val="21"/>
        </w:rPr>
      </w:pPr>
      <w:r>
        <w:rPr>
          <w:rFonts w:hint="eastAsia" w:ascii="宋体" w:hAnsi="宋体"/>
          <w:color w:val="auto"/>
          <w:szCs w:val="21"/>
        </w:rPr>
        <w:t>（5）被否决投标的情况说明；</w:t>
      </w:r>
    </w:p>
    <w:p w14:paraId="183ACEC8">
      <w:pPr>
        <w:spacing w:line="400" w:lineRule="exact"/>
        <w:ind w:firstLine="420" w:firstLineChars="200"/>
        <w:rPr>
          <w:rFonts w:hint="eastAsia" w:ascii="宋体" w:hAnsi="宋体"/>
          <w:color w:val="auto"/>
          <w:szCs w:val="21"/>
        </w:rPr>
      </w:pPr>
      <w:r>
        <w:rPr>
          <w:rFonts w:hint="eastAsia" w:ascii="宋体" w:hAnsi="宋体"/>
          <w:color w:val="auto"/>
          <w:szCs w:val="21"/>
        </w:rPr>
        <w:t>（6）评标标准、评标方法或者评标</w:t>
      </w:r>
      <w:r>
        <w:rPr>
          <w:rFonts w:hint="eastAsia"/>
          <w:color w:val="auto"/>
        </w:rPr>
        <w:t>因素</w:t>
      </w:r>
      <w:r>
        <w:rPr>
          <w:rFonts w:hint="eastAsia" w:ascii="宋体" w:hAnsi="宋体"/>
          <w:color w:val="auto"/>
          <w:szCs w:val="21"/>
        </w:rPr>
        <w:t>一览表；</w:t>
      </w:r>
    </w:p>
    <w:p w14:paraId="6BB7E828">
      <w:pPr>
        <w:spacing w:line="400" w:lineRule="exact"/>
        <w:ind w:firstLine="420" w:firstLineChars="200"/>
        <w:rPr>
          <w:rFonts w:hint="eastAsia" w:ascii="宋体" w:hAnsi="宋体"/>
          <w:color w:val="auto"/>
          <w:szCs w:val="21"/>
        </w:rPr>
      </w:pPr>
      <w:r>
        <w:rPr>
          <w:rFonts w:hint="eastAsia" w:ascii="宋体" w:hAnsi="宋体"/>
          <w:color w:val="auto"/>
          <w:szCs w:val="21"/>
        </w:rPr>
        <w:t>（7）经评审的价格一览表（包括评标委员会在评标过程中所形成的所有记载评标结果、结论的表格、说明、记录等文件）；</w:t>
      </w:r>
    </w:p>
    <w:p w14:paraId="0BA3AEF3">
      <w:pPr>
        <w:spacing w:line="400" w:lineRule="exact"/>
        <w:ind w:firstLine="420" w:firstLineChars="200"/>
        <w:rPr>
          <w:rFonts w:hint="eastAsia" w:ascii="宋体" w:hAnsi="宋体"/>
          <w:color w:val="auto"/>
          <w:szCs w:val="21"/>
        </w:rPr>
      </w:pPr>
      <w:r>
        <w:rPr>
          <w:rFonts w:hint="eastAsia" w:ascii="宋体" w:hAnsi="宋体"/>
          <w:color w:val="auto"/>
          <w:szCs w:val="21"/>
        </w:rPr>
        <w:t>（8）经评审的投标人排序；</w:t>
      </w:r>
    </w:p>
    <w:p w14:paraId="7598943E">
      <w:pPr>
        <w:spacing w:line="400" w:lineRule="exact"/>
        <w:ind w:firstLine="420" w:firstLineChars="200"/>
        <w:rPr>
          <w:rFonts w:hint="eastAsia" w:ascii="宋体" w:hAnsi="宋体"/>
          <w:color w:val="auto"/>
          <w:szCs w:val="21"/>
        </w:rPr>
      </w:pPr>
      <w:r>
        <w:rPr>
          <w:rFonts w:hint="eastAsia" w:ascii="宋体" w:hAnsi="宋体"/>
          <w:color w:val="auto"/>
          <w:szCs w:val="21"/>
        </w:rPr>
        <w:t>（9）推荐的中标候选人名单（</w:t>
      </w:r>
      <w:r>
        <w:rPr>
          <w:rFonts w:hint="eastAsia"/>
          <w:color w:val="auto"/>
        </w:rPr>
        <w:t>如果</w:t>
      </w:r>
      <w:r>
        <w:rPr>
          <w:rFonts w:hint="eastAsia" w:ascii="宋体" w:hAnsi="宋体"/>
          <w:color w:val="auto"/>
          <w:szCs w:val="21"/>
        </w:rPr>
        <w:t>第二章“投标人须知”前附表授权评标委员会直接确定中标人，则为“确定的中标人”）与签订合同前要</w:t>
      </w:r>
      <w:r>
        <w:rPr>
          <w:rFonts w:hint="eastAsia"/>
          <w:color w:val="auto"/>
        </w:rPr>
        <w:t>处理</w:t>
      </w:r>
      <w:r>
        <w:rPr>
          <w:rFonts w:hint="eastAsia" w:ascii="宋体" w:hAnsi="宋体"/>
          <w:color w:val="auto"/>
          <w:szCs w:val="21"/>
        </w:rPr>
        <w:t>的事宜；</w:t>
      </w:r>
    </w:p>
    <w:p w14:paraId="1B1A22D1">
      <w:pPr>
        <w:spacing w:line="400" w:lineRule="exact"/>
        <w:ind w:firstLine="420" w:firstLineChars="200"/>
        <w:rPr>
          <w:rFonts w:hint="eastAsia" w:ascii="宋体" w:hAnsi="宋体"/>
          <w:color w:val="auto"/>
          <w:szCs w:val="21"/>
        </w:rPr>
      </w:pPr>
      <w:r>
        <w:rPr>
          <w:rFonts w:hint="eastAsia" w:ascii="宋体" w:hAnsi="宋体"/>
          <w:color w:val="auto"/>
          <w:szCs w:val="21"/>
        </w:rPr>
        <w:t>（10）澄清、说明、补正事项纪要。</w:t>
      </w:r>
    </w:p>
    <w:p w14:paraId="2DED6B7E">
      <w:pPr>
        <w:pStyle w:val="27"/>
        <w:rPr>
          <w:color w:val="auto"/>
        </w:rPr>
      </w:pPr>
      <w:bookmarkStart w:id="609" w:name="_Toc166326957"/>
      <w:bookmarkStart w:id="610" w:name="_Toc150507337"/>
      <w:bookmarkStart w:id="611" w:name="_Toc31894"/>
      <w:bookmarkStart w:id="612" w:name="_Toc162103239"/>
      <w:bookmarkStart w:id="613" w:name="_Toc183107257"/>
      <w:r>
        <w:rPr>
          <w:rFonts w:hint="eastAsia"/>
          <w:color w:val="auto"/>
        </w:rPr>
        <w:t>A6.特殊情况的处置程序</w:t>
      </w:r>
      <w:bookmarkEnd w:id="609"/>
      <w:bookmarkEnd w:id="610"/>
      <w:bookmarkEnd w:id="611"/>
      <w:bookmarkEnd w:id="612"/>
      <w:bookmarkEnd w:id="613"/>
    </w:p>
    <w:p w14:paraId="630A2A1C">
      <w:pPr>
        <w:pStyle w:val="27"/>
        <w:rPr>
          <w:bCs/>
          <w:color w:val="auto"/>
          <w:sz w:val="21"/>
          <w:szCs w:val="21"/>
        </w:rPr>
      </w:pPr>
      <w:bookmarkStart w:id="614" w:name="_Toc150507338"/>
      <w:bookmarkStart w:id="615" w:name="_Toc166326958"/>
      <w:bookmarkStart w:id="616" w:name="_Toc183107258"/>
      <w:bookmarkStart w:id="617" w:name="_Toc162103240"/>
      <w:bookmarkStart w:id="618" w:name="_Toc2289"/>
      <w:r>
        <w:rPr>
          <w:rFonts w:hint="eastAsia"/>
          <w:bCs/>
          <w:color w:val="auto"/>
          <w:sz w:val="21"/>
          <w:szCs w:val="21"/>
        </w:rPr>
        <w:t>A6.1暗标评审的评审程序规定（适用于对技术标进行暗标评审的）</w:t>
      </w:r>
      <w:bookmarkEnd w:id="614"/>
      <w:bookmarkEnd w:id="615"/>
      <w:bookmarkEnd w:id="616"/>
      <w:bookmarkEnd w:id="617"/>
      <w:bookmarkEnd w:id="618"/>
    </w:p>
    <w:p w14:paraId="6E075206">
      <w:pPr>
        <w:spacing w:line="400" w:lineRule="exact"/>
        <w:ind w:firstLine="420" w:firstLineChars="200"/>
        <w:rPr>
          <w:rFonts w:hint="eastAsia" w:ascii="宋体" w:hAnsi="宋体"/>
          <w:color w:val="auto"/>
          <w:szCs w:val="21"/>
        </w:rPr>
      </w:pPr>
      <w:r>
        <w:rPr>
          <w:rFonts w:hint="eastAsia" w:ascii="宋体" w:hAnsi="宋体"/>
          <w:color w:val="auto"/>
          <w:szCs w:val="21"/>
        </w:rPr>
        <w:t>如果第二章“投标人须知”前附表第</w:t>
      </w:r>
      <w:r>
        <w:rPr>
          <w:rFonts w:hint="eastAsia"/>
          <w:color w:val="auto"/>
        </w:rPr>
        <w:t>3.7.4</w:t>
      </w:r>
      <w:r>
        <w:rPr>
          <w:rFonts w:hint="eastAsia" w:ascii="宋体" w:hAnsi="宋体"/>
          <w:color w:val="auto"/>
          <w:szCs w:val="21"/>
        </w:rPr>
        <w:t>项要求对技术标采用模块化暗标方式，如果技术标是详细评审阶段的评审内容的，则评标委员会需将技术标（暗标）的格式类评审在初步评审阶段完成，详细评审阶段发现某个模块存在</w:t>
      </w:r>
      <w:r>
        <w:rPr>
          <w:rFonts w:hint="eastAsia"/>
          <w:color w:val="auto"/>
          <w:szCs w:val="21"/>
        </w:rPr>
        <w:t>出现投标人的名称和</w:t>
      </w:r>
      <w:r>
        <w:rPr>
          <w:rFonts w:hint="eastAsia"/>
          <w:color w:val="auto"/>
          <w:szCs w:val="21"/>
          <w:lang w:eastAsia="zh-CN"/>
        </w:rPr>
        <w:t>其他</w:t>
      </w:r>
      <w:r>
        <w:rPr>
          <w:rFonts w:hint="eastAsia"/>
          <w:color w:val="auto"/>
          <w:szCs w:val="21"/>
        </w:rPr>
        <w:t>可识别投标人身份的字符、徽标、人员名称等以及雷同性标记内容，仍可对投标人的投标文件进行否决，否决任一模块代表着本投标人的投标文件全部被否决。</w:t>
      </w:r>
      <w:r>
        <w:rPr>
          <w:rFonts w:hint="eastAsia" w:ascii="宋体" w:hAnsi="宋体"/>
          <w:color w:val="auto"/>
          <w:szCs w:val="21"/>
        </w:rPr>
        <w:t>电子招标投标系统（辽宁省工程建设项目数字化开标评标系统）应采取措施，在经济标、技术标、资信标、其他因素的评审完成后，再公开相应暗标编号与投标人名称之间的对应关系。初步评审被否决的投标不再进入详细评审阶段。</w:t>
      </w:r>
    </w:p>
    <w:p w14:paraId="73E6D2E9">
      <w:pPr>
        <w:pStyle w:val="27"/>
        <w:rPr>
          <w:bCs/>
          <w:color w:val="auto"/>
          <w:sz w:val="21"/>
          <w:szCs w:val="21"/>
        </w:rPr>
      </w:pPr>
      <w:bookmarkStart w:id="619" w:name="_Toc4353"/>
      <w:bookmarkStart w:id="620" w:name="_Toc150507339"/>
      <w:bookmarkStart w:id="621" w:name="_Toc166326959"/>
      <w:bookmarkStart w:id="622" w:name="_Toc162103241"/>
      <w:bookmarkStart w:id="623" w:name="_Toc183107259"/>
      <w:r>
        <w:rPr>
          <w:rFonts w:hint="eastAsia"/>
          <w:bCs/>
          <w:color w:val="auto"/>
          <w:sz w:val="21"/>
          <w:szCs w:val="21"/>
        </w:rPr>
        <w:t>A6.2关于评标活动暂停</w:t>
      </w:r>
      <w:bookmarkEnd w:id="619"/>
      <w:bookmarkEnd w:id="620"/>
      <w:bookmarkEnd w:id="621"/>
      <w:bookmarkEnd w:id="622"/>
      <w:bookmarkEnd w:id="623"/>
    </w:p>
    <w:p w14:paraId="2DD7635C">
      <w:pPr>
        <w:spacing w:line="400" w:lineRule="exact"/>
        <w:ind w:firstLine="420" w:firstLineChars="200"/>
        <w:rPr>
          <w:rFonts w:hint="eastAsia" w:ascii="宋体" w:hAnsi="宋体"/>
          <w:color w:val="auto"/>
          <w:szCs w:val="21"/>
        </w:rPr>
      </w:pPr>
      <w:r>
        <w:rPr>
          <w:rFonts w:hint="eastAsia" w:ascii="宋体" w:hAnsi="宋体"/>
          <w:color w:val="auto"/>
          <w:szCs w:val="21"/>
        </w:rPr>
        <w:t>A6.2.1评标委员会应当执行连续评标的原则，按评标办法中规定的程序、内容、方法、标准完成全部评标工作。只有发生不可抗力导致评标</w:t>
      </w:r>
      <w:r>
        <w:rPr>
          <w:rFonts w:hint="eastAsia"/>
          <w:color w:val="auto"/>
        </w:rPr>
        <w:t>工作</w:t>
      </w:r>
      <w:r>
        <w:rPr>
          <w:rFonts w:hint="eastAsia" w:ascii="宋体" w:hAnsi="宋体"/>
          <w:color w:val="auto"/>
          <w:szCs w:val="21"/>
        </w:rPr>
        <w:t>无法继续时，评标活动方可暂停。</w:t>
      </w:r>
    </w:p>
    <w:p w14:paraId="45660F76">
      <w:pPr>
        <w:spacing w:line="400" w:lineRule="exact"/>
        <w:ind w:firstLine="420" w:firstLineChars="200"/>
        <w:rPr>
          <w:rFonts w:hint="eastAsia" w:ascii="宋体" w:hAnsi="宋体"/>
          <w:color w:val="auto"/>
          <w:szCs w:val="21"/>
        </w:rPr>
      </w:pPr>
      <w:r>
        <w:rPr>
          <w:rFonts w:hint="eastAsia" w:ascii="宋体" w:hAnsi="宋体"/>
          <w:color w:val="auto"/>
          <w:szCs w:val="21"/>
        </w:rPr>
        <w:t>A6.2.2发生评标暂停情况时，评标委员会应当封存全部投标文件和评标记录，待不可抗力的影响结束且具备继续评标的条件时，由原评标委员会继续评标。</w:t>
      </w:r>
    </w:p>
    <w:p w14:paraId="627A5DCE">
      <w:pPr>
        <w:pStyle w:val="27"/>
        <w:rPr>
          <w:bCs/>
          <w:color w:val="auto"/>
          <w:sz w:val="21"/>
          <w:szCs w:val="21"/>
        </w:rPr>
      </w:pPr>
      <w:bookmarkStart w:id="624" w:name="_Toc183107260"/>
      <w:bookmarkStart w:id="625" w:name="_Toc14362"/>
      <w:bookmarkStart w:id="626" w:name="_Toc150507340"/>
      <w:bookmarkStart w:id="627" w:name="_Toc166326960"/>
      <w:bookmarkStart w:id="628" w:name="_Toc162103242"/>
      <w:r>
        <w:rPr>
          <w:rFonts w:hint="eastAsia"/>
          <w:bCs/>
          <w:color w:val="auto"/>
          <w:sz w:val="21"/>
          <w:szCs w:val="21"/>
        </w:rPr>
        <w:t>A6.3关于评标中途更换评标委员会成员</w:t>
      </w:r>
      <w:bookmarkEnd w:id="624"/>
      <w:bookmarkEnd w:id="625"/>
      <w:bookmarkEnd w:id="626"/>
      <w:bookmarkEnd w:id="627"/>
      <w:bookmarkEnd w:id="628"/>
    </w:p>
    <w:p w14:paraId="79D7A583">
      <w:pPr>
        <w:spacing w:line="400" w:lineRule="exact"/>
        <w:ind w:firstLine="420" w:firstLineChars="200"/>
        <w:rPr>
          <w:rFonts w:hint="eastAsia" w:ascii="宋体" w:hAnsi="宋体"/>
          <w:color w:val="auto"/>
          <w:szCs w:val="21"/>
        </w:rPr>
      </w:pPr>
      <w:r>
        <w:rPr>
          <w:rFonts w:hint="eastAsia" w:ascii="宋体" w:hAnsi="宋体"/>
          <w:color w:val="auto"/>
          <w:szCs w:val="21"/>
        </w:rPr>
        <w:t>A6.3.1除非发生下列情况之一，评标委员会成员</w:t>
      </w:r>
      <w:r>
        <w:rPr>
          <w:rFonts w:hint="eastAsia"/>
          <w:color w:val="auto"/>
        </w:rPr>
        <w:t>不得</w:t>
      </w:r>
      <w:r>
        <w:rPr>
          <w:rFonts w:hint="eastAsia" w:ascii="宋体" w:hAnsi="宋体"/>
          <w:color w:val="auto"/>
          <w:szCs w:val="21"/>
        </w:rPr>
        <w:t>在评标中途更换：</w:t>
      </w:r>
    </w:p>
    <w:p w14:paraId="5385DDAD">
      <w:pPr>
        <w:spacing w:line="400" w:lineRule="exact"/>
        <w:ind w:firstLine="420" w:firstLineChars="200"/>
        <w:rPr>
          <w:rFonts w:hint="eastAsia" w:ascii="宋体" w:hAnsi="宋体"/>
          <w:color w:val="auto"/>
          <w:szCs w:val="21"/>
        </w:rPr>
      </w:pPr>
      <w:r>
        <w:rPr>
          <w:rFonts w:hint="eastAsia" w:ascii="宋体" w:hAnsi="宋体"/>
          <w:color w:val="auto"/>
          <w:szCs w:val="21"/>
        </w:rPr>
        <w:t>（1）因不可抗拒的客观原因，不能到场或需在评标</w:t>
      </w:r>
      <w:r>
        <w:rPr>
          <w:rFonts w:hint="eastAsia"/>
          <w:color w:val="auto"/>
        </w:rPr>
        <w:t>中途</w:t>
      </w:r>
      <w:r>
        <w:rPr>
          <w:rFonts w:hint="eastAsia" w:ascii="宋体" w:hAnsi="宋体"/>
          <w:color w:val="auto"/>
          <w:szCs w:val="21"/>
        </w:rPr>
        <w:t>退出评标活动。</w:t>
      </w:r>
    </w:p>
    <w:p w14:paraId="75D405CA">
      <w:pPr>
        <w:spacing w:line="400" w:lineRule="exact"/>
        <w:ind w:firstLine="420" w:firstLineChars="200"/>
        <w:rPr>
          <w:rFonts w:hint="eastAsia" w:ascii="宋体" w:hAnsi="宋体"/>
          <w:color w:val="auto"/>
          <w:szCs w:val="21"/>
        </w:rPr>
      </w:pPr>
      <w:r>
        <w:rPr>
          <w:rFonts w:hint="eastAsia" w:ascii="宋体" w:hAnsi="宋体"/>
          <w:color w:val="auto"/>
          <w:szCs w:val="21"/>
        </w:rPr>
        <w:t>（2）根据法律法规规定，某个或某几个评标委员会</w:t>
      </w:r>
      <w:r>
        <w:rPr>
          <w:rFonts w:hint="eastAsia"/>
          <w:color w:val="auto"/>
        </w:rPr>
        <w:t>成员</w:t>
      </w:r>
      <w:r>
        <w:rPr>
          <w:rFonts w:hint="eastAsia" w:ascii="宋体" w:hAnsi="宋体"/>
          <w:color w:val="auto"/>
          <w:szCs w:val="21"/>
        </w:rPr>
        <w:t>需要回避。</w:t>
      </w:r>
    </w:p>
    <w:p w14:paraId="420196BE">
      <w:pPr>
        <w:spacing w:line="400" w:lineRule="exact"/>
        <w:ind w:firstLine="420" w:firstLineChars="200"/>
        <w:rPr>
          <w:rFonts w:hint="eastAsia" w:ascii="宋体" w:hAnsi="宋体"/>
          <w:color w:val="auto"/>
          <w:szCs w:val="21"/>
        </w:rPr>
      </w:pPr>
      <w:r>
        <w:rPr>
          <w:rFonts w:hint="eastAsia" w:ascii="宋体" w:hAnsi="宋体"/>
          <w:color w:val="auto"/>
          <w:szCs w:val="21"/>
        </w:rPr>
        <w:t>A6.3.2退出评标的评标委员会成员，其已完成的</w:t>
      </w:r>
      <w:r>
        <w:rPr>
          <w:rFonts w:hint="eastAsia"/>
          <w:color w:val="auto"/>
        </w:rPr>
        <w:t>评标</w:t>
      </w:r>
      <w:r>
        <w:rPr>
          <w:rFonts w:hint="eastAsia" w:ascii="宋体" w:hAnsi="宋体"/>
          <w:color w:val="auto"/>
          <w:szCs w:val="21"/>
        </w:rPr>
        <w:t>行为无效。由招标人根据本招标文件规定的评标委员会成员</w:t>
      </w:r>
      <w:r>
        <w:rPr>
          <w:rFonts w:hint="eastAsia" w:ascii="宋体" w:hAnsi="宋体"/>
          <w:color w:val="auto"/>
          <w:szCs w:val="21"/>
          <w:lang w:eastAsia="zh-CN"/>
        </w:rPr>
        <w:t>产生方式</w:t>
      </w:r>
      <w:r>
        <w:rPr>
          <w:rFonts w:hint="eastAsia" w:ascii="宋体" w:hAnsi="宋体"/>
          <w:color w:val="auto"/>
          <w:szCs w:val="21"/>
        </w:rPr>
        <w:t>另行确定替代者进行评标。</w:t>
      </w:r>
    </w:p>
    <w:p w14:paraId="13E62089">
      <w:pPr>
        <w:pStyle w:val="27"/>
        <w:rPr>
          <w:bCs/>
          <w:color w:val="auto"/>
          <w:sz w:val="21"/>
          <w:szCs w:val="21"/>
        </w:rPr>
      </w:pPr>
      <w:bookmarkStart w:id="629" w:name="_Toc28897"/>
      <w:bookmarkStart w:id="630" w:name="_Toc166326961"/>
      <w:bookmarkStart w:id="631" w:name="_Toc183107261"/>
      <w:bookmarkStart w:id="632" w:name="_Toc150507341"/>
      <w:bookmarkStart w:id="633" w:name="_Toc162103243"/>
      <w:r>
        <w:rPr>
          <w:rFonts w:hint="eastAsia"/>
          <w:bCs/>
          <w:color w:val="auto"/>
          <w:sz w:val="21"/>
          <w:szCs w:val="21"/>
        </w:rPr>
        <w:t>A6.4 评标争议处理</w:t>
      </w:r>
      <w:bookmarkEnd w:id="629"/>
      <w:bookmarkEnd w:id="630"/>
      <w:bookmarkEnd w:id="631"/>
      <w:bookmarkEnd w:id="632"/>
      <w:bookmarkEnd w:id="633"/>
    </w:p>
    <w:p w14:paraId="6BF93CA6">
      <w:pPr>
        <w:spacing w:line="400" w:lineRule="exact"/>
        <w:ind w:firstLine="420" w:firstLineChars="200"/>
        <w:rPr>
          <w:rFonts w:hint="eastAsia" w:ascii="宋体" w:hAnsi="宋体"/>
          <w:color w:val="auto"/>
          <w:szCs w:val="21"/>
        </w:rPr>
      </w:pPr>
      <w:r>
        <w:rPr>
          <w:rFonts w:hint="eastAsia" w:ascii="宋体" w:hAnsi="宋体"/>
          <w:color w:val="auto"/>
          <w:szCs w:val="21"/>
        </w:rPr>
        <w:t>A6.4.1评标委员会全体成员应独立评审，对所</w:t>
      </w:r>
      <w:r>
        <w:rPr>
          <w:rFonts w:hint="eastAsia"/>
          <w:color w:val="auto"/>
        </w:rPr>
        <w:t>提出</w:t>
      </w:r>
      <w:r>
        <w:rPr>
          <w:rFonts w:hint="eastAsia" w:ascii="宋体" w:hAnsi="宋体"/>
          <w:color w:val="auto"/>
          <w:szCs w:val="21"/>
        </w:rPr>
        <w:t>的评审意见承担个人责任。</w:t>
      </w:r>
    </w:p>
    <w:p w14:paraId="057169FA">
      <w:pPr>
        <w:spacing w:line="400" w:lineRule="exact"/>
        <w:ind w:firstLine="420" w:firstLineChars="200"/>
        <w:rPr>
          <w:rFonts w:hint="eastAsia" w:ascii="宋体" w:hAnsi="宋体"/>
          <w:color w:val="auto"/>
          <w:szCs w:val="21"/>
        </w:rPr>
      </w:pPr>
      <w:r>
        <w:rPr>
          <w:rFonts w:hint="eastAsia" w:ascii="宋体" w:hAnsi="宋体"/>
          <w:color w:val="auto"/>
          <w:szCs w:val="21"/>
        </w:rPr>
        <w:t>A6.4.2在任何评标环节中，需评标委员会就某项</w:t>
      </w:r>
      <w:r>
        <w:rPr>
          <w:rFonts w:hint="eastAsia"/>
          <w:color w:val="auto"/>
        </w:rPr>
        <w:t>定性</w:t>
      </w:r>
      <w:r>
        <w:rPr>
          <w:rFonts w:hint="eastAsia" w:ascii="宋体" w:hAnsi="宋体"/>
          <w:color w:val="auto"/>
          <w:szCs w:val="21"/>
        </w:rPr>
        <w:t>的评审结论做出表决的，由评标委员会全体成员按照少数服从多数的原则，以记名投票方式表决。表决不得违背法律、法规、规章和招标文件的规定。</w:t>
      </w:r>
    </w:p>
    <w:p w14:paraId="54C5482C">
      <w:pPr>
        <w:spacing w:line="400" w:lineRule="exact"/>
        <w:ind w:firstLine="420" w:firstLineChars="200"/>
        <w:rPr>
          <w:rFonts w:hint="eastAsia" w:ascii="宋体" w:hAnsi="宋体"/>
          <w:color w:val="auto"/>
          <w:szCs w:val="21"/>
          <w:bdr w:val="single" w:color="auto" w:sz="4" w:space="0"/>
        </w:rPr>
      </w:pPr>
      <w:r>
        <w:rPr>
          <w:rFonts w:hint="eastAsia" w:ascii="宋体" w:hAnsi="宋体"/>
          <w:color w:val="auto"/>
          <w:szCs w:val="21"/>
        </w:rPr>
        <w:t>A6.4.</w:t>
      </w:r>
      <w:r>
        <w:rPr>
          <w:rFonts w:ascii="宋体" w:hAnsi="宋体"/>
          <w:color w:val="auto"/>
          <w:szCs w:val="21"/>
        </w:rPr>
        <w:t>3</w:t>
      </w:r>
      <w:r>
        <w:rPr>
          <w:rFonts w:hint="eastAsia"/>
          <w:color w:val="auto"/>
        </w:rPr>
        <w:t>评标委员会成员对书面决议或评审结论持有异议的，</w:t>
      </w:r>
      <w:r>
        <w:rPr>
          <w:rFonts w:hint="eastAsia" w:ascii="宋体" w:hAnsi="宋体"/>
          <w:color w:val="auto"/>
        </w:rPr>
        <w:t>可以</w:t>
      </w:r>
      <w:r>
        <w:rPr>
          <w:rFonts w:hint="eastAsia"/>
          <w:color w:val="auto"/>
        </w:rPr>
        <w:t>书面阐述其不同意见和理由。拒绝在书面决议或评标报告上签名，且不陈述其不同意见和理由的，视为同意书面决议或评标结论，评标委员会应当</w:t>
      </w:r>
      <w:r>
        <w:rPr>
          <w:rFonts w:hint="eastAsia" w:ascii="宋体" w:hAnsi="宋体"/>
          <w:color w:val="auto"/>
        </w:rPr>
        <w:t>对此</w:t>
      </w:r>
      <w:r>
        <w:rPr>
          <w:rFonts w:hint="eastAsia"/>
          <w:color w:val="auto"/>
        </w:rPr>
        <w:t>在评标报告中做出书面说明。</w:t>
      </w:r>
    </w:p>
    <w:p w14:paraId="19ABCBBF">
      <w:pPr>
        <w:pStyle w:val="27"/>
        <w:rPr>
          <w:color w:val="auto"/>
        </w:rPr>
      </w:pPr>
      <w:bookmarkStart w:id="634" w:name="_Toc14473"/>
      <w:bookmarkStart w:id="635" w:name="_Toc166326962"/>
      <w:bookmarkStart w:id="636" w:name="_Toc183107262"/>
      <w:bookmarkStart w:id="637" w:name="_Toc162103244"/>
      <w:bookmarkStart w:id="638" w:name="_Toc150507342"/>
      <w:r>
        <w:rPr>
          <w:rFonts w:hint="eastAsia"/>
          <w:color w:val="auto"/>
        </w:rPr>
        <w:t>A7.补充条款</w:t>
      </w:r>
      <w:bookmarkEnd w:id="634"/>
      <w:bookmarkEnd w:id="635"/>
      <w:bookmarkEnd w:id="636"/>
      <w:bookmarkEnd w:id="637"/>
      <w:bookmarkEnd w:id="638"/>
    </w:p>
    <w:p w14:paraId="6C96F58B">
      <w:pPr>
        <w:adjustRightInd w:val="0"/>
        <w:snapToGrid w:val="0"/>
        <w:spacing w:line="440" w:lineRule="exact"/>
        <w:ind w:firstLine="420" w:firstLineChars="200"/>
        <w:rPr>
          <w:rFonts w:hint="eastAsia" w:ascii="宋体" w:hAnsi="宋体"/>
          <w:color w:val="auto"/>
          <w:szCs w:val="21"/>
        </w:rPr>
      </w:pPr>
      <w:r>
        <w:rPr>
          <w:rFonts w:hint="eastAsia" w:ascii="宋体" w:hAnsi="宋体"/>
          <w:color w:val="auto"/>
          <w:szCs w:val="21"/>
        </w:rPr>
        <w:t>……</w:t>
      </w:r>
    </w:p>
    <w:bookmarkEnd w:id="464"/>
    <w:bookmarkEnd w:id="470"/>
    <w:p w14:paraId="550F8803">
      <w:pPr>
        <w:adjustRightInd w:val="0"/>
        <w:snapToGrid w:val="0"/>
        <w:spacing w:line="440" w:lineRule="exact"/>
        <w:ind w:firstLine="420" w:firstLineChars="200"/>
        <w:rPr>
          <w:rFonts w:hint="eastAsia" w:ascii="宋体" w:hAnsi="宋体"/>
          <w:color w:val="auto"/>
          <w:szCs w:val="21"/>
        </w:rPr>
      </w:pPr>
      <w:r>
        <w:rPr>
          <w:rFonts w:ascii="宋体" w:hAnsi="宋体"/>
          <w:color w:val="auto"/>
          <w:szCs w:val="21"/>
        </w:rPr>
        <w:br w:type="page"/>
      </w:r>
    </w:p>
    <w:p w14:paraId="29A53166">
      <w:pPr>
        <w:adjustRightInd w:val="0"/>
        <w:snapToGrid w:val="0"/>
        <w:spacing w:line="440" w:lineRule="exact"/>
        <w:ind w:firstLine="420" w:firstLineChars="200"/>
        <w:rPr>
          <w:rFonts w:hint="eastAsia" w:ascii="宋体" w:hAnsi="宋体"/>
          <w:color w:val="auto"/>
          <w:szCs w:val="21"/>
        </w:rPr>
        <w:sectPr>
          <w:type w:val="continuous"/>
          <w:pgSz w:w="11906" w:h="16838"/>
          <w:pgMar w:top="1440" w:right="1797" w:bottom="1440" w:left="1797" w:header="851" w:footer="851" w:gutter="0"/>
          <w:cols w:space="720" w:num="1"/>
          <w:docGrid w:linePitch="312" w:charSpace="0"/>
        </w:sectPr>
      </w:pPr>
    </w:p>
    <w:p w14:paraId="0703F8AE">
      <w:pPr>
        <w:pStyle w:val="3"/>
        <w:rPr>
          <w:b w:val="0"/>
          <w:color w:val="auto"/>
          <w:sz w:val="24"/>
          <w:szCs w:val="24"/>
        </w:rPr>
      </w:pPr>
      <w:bookmarkStart w:id="639" w:name="_Toc183107263"/>
      <w:bookmarkStart w:id="640" w:name="_Toc22285"/>
      <w:r>
        <w:rPr>
          <w:rFonts w:hint="eastAsia"/>
          <w:b w:val="0"/>
          <w:color w:val="auto"/>
          <w:sz w:val="24"/>
          <w:szCs w:val="24"/>
        </w:rPr>
        <w:t>附件B：否决投标的条件</w:t>
      </w:r>
      <w:bookmarkEnd w:id="639"/>
      <w:bookmarkEnd w:id="640"/>
    </w:p>
    <w:p w14:paraId="112B73EF">
      <w:pPr>
        <w:jc w:val="center"/>
        <w:rPr>
          <w:rFonts w:ascii="黑体" w:eastAsia="黑体"/>
          <w:b/>
          <w:color w:val="auto"/>
          <w:sz w:val="28"/>
          <w:szCs w:val="28"/>
        </w:rPr>
      </w:pPr>
      <w:r>
        <w:rPr>
          <w:rFonts w:hint="eastAsia" w:ascii="黑体" w:eastAsia="黑体"/>
          <w:b/>
          <w:color w:val="auto"/>
          <w:sz w:val="28"/>
          <w:szCs w:val="28"/>
        </w:rPr>
        <w:t>否决投标的条件</w:t>
      </w:r>
    </w:p>
    <w:p w14:paraId="1D1543BF">
      <w:pPr>
        <w:pStyle w:val="27"/>
        <w:rPr>
          <w:color w:val="auto"/>
        </w:rPr>
      </w:pPr>
      <w:bookmarkStart w:id="641" w:name="_Toc166326964"/>
      <w:bookmarkStart w:id="642" w:name="_Toc183107264"/>
      <w:bookmarkStart w:id="643" w:name="_Toc30910"/>
      <w:bookmarkStart w:id="644" w:name="_Toc150507344"/>
      <w:r>
        <w:rPr>
          <w:rFonts w:hint="eastAsia"/>
          <w:color w:val="auto"/>
        </w:rPr>
        <w:t>B0.总  则</w:t>
      </w:r>
      <w:bookmarkEnd w:id="641"/>
      <w:bookmarkEnd w:id="642"/>
      <w:bookmarkEnd w:id="643"/>
      <w:bookmarkEnd w:id="644"/>
    </w:p>
    <w:p w14:paraId="79788C7E">
      <w:pPr>
        <w:spacing w:line="430" w:lineRule="exact"/>
        <w:ind w:firstLine="420" w:firstLineChars="200"/>
        <w:rPr>
          <w:rFonts w:hint="eastAsia" w:ascii="宋体" w:hAnsi="宋体"/>
          <w:color w:val="auto"/>
        </w:rPr>
      </w:pPr>
      <w:r>
        <w:rPr>
          <w:rFonts w:hint="eastAsia" w:ascii="宋体" w:hAnsi="宋体"/>
          <w:color w:val="auto"/>
        </w:rPr>
        <w:t>本附件所集中列示的否决投标的条件，是本章“评标办法”的组成部分，是对第二章“投标人须知”和本章正文部分所规定的否决投标的条件的总结和补充，如果出现不一致的情况，</w:t>
      </w:r>
      <w:r>
        <w:rPr>
          <w:rFonts w:hint="eastAsia"/>
          <w:color w:val="auto"/>
        </w:rPr>
        <w:t>以本章前附表和正文部分的规定为准。</w:t>
      </w:r>
    </w:p>
    <w:p w14:paraId="134E5761">
      <w:pPr>
        <w:pStyle w:val="27"/>
        <w:rPr>
          <w:color w:val="auto"/>
        </w:rPr>
      </w:pPr>
      <w:bookmarkStart w:id="645" w:name="_Toc166326965"/>
      <w:bookmarkStart w:id="646" w:name="_Toc183107265"/>
      <w:bookmarkStart w:id="647" w:name="_Toc8698"/>
      <w:bookmarkStart w:id="648" w:name="_Toc150507345"/>
      <w:r>
        <w:rPr>
          <w:rFonts w:hint="eastAsia"/>
          <w:color w:val="auto"/>
        </w:rPr>
        <w:t>B1</w:t>
      </w:r>
      <w:r>
        <w:rPr>
          <w:color w:val="auto"/>
        </w:rPr>
        <w:t>.</w:t>
      </w:r>
      <w:r>
        <w:rPr>
          <w:rFonts w:hint="eastAsia"/>
          <w:color w:val="auto"/>
        </w:rPr>
        <w:t>否决投标的条件</w:t>
      </w:r>
      <w:bookmarkEnd w:id="645"/>
      <w:bookmarkEnd w:id="646"/>
      <w:bookmarkEnd w:id="647"/>
      <w:bookmarkEnd w:id="648"/>
    </w:p>
    <w:p w14:paraId="0A48A607">
      <w:pPr>
        <w:spacing w:line="430" w:lineRule="exact"/>
        <w:ind w:firstLine="420" w:firstLineChars="200"/>
        <w:rPr>
          <w:rFonts w:hint="eastAsia" w:ascii="宋体" w:hAnsi="宋体"/>
          <w:color w:val="auto"/>
        </w:rPr>
      </w:pPr>
      <w:r>
        <w:rPr>
          <w:rFonts w:hint="eastAsia" w:ascii="宋体" w:hAnsi="宋体"/>
          <w:color w:val="auto"/>
        </w:rPr>
        <w:t>投标人或其投标文件有下列情形之一的，</w:t>
      </w:r>
      <w:r>
        <w:rPr>
          <w:rFonts w:hint="eastAsia"/>
          <w:color w:val="auto"/>
        </w:rPr>
        <w:t>评标委员会应当否决其投标</w:t>
      </w:r>
      <w:r>
        <w:rPr>
          <w:rFonts w:hint="eastAsia" w:ascii="宋体" w:hAnsi="宋体"/>
          <w:color w:val="auto"/>
        </w:rPr>
        <w:t>：</w:t>
      </w:r>
    </w:p>
    <w:p w14:paraId="584F5E4F">
      <w:pPr>
        <w:spacing w:line="430" w:lineRule="exact"/>
        <w:ind w:firstLine="420" w:firstLineChars="200"/>
        <w:rPr>
          <w:rFonts w:hint="eastAsia" w:ascii="宋体" w:hAnsi="宋体"/>
          <w:color w:val="auto"/>
        </w:rPr>
      </w:pPr>
      <w:r>
        <w:rPr>
          <w:rFonts w:hint="eastAsia" w:ascii="宋体" w:hAnsi="宋体"/>
          <w:color w:val="auto"/>
        </w:rPr>
        <w:t>B1.1在形式评审、资格评审、响应性评审中，评标委员会认定投标人的投标文件不符合评标办法前附表中规定的任何一项评审标准的。主要包括以下内容：</w:t>
      </w:r>
    </w:p>
    <w:p w14:paraId="33614953">
      <w:pPr>
        <w:spacing w:line="430" w:lineRule="exact"/>
        <w:ind w:firstLine="420" w:firstLineChars="200"/>
        <w:rPr>
          <w:color w:val="auto"/>
        </w:rPr>
      </w:pPr>
      <w:r>
        <w:rPr>
          <w:rFonts w:hint="eastAsia"/>
          <w:color w:val="auto"/>
        </w:rPr>
        <w:t>（1）</w:t>
      </w:r>
      <w:r>
        <w:rPr>
          <w:rFonts w:hint="eastAsia" w:ascii="宋体" w:hAnsi="宋体"/>
          <w:color w:val="auto"/>
        </w:rPr>
        <w:t>投标人名称与营业执照、资质证书、安全生产许可证不一致；或提供无效的营业执照、资质证书、安全生产许可证的；</w:t>
      </w:r>
    </w:p>
    <w:p w14:paraId="64622123">
      <w:pPr>
        <w:spacing w:line="430" w:lineRule="exact"/>
        <w:ind w:firstLine="420" w:firstLineChars="200"/>
        <w:rPr>
          <w:rFonts w:hint="eastAsia" w:ascii="宋体" w:hAnsi="宋体"/>
          <w:color w:val="auto"/>
        </w:rPr>
      </w:pPr>
      <w:r>
        <w:rPr>
          <w:rFonts w:hint="eastAsia"/>
          <w:color w:val="auto"/>
        </w:rPr>
        <w:t>（</w:t>
      </w:r>
      <w:r>
        <w:rPr>
          <w:color w:val="auto"/>
        </w:rPr>
        <w:t>2</w:t>
      </w:r>
      <w:r>
        <w:rPr>
          <w:rFonts w:hint="eastAsia"/>
          <w:color w:val="auto"/>
        </w:rPr>
        <w:t>）</w:t>
      </w:r>
      <w:r>
        <w:rPr>
          <w:rFonts w:hint="eastAsia" w:ascii="宋体" w:hAnsi="宋体"/>
          <w:color w:val="auto"/>
        </w:rPr>
        <w:t>未按照</w:t>
      </w:r>
      <w:r>
        <w:rPr>
          <w:rFonts w:hint="eastAsia" w:ascii="宋体" w:hAnsi="宋体"/>
          <w:color w:val="auto"/>
          <w:szCs w:val="21"/>
        </w:rPr>
        <w:t>第二章“投标人须知”</w:t>
      </w:r>
      <w:r>
        <w:rPr>
          <w:rFonts w:hint="eastAsia"/>
          <w:color w:val="auto"/>
          <w:szCs w:val="21"/>
        </w:rPr>
        <w:t>第3.7.3（</w:t>
      </w:r>
      <w:r>
        <w:rPr>
          <w:color w:val="auto"/>
          <w:szCs w:val="21"/>
        </w:rPr>
        <w:t>4</w:t>
      </w:r>
      <w:r>
        <w:rPr>
          <w:rFonts w:hint="eastAsia"/>
          <w:color w:val="auto"/>
          <w:szCs w:val="21"/>
        </w:rPr>
        <w:t>）</w:t>
      </w:r>
      <w:r>
        <w:rPr>
          <w:rFonts w:hint="eastAsia" w:ascii="宋体" w:hAnsi="宋体"/>
          <w:color w:val="auto"/>
          <w:szCs w:val="21"/>
        </w:rPr>
        <w:t>目规定和第八章“投标文件格式”的要求进行电子签章的；</w:t>
      </w:r>
    </w:p>
    <w:p w14:paraId="4EDA7742">
      <w:pPr>
        <w:spacing w:line="430" w:lineRule="exact"/>
        <w:ind w:firstLine="420" w:firstLineChars="200"/>
        <w:rPr>
          <w:rFonts w:hint="eastAsia" w:ascii="宋体" w:hAnsi="宋体"/>
          <w:color w:val="auto"/>
        </w:rPr>
      </w:pPr>
      <w:r>
        <w:rPr>
          <w:rFonts w:hint="eastAsia"/>
          <w:color w:val="auto"/>
        </w:rPr>
        <w:t>（3）</w:t>
      </w:r>
      <w:r>
        <w:rPr>
          <w:rFonts w:hint="eastAsia" w:ascii="宋体" w:hAnsi="宋体"/>
          <w:color w:val="auto"/>
        </w:rPr>
        <w:t>联合体投标没有提交共同投标协议或共同投标协议未按招标文件提供的格式签署、提交，未明确联合体牵头人和各方权利与义务，未承诺就中标项目向招标人承担连带责任的（如有）；</w:t>
      </w:r>
    </w:p>
    <w:p w14:paraId="45896F97">
      <w:pPr>
        <w:spacing w:line="430" w:lineRule="exact"/>
        <w:ind w:firstLine="420" w:firstLineChars="200"/>
        <w:rPr>
          <w:rFonts w:hint="eastAsia" w:ascii="宋体" w:hAnsi="宋体"/>
          <w:color w:val="auto"/>
        </w:rPr>
      </w:pPr>
      <w:r>
        <w:rPr>
          <w:rFonts w:hint="eastAsia" w:ascii="宋体" w:hAnsi="宋体"/>
          <w:color w:val="auto"/>
        </w:rPr>
        <w:t>（</w:t>
      </w:r>
      <w:r>
        <w:rPr>
          <w:rFonts w:hint="eastAsia"/>
          <w:color w:val="auto"/>
        </w:rPr>
        <w:t>4）</w:t>
      </w:r>
      <w:r>
        <w:rPr>
          <w:rFonts w:hint="eastAsia" w:ascii="宋体" w:hAnsi="宋体"/>
          <w:color w:val="auto"/>
        </w:rPr>
        <w:t>同一投标人提交两个以上不同的投标文件或者投标报价的（但招标文件要求提交备选投标的除外）；</w:t>
      </w:r>
    </w:p>
    <w:p w14:paraId="3EEB5908">
      <w:pPr>
        <w:spacing w:line="430" w:lineRule="exact"/>
        <w:ind w:firstLine="420" w:firstLineChars="200"/>
        <w:rPr>
          <w:rFonts w:hint="eastAsia" w:ascii="宋体" w:hAnsi="宋体"/>
          <w:color w:val="auto"/>
        </w:rPr>
      </w:pPr>
      <w:r>
        <w:rPr>
          <w:rFonts w:hint="eastAsia"/>
          <w:color w:val="auto"/>
        </w:rPr>
        <w:t>（5）</w:t>
      </w:r>
      <w:r>
        <w:rPr>
          <w:rFonts w:hint="eastAsia" w:ascii="宋体" w:hAnsi="宋体"/>
          <w:color w:val="auto"/>
        </w:rPr>
        <w:t>未按照招标文件的要求报送应有的投标报价表格的；</w:t>
      </w:r>
    </w:p>
    <w:p w14:paraId="6847D7B5">
      <w:pPr>
        <w:spacing w:line="430" w:lineRule="exact"/>
        <w:ind w:firstLine="420" w:firstLineChars="200"/>
        <w:rPr>
          <w:rFonts w:hint="eastAsia" w:ascii="宋体" w:hAnsi="宋体"/>
          <w:color w:val="auto"/>
        </w:rPr>
      </w:pPr>
      <w:r>
        <w:rPr>
          <w:rFonts w:hint="eastAsia"/>
          <w:color w:val="auto"/>
        </w:rPr>
        <w:t>（6）</w:t>
      </w:r>
      <w:r>
        <w:rPr>
          <w:rFonts w:hint="eastAsia" w:ascii="宋体" w:hAnsi="宋体"/>
          <w:color w:val="auto"/>
        </w:rPr>
        <w:t>项目经理二次刷卡实名认证未通过的；</w:t>
      </w:r>
    </w:p>
    <w:p w14:paraId="092A62E8">
      <w:pPr>
        <w:spacing w:line="430" w:lineRule="exact"/>
        <w:ind w:firstLine="420" w:firstLineChars="200"/>
        <w:rPr>
          <w:rFonts w:hint="eastAsia" w:ascii="宋体" w:hAnsi="宋体"/>
          <w:color w:val="auto"/>
          <w:szCs w:val="21"/>
        </w:rPr>
      </w:pPr>
      <w:r>
        <w:rPr>
          <w:rFonts w:hint="eastAsia"/>
          <w:color w:val="auto"/>
        </w:rPr>
        <w:t>（7）</w:t>
      </w:r>
      <w:r>
        <w:rPr>
          <w:rFonts w:hint="eastAsia" w:ascii="宋体" w:hAnsi="宋体"/>
          <w:color w:val="auto"/>
        </w:rPr>
        <w:t>法定</w:t>
      </w:r>
      <w:r>
        <w:rPr>
          <w:rFonts w:hint="eastAsia" w:ascii="宋体" w:hAnsi="宋体"/>
          <w:color w:val="auto"/>
          <w:szCs w:val="21"/>
        </w:rPr>
        <w:t>代表人或授权委托人未完成实名认证的；</w:t>
      </w:r>
    </w:p>
    <w:p w14:paraId="2991D3F5">
      <w:pPr>
        <w:spacing w:line="430" w:lineRule="exact"/>
        <w:ind w:firstLine="420" w:firstLineChars="200"/>
        <w:rPr>
          <w:rFonts w:hint="eastAsia" w:ascii="宋体" w:hAnsi="宋体"/>
          <w:color w:val="auto"/>
        </w:rPr>
      </w:pPr>
      <w:r>
        <w:rPr>
          <w:rFonts w:hint="eastAsia"/>
          <w:color w:val="auto"/>
        </w:rPr>
        <w:t>（8）</w:t>
      </w:r>
      <w:r>
        <w:rPr>
          <w:rFonts w:hint="eastAsia" w:ascii="宋体" w:hAnsi="宋体"/>
          <w:color w:val="auto"/>
        </w:rPr>
        <w:t>未按招标文件要求编制技术标（暗标）投标文件的；</w:t>
      </w:r>
    </w:p>
    <w:p w14:paraId="1E98E998">
      <w:pPr>
        <w:spacing w:line="430" w:lineRule="exact"/>
        <w:ind w:firstLine="420" w:firstLineChars="200"/>
        <w:rPr>
          <w:rFonts w:hint="eastAsia" w:ascii="宋体" w:hAnsi="宋体"/>
          <w:color w:val="auto"/>
        </w:rPr>
      </w:pPr>
      <w:r>
        <w:rPr>
          <w:rFonts w:hint="eastAsia"/>
          <w:color w:val="auto"/>
        </w:rPr>
        <w:t>（</w:t>
      </w:r>
      <w:r>
        <w:rPr>
          <w:color w:val="auto"/>
        </w:rPr>
        <w:t>9</w:t>
      </w:r>
      <w:r>
        <w:rPr>
          <w:rFonts w:hint="eastAsia"/>
          <w:color w:val="auto"/>
        </w:rPr>
        <w:t>）</w:t>
      </w:r>
      <w:r>
        <w:rPr>
          <w:rFonts w:hint="eastAsia" w:ascii="宋体" w:hAnsi="宋体"/>
          <w:color w:val="auto"/>
        </w:rPr>
        <w:t>投标人资质条件不符合国家规定和招标文件要求的；</w:t>
      </w:r>
    </w:p>
    <w:p w14:paraId="226D4673">
      <w:pPr>
        <w:spacing w:line="430" w:lineRule="exact"/>
        <w:ind w:firstLine="420" w:firstLineChars="200"/>
        <w:rPr>
          <w:rFonts w:hint="eastAsia" w:ascii="宋体" w:hAnsi="宋体"/>
          <w:color w:val="auto"/>
        </w:rPr>
      </w:pPr>
      <w:r>
        <w:rPr>
          <w:rFonts w:hint="eastAsia"/>
          <w:color w:val="auto"/>
        </w:rPr>
        <w:t>（</w:t>
      </w:r>
      <w:r>
        <w:rPr>
          <w:color w:val="auto"/>
        </w:rPr>
        <w:t>10</w:t>
      </w:r>
      <w:r>
        <w:rPr>
          <w:rFonts w:hint="eastAsia" w:ascii="宋体" w:hAnsi="宋体"/>
          <w:color w:val="auto"/>
        </w:rPr>
        <w:t>）项目负责人资格不符合招标文件规定的专业等级要求，或已在其他在建工程担任项目经理（同一工程相邻分段发包或者分期施工的除外）；</w:t>
      </w:r>
    </w:p>
    <w:p w14:paraId="40386E43">
      <w:pPr>
        <w:spacing w:line="430" w:lineRule="exact"/>
        <w:ind w:firstLine="420" w:firstLineChars="200"/>
        <w:rPr>
          <w:rFonts w:hint="eastAsia" w:ascii="宋体" w:hAnsi="宋体"/>
          <w:color w:val="auto"/>
        </w:rPr>
      </w:pPr>
      <w:r>
        <w:rPr>
          <w:rFonts w:hint="eastAsia"/>
          <w:color w:val="auto"/>
        </w:rPr>
        <w:t>（1</w:t>
      </w:r>
      <w:r>
        <w:rPr>
          <w:color w:val="auto"/>
        </w:rPr>
        <w:t>1</w:t>
      </w:r>
      <w:r>
        <w:rPr>
          <w:rFonts w:hint="eastAsia" w:ascii="宋体" w:hAnsi="宋体"/>
          <w:color w:val="auto"/>
        </w:rPr>
        <w:t>）</w:t>
      </w:r>
      <w:r>
        <w:rPr>
          <w:rFonts w:hint="eastAsia"/>
          <w:color w:val="auto"/>
        </w:rPr>
        <w:t>具有投标人须知第1.4.3（10）至（17）条目规定的情形；</w:t>
      </w:r>
    </w:p>
    <w:p w14:paraId="7316546A">
      <w:pPr>
        <w:spacing w:line="430" w:lineRule="exact"/>
        <w:ind w:firstLine="420" w:firstLineChars="200"/>
        <w:rPr>
          <w:rFonts w:hint="eastAsia" w:ascii="宋体" w:hAnsi="宋体"/>
          <w:color w:val="auto"/>
        </w:rPr>
      </w:pPr>
      <w:r>
        <w:rPr>
          <w:rFonts w:hint="eastAsia"/>
          <w:color w:val="auto"/>
        </w:rPr>
        <w:t>（</w:t>
      </w:r>
      <w:r>
        <w:rPr>
          <w:color w:val="auto"/>
        </w:rPr>
        <w:t>12</w:t>
      </w:r>
      <w:r>
        <w:rPr>
          <w:rFonts w:hint="eastAsia"/>
          <w:color w:val="auto"/>
        </w:rPr>
        <w:t>）</w:t>
      </w:r>
      <w:r>
        <w:rPr>
          <w:rFonts w:hint="eastAsia" w:ascii="宋体" w:hAnsi="宋体"/>
          <w:color w:val="auto"/>
        </w:rPr>
        <w:t>未按招标文件要求提交投标保证金的；</w:t>
      </w:r>
    </w:p>
    <w:p w14:paraId="2EE08F1E">
      <w:pPr>
        <w:spacing w:line="430" w:lineRule="exact"/>
        <w:ind w:firstLine="420" w:firstLineChars="200"/>
        <w:rPr>
          <w:rFonts w:hint="eastAsia" w:ascii="宋体" w:hAnsi="宋体"/>
          <w:color w:val="auto"/>
        </w:rPr>
      </w:pPr>
      <w:r>
        <w:rPr>
          <w:rFonts w:hint="eastAsia"/>
          <w:color w:val="auto"/>
        </w:rPr>
        <w:t>（</w:t>
      </w:r>
      <w:r>
        <w:rPr>
          <w:color w:val="auto"/>
        </w:rPr>
        <w:t>13</w:t>
      </w:r>
      <w:r>
        <w:rPr>
          <w:rFonts w:hint="eastAsia" w:ascii="宋体" w:hAnsi="宋体"/>
          <w:color w:val="auto"/>
        </w:rPr>
        <w:t>）投标人填写的清单编码、清单名称、项目特征、计量单位、工程量与招标文件给定的工程量清单不一致的；</w:t>
      </w:r>
    </w:p>
    <w:p w14:paraId="7ECF913B">
      <w:pPr>
        <w:spacing w:line="430" w:lineRule="exact"/>
        <w:ind w:firstLine="420" w:firstLineChars="200"/>
        <w:rPr>
          <w:rFonts w:hint="eastAsia" w:ascii="宋体" w:hAnsi="宋体"/>
          <w:color w:val="auto"/>
        </w:rPr>
      </w:pPr>
      <w:r>
        <w:rPr>
          <w:rFonts w:hint="eastAsia"/>
          <w:color w:val="auto"/>
        </w:rPr>
        <w:t>（</w:t>
      </w:r>
      <w:r>
        <w:rPr>
          <w:color w:val="auto"/>
        </w:rPr>
        <w:t>14</w:t>
      </w:r>
      <w:r>
        <w:rPr>
          <w:rFonts w:hint="eastAsia" w:ascii="宋体" w:hAnsi="宋体"/>
          <w:color w:val="auto"/>
        </w:rPr>
        <w:t>）投标人修改招标文件给定的工程量清单中所列价格（包括暂列金额、材料暂估价、专业工程暂估价等）的；</w:t>
      </w:r>
    </w:p>
    <w:p w14:paraId="52E9AAA5">
      <w:pPr>
        <w:spacing w:line="430" w:lineRule="exact"/>
        <w:ind w:firstLine="420" w:firstLineChars="200"/>
        <w:rPr>
          <w:rFonts w:hint="eastAsia" w:ascii="宋体" w:hAnsi="宋体"/>
          <w:color w:val="auto"/>
        </w:rPr>
      </w:pPr>
      <w:r>
        <w:rPr>
          <w:rFonts w:hint="eastAsia" w:ascii="宋体" w:hAnsi="宋体"/>
          <w:color w:val="auto"/>
        </w:rPr>
        <w:t>（</w:t>
      </w:r>
      <w:r>
        <w:rPr>
          <w:rFonts w:hint="eastAsia"/>
          <w:color w:val="auto"/>
        </w:rPr>
        <w:t>1</w:t>
      </w:r>
      <w:r>
        <w:rPr>
          <w:color w:val="auto"/>
        </w:rPr>
        <w:t>5</w:t>
      </w:r>
      <w:r>
        <w:rPr>
          <w:rFonts w:hint="eastAsia" w:ascii="宋体" w:hAnsi="宋体"/>
          <w:color w:val="auto"/>
        </w:rPr>
        <w:t>）工期未响应招标文件规定的；</w:t>
      </w:r>
    </w:p>
    <w:p w14:paraId="2A310223">
      <w:pPr>
        <w:spacing w:line="430" w:lineRule="exact"/>
        <w:ind w:firstLine="420" w:firstLineChars="200"/>
        <w:rPr>
          <w:rFonts w:hint="eastAsia" w:ascii="宋体" w:hAnsi="宋体"/>
          <w:color w:val="auto"/>
        </w:rPr>
      </w:pPr>
      <w:r>
        <w:rPr>
          <w:rFonts w:hint="eastAsia" w:ascii="宋体" w:hAnsi="宋体"/>
          <w:color w:val="auto"/>
        </w:rPr>
        <w:t>（</w:t>
      </w:r>
      <w:r>
        <w:rPr>
          <w:rFonts w:hint="eastAsia"/>
          <w:color w:val="auto"/>
        </w:rPr>
        <w:t>1</w:t>
      </w:r>
      <w:r>
        <w:rPr>
          <w:color w:val="auto"/>
        </w:rPr>
        <w:t>6</w:t>
      </w:r>
      <w:r>
        <w:rPr>
          <w:rFonts w:hint="eastAsia" w:ascii="宋体" w:hAnsi="宋体"/>
          <w:color w:val="auto"/>
        </w:rPr>
        <w:t>）投标人不接受算术错误修正后的报价；</w:t>
      </w:r>
    </w:p>
    <w:p w14:paraId="5B996B1C">
      <w:pPr>
        <w:spacing w:line="430" w:lineRule="exact"/>
        <w:ind w:firstLine="420" w:firstLineChars="200"/>
        <w:rPr>
          <w:rFonts w:hint="eastAsia" w:ascii="宋体" w:hAnsi="宋体"/>
          <w:color w:val="auto"/>
        </w:rPr>
      </w:pPr>
      <w:r>
        <w:rPr>
          <w:rFonts w:hint="eastAsia" w:ascii="宋体" w:hAnsi="宋体"/>
          <w:color w:val="auto"/>
        </w:rPr>
        <w:t>（</w:t>
      </w:r>
      <w:r>
        <w:rPr>
          <w:rFonts w:hint="eastAsia"/>
          <w:color w:val="auto"/>
        </w:rPr>
        <w:t>1</w:t>
      </w:r>
      <w:r>
        <w:rPr>
          <w:color w:val="auto"/>
        </w:rPr>
        <w:t>7</w:t>
      </w:r>
      <w:r>
        <w:rPr>
          <w:rFonts w:hint="eastAsia" w:ascii="宋体" w:hAnsi="宋体"/>
          <w:color w:val="auto"/>
        </w:rPr>
        <w:t>）投标报价（含修正后）高于招标文件设定的最高投标限价的；</w:t>
      </w:r>
    </w:p>
    <w:p w14:paraId="71723C85">
      <w:pPr>
        <w:spacing w:line="430" w:lineRule="exact"/>
        <w:ind w:firstLine="420" w:firstLineChars="200"/>
        <w:rPr>
          <w:rFonts w:hint="eastAsia" w:ascii="宋体" w:hAnsi="宋体"/>
          <w:color w:val="auto"/>
        </w:rPr>
      </w:pPr>
      <w:r>
        <w:rPr>
          <w:rFonts w:hint="eastAsia" w:ascii="宋体" w:hAnsi="宋体"/>
          <w:color w:val="auto"/>
        </w:rPr>
        <w:t>（</w:t>
      </w:r>
      <w:r>
        <w:rPr>
          <w:rFonts w:hint="eastAsia"/>
          <w:color w:val="auto"/>
        </w:rPr>
        <w:t>1</w:t>
      </w:r>
      <w:r>
        <w:rPr>
          <w:color w:val="auto"/>
        </w:rPr>
        <w:t>8</w:t>
      </w:r>
      <w:r>
        <w:rPr>
          <w:rFonts w:hint="eastAsia" w:ascii="宋体" w:hAnsi="宋体"/>
          <w:color w:val="auto"/>
        </w:rPr>
        <w:t>）质量不满足招标文件规定的；</w:t>
      </w:r>
    </w:p>
    <w:p w14:paraId="143AED5E">
      <w:pPr>
        <w:spacing w:line="430" w:lineRule="exact"/>
        <w:ind w:firstLine="420" w:firstLineChars="200"/>
        <w:rPr>
          <w:color w:val="auto"/>
        </w:rPr>
      </w:pPr>
      <w:r>
        <w:rPr>
          <w:rFonts w:hint="eastAsia" w:ascii="宋体" w:hAnsi="宋体"/>
          <w:color w:val="auto"/>
        </w:rPr>
        <w:t>（</w:t>
      </w:r>
      <w:r>
        <w:rPr>
          <w:rFonts w:hint="eastAsia"/>
          <w:color w:val="auto"/>
        </w:rPr>
        <w:t>1</w:t>
      </w:r>
      <w:r>
        <w:rPr>
          <w:color w:val="auto"/>
        </w:rPr>
        <w:t>9</w:t>
      </w:r>
      <w:r>
        <w:rPr>
          <w:rFonts w:hint="eastAsia"/>
          <w:color w:val="auto"/>
        </w:rPr>
        <w:t>）投标有效期不符合招标文件规定的；</w:t>
      </w:r>
    </w:p>
    <w:p w14:paraId="74177E5B">
      <w:pPr>
        <w:spacing w:line="430" w:lineRule="exact"/>
        <w:ind w:firstLine="420" w:firstLineChars="200"/>
        <w:rPr>
          <w:color w:val="auto"/>
        </w:rPr>
      </w:pPr>
      <w:r>
        <w:rPr>
          <w:rFonts w:hint="eastAsia"/>
          <w:color w:val="auto"/>
        </w:rPr>
        <w:t>（</w:t>
      </w:r>
      <w:r>
        <w:rPr>
          <w:color w:val="auto"/>
        </w:rPr>
        <w:t>20</w:t>
      </w:r>
      <w:r>
        <w:rPr>
          <w:rFonts w:hint="eastAsia"/>
          <w:color w:val="auto"/>
        </w:rPr>
        <w:t>）权利义务承诺不符合或低于招标文件规定的；</w:t>
      </w:r>
    </w:p>
    <w:p w14:paraId="701BB316">
      <w:pPr>
        <w:spacing w:line="430" w:lineRule="exact"/>
        <w:ind w:firstLine="420" w:firstLineChars="200"/>
        <w:rPr>
          <w:color w:val="auto"/>
        </w:rPr>
      </w:pPr>
      <w:r>
        <w:rPr>
          <w:rFonts w:hint="eastAsia"/>
          <w:color w:val="auto"/>
        </w:rPr>
        <w:t>（2</w:t>
      </w:r>
      <w:r>
        <w:rPr>
          <w:color w:val="auto"/>
        </w:rPr>
        <w:t>1</w:t>
      </w:r>
      <w:r>
        <w:rPr>
          <w:rFonts w:hint="eastAsia"/>
          <w:color w:val="auto"/>
        </w:rPr>
        <w:t>）技术标准和要求不符合招标文件规定的；</w:t>
      </w:r>
    </w:p>
    <w:p w14:paraId="7A073B8B">
      <w:pPr>
        <w:spacing w:line="430" w:lineRule="exact"/>
        <w:ind w:firstLine="420" w:firstLineChars="200"/>
        <w:rPr>
          <w:rFonts w:hint="eastAsia" w:ascii="宋体" w:hAnsi="宋体"/>
          <w:color w:val="auto"/>
        </w:rPr>
      </w:pPr>
      <w:r>
        <w:rPr>
          <w:rFonts w:hint="eastAsia"/>
          <w:color w:val="auto"/>
        </w:rPr>
        <w:t>（2</w:t>
      </w:r>
      <w:r>
        <w:rPr>
          <w:color w:val="auto"/>
        </w:rPr>
        <w:t>2</w:t>
      </w:r>
      <w:r>
        <w:rPr>
          <w:rFonts w:hint="eastAsia" w:ascii="宋体" w:hAnsi="宋体"/>
          <w:color w:val="auto"/>
        </w:rPr>
        <w:t>）分包计划不符合招标文件规定的。</w:t>
      </w:r>
    </w:p>
    <w:p w14:paraId="31923096">
      <w:pPr>
        <w:spacing w:line="430" w:lineRule="exact"/>
        <w:ind w:firstLine="420" w:firstLineChars="200"/>
        <w:rPr>
          <w:rFonts w:hint="eastAsia" w:ascii="宋体" w:hAnsi="宋体"/>
          <w:color w:val="auto"/>
        </w:rPr>
      </w:pPr>
      <w:r>
        <w:rPr>
          <w:rFonts w:hint="eastAsia" w:ascii="宋体" w:hAnsi="宋体"/>
          <w:color w:val="auto"/>
        </w:rPr>
        <w:t>B1.2不按评标委员会要求澄清、说明或补正的。</w:t>
      </w:r>
    </w:p>
    <w:p w14:paraId="40B3E6A0">
      <w:pPr>
        <w:spacing w:line="430" w:lineRule="exact"/>
        <w:ind w:firstLine="420" w:firstLineChars="200"/>
        <w:rPr>
          <w:rFonts w:hint="eastAsia" w:ascii="宋体" w:hAnsi="宋体"/>
          <w:color w:val="auto"/>
        </w:rPr>
      </w:pPr>
      <w:r>
        <w:rPr>
          <w:rFonts w:hint="eastAsia" w:ascii="宋体" w:hAnsi="宋体"/>
          <w:color w:val="auto"/>
        </w:rPr>
        <w:t>B1.3有串通投标、弄虚作假</w:t>
      </w:r>
      <w:r>
        <w:rPr>
          <w:rFonts w:hint="eastAsia"/>
          <w:color w:val="auto"/>
        </w:rPr>
        <w:t>或</w:t>
      </w:r>
      <w:r>
        <w:rPr>
          <w:rFonts w:hint="eastAsia" w:ascii="宋体" w:hAnsi="宋体"/>
          <w:color w:val="auto"/>
        </w:rPr>
        <w:t>有其他违法行为的。包括以下内容：</w:t>
      </w:r>
    </w:p>
    <w:p w14:paraId="57B186D5">
      <w:pPr>
        <w:spacing w:line="380" w:lineRule="exact"/>
        <w:ind w:firstLine="420" w:firstLineChars="200"/>
        <w:rPr>
          <w:color w:val="auto"/>
        </w:rPr>
      </w:pPr>
      <w:r>
        <w:rPr>
          <w:rFonts w:hint="eastAsia"/>
          <w:color w:val="auto"/>
        </w:rPr>
        <w:t>（1）有下列情形之一的，视为投标人相互串通投标：</w:t>
      </w:r>
    </w:p>
    <w:p w14:paraId="54F80111">
      <w:pPr>
        <w:spacing w:line="380" w:lineRule="exact"/>
        <w:ind w:firstLine="420" w:firstLineChars="200"/>
        <w:rPr>
          <w:color w:val="auto"/>
        </w:rPr>
      </w:pPr>
      <w:r>
        <w:rPr>
          <w:rFonts w:hint="eastAsia"/>
          <w:color w:val="auto"/>
        </w:rPr>
        <w:t>① 不同投标人的投标文件由同一单位或者个人编制；</w:t>
      </w:r>
    </w:p>
    <w:p w14:paraId="261F7698">
      <w:pPr>
        <w:spacing w:line="380" w:lineRule="exact"/>
        <w:ind w:firstLine="420" w:firstLineChars="200"/>
        <w:rPr>
          <w:color w:val="auto"/>
        </w:rPr>
      </w:pPr>
      <w:r>
        <w:rPr>
          <w:rFonts w:hint="eastAsia"/>
          <w:color w:val="auto"/>
        </w:rPr>
        <w:t>② 不同投标人委托同一单位或者个人办理投标事宜；</w:t>
      </w:r>
    </w:p>
    <w:p w14:paraId="416BA337">
      <w:pPr>
        <w:spacing w:line="380" w:lineRule="exact"/>
        <w:ind w:firstLine="420" w:firstLineChars="200"/>
        <w:rPr>
          <w:color w:val="auto"/>
        </w:rPr>
      </w:pPr>
      <w:r>
        <w:rPr>
          <w:rFonts w:hint="eastAsia"/>
          <w:color w:val="auto"/>
        </w:rPr>
        <w:t>③ 不同投标人使用同一电脑等电子设备办理投标事宜（下载招标文件、上传投标文件、授权委托人或项目经理实名认证等关键环节）；</w:t>
      </w:r>
    </w:p>
    <w:p w14:paraId="4B04EAF4">
      <w:pPr>
        <w:spacing w:line="380" w:lineRule="exact"/>
        <w:ind w:firstLine="420" w:firstLineChars="200"/>
        <w:rPr>
          <w:color w:val="auto"/>
        </w:rPr>
      </w:pPr>
      <w:r>
        <w:rPr>
          <w:rFonts w:hint="eastAsia"/>
          <w:color w:val="auto"/>
        </w:rPr>
        <w:t>④ 不同投标人的投标文件载明的项目管理成员为同一人；</w:t>
      </w:r>
    </w:p>
    <w:p w14:paraId="0A0D993A">
      <w:pPr>
        <w:spacing w:line="380" w:lineRule="exact"/>
        <w:ind w:firstLine="420" w:firstLineChars="200"/>
        <w:rPr>
          <w:color w:val="auto"/>
        </w:rPr>
      </w:pPr>
      <w:r>
        <w:rPr>
          <w:rFonts w:hint="eastAsia"/>
          <w:color w:val="auto"/>
        </w:rPr>
        <w:t>⑤ 不同投标人的投标文件非典型一致或者投标报价呈规律性差异；</w:t>
      </w:r>
    </w:p>
    <w:p w14:paraId="3A55D197">
      <w:pPr>
        <w:spacing w:line="380" w:lineRule="exact"/>
        <w:ind w:firstLine="420" w:firstLineChars="200"/>
        <w:rPr>
          <w:color w:val="auto"/>
        </w:rPr>
      </w:pPr>
      <w:r>
        <w:rPr>
          <w:rFonts w:hint="eastAsia"/>
          <w:color w:val="auto"/>
        </w:rPr>
        <w:t>⑥ 不同投标人的投标文件相互混装；</w:t>
      </w:r>
    </w:p>
    <w:p w14:paraId="01E8C6AB">
      <w:pPr>
        <w:spacing w:line="380" w:lineRule="exact"/>
        <w:ind w:firstLine="420" w:firstLineChars="200"/>
        <w:rPr>
          <w:color w:val="auto"/>
        </w:rPr>
      </w:pPr>
      <w:r>
        <w:rPr>
          <w:color w:val="auto"/>
        </w:rPr>
        <w:fldChar w:fldCharType="begin"/>
      </w:r>
      <w:r>
        <w:rPr>
          <w:color w:val="auto"/>
        </w:rPr>
        <w:instrText xml:space="preserve"> </w:instrText>
      </w:r>
      <w:r>
        <w:rPr>
          <w:rFonts w:hint="eastAsia"/>
          <w:color w:val="auto"/>
        </w:rPr>
        <w:instrText xml:space="preserve">= 7 \* GB3</w:instrText>
      </w:r>
      <w:r>
        <w:rPr>
          <w:color w:val="auto"/>
        </w:rPr>
        <w:instrText xml:space="preserve"> </w:instrText>
      </w:r>
      <w:r>
        <w:rPr>
          <w:color w:val="auto"/>
        </w:rPr>
        <w:fldChar w:fldCharType="separate"/>
      </w:r>
      <w:r>
        <w:rPr>
          <w:rFonts w:hint="eastAsia"/>
          <w:color w:val="auto"/>
        </w:rPr>
        <w:t>⑦</w:t>
      </w:r>
      <w:r>
        <w:rPr>
          <w:color w:val="auto"/>
        </w:rPr>
        <w:fldChar w:fldCharType="end"/>
      </w:r>
      <w:r>
        <w:rPr>
          <w:color w:val="auto"/>
        </w:rPr>
        <w:t xml:space="preserve"> </w:t>
      </w:r>
      <w:r>
        <w:rPr>
          <w:rFonts w:hint="eastAsia"/>
          <w:color w:val="auto"/>
        </w:rPr>
        <w:t>不同投标人的投标保证金或保函（保险）财务费用从同一单位或者个人的账户转出；</w:t>
      </w:r>
    </w:p>
    <w:p w14:paraId="6E68CC0E">
      <w:pPr>
        <w:spacing w:line="380" w:lineRule="exact"/>
        <w:ind w:firstLine="420" w:firstLineChars="200"/>
        <w:rPr>
          <w:color w:val="auto"/>
        </w:rPr>
      </w:pPr>
      <w:r>
        <w:rPr>
          <w:rFonts w:hint="eastAsia" w:ascii="宋体" w:hAnsi="宋体"/>
          <w:color w:val="auto"/>
        </w:rPr>
        <w:t>⑧</w:t>
      </w:r>
      <w:r>
        <w:rPr>
          <w:color w:val="auto"/>
        </w:rPr>
        <w:t xml:space="preserve"> </w:t>
      </w:r>
      <w:r>
        <w:rPr>
          <w:rFonts w:hint="eastAsia"/>
          <w:color w:val="auto"/>
        </w:rPr>
        <w:t>不同投标人的投标文件存在“MAC地址”、“文件创建标识码”、“文件制作机器码”等唯一性标识一致等情形。</w:t>
      </w:r>
    </w:p>
    <w:p w14:paraId="3C3254DE">
      <w:pPr>
        <w:spacing w:line="380" w:lineRule="exact"/>
        <w:ind w:firstLine="420" w:firstLineChars="200"/>
        <w:rPr>
          <w:color w:val="auto"/>
        </w:rPr>
      </w:pPr>
      <w:r>
        <w:rPr>
          <w:rFonts w:hint="eastAsia"/>
          <w:color w:val="auto"/>
        </w:rPr>
        <w:t>（2）有下列情形之一的，属于弄虚作假行为：</w:t>
      </w:r>
    </w:p>
    <w:p w14:paraId="51DA2703">
      <w:pPr>
        <w:spacing w:line="380" w:lineRule="exact"/>
        <w:ind w:firstLine="420" w:firstLineChars="200"/>
        <w:rPr>
          <w:color w:val="auto"/>
        </w:rPr>
      </w:pPr>
      <w:r>
        <w:rPr>
          <w:rFonts w:hint="eastAsia"/>
          <w:color w:val="auto"/>
        </w:rPr>
        <w:t>① 使用通过受让或者租借等方式获取的资格、资质证书投标的，即以他人名义投标的。</w:t>
      </w:r>
    </w:p>
    <w:p w14:paraId="0C205652">
      <w:pPr>
        <w:spacing w:line="380" w:lineRule="exact"/>
        <w:ind w:firstLine="420" w:firstLineChars="200"/>
        <w:rPr>
          <w:color w:val="auto"/>
        </w:rPr>
      </w:pPr>
      <w:r>
        <w:rPr>
          <w:rFonts w:hint="eastAsia"/>
          <w:color w:val="auto"/>
        </w:rPr>
        <w:t>② 使用伪造、变造的许可证件；</w:t>
      </w:r>
    </w:p>
    <w:p w14:paraId="0029F4BA">
      <w:pPr>
        <w:spacing w:line="380" w:lineRule="exact"/>
        <w:ind w:firstLine="420" w:firstLineChars="200"/>
        <w:rPr>
          <w:color w:val="auto"/>
        </w:rPr>
      </w:pPr>
      <w:r>
        <w:rPr>
          <w:rFonts w:hint="eastAsia"/>
          <w:color w:val="auto"/>
        </w:rPr>
        <w:t>③ 提供虚假的财务状况或者业绩；</w:t>
      </w:r>
    </w:p>
    <w:p w14:paraId="734473C0">
      <w:pPr>
        <w:spacing w:line="380" w:lineRule="exact"/>
        <w:ind w:firstLine="420" w:firstLineChars="200"/>
        <w:rPr>
          <w:color w:val="auto"/>
        </w:rPr>
      </w:pPr>
      <w:r>
        <w:rPr>
          <w:rFonts w:hint="eastAsia"/>
          <w:color w:val="auto"/>
        </w:rPr>
        <w:t>④ 提供虚假的项目负责人或者主要技术人员简历、社会保险证明；</w:t>
      </w:r>
    </w:p>
    <w:p w14:paraId="29516524">
      <w:pPr>
        <w:spacing w:line="380" w:lineRule="exact"/>
        <w:ind w:firstLine="420" w:firstLineChars="200"/>
        <w:rPr>
          <w:color w:val="auto"/>
        </w:rPr>
      </w:pPr>
      <w:r>
        <w:rPr>
          <w:rFonts w:hint="eastAsia"/>
          <w:color w:val="auto"/>
        </w:rPr>
        <w:t>⑤ 提供虚假的信用状况；</w:t>
      </w:r>
    </w:p>
    <w:p w14:paraId="2B0681A5">
      <w:pPr>
        <w:spacing w:line="380" w:lineRule="exact"/>
        <w:ind w:firstLine="420" w:firstLineChars="200"/>
        <w:rPr>
          <w:rFonts w:hint="eastAsia" w:ascii="宋体" w:hAnsi="宋体"/>
          <w:color w:val="auto"/>
        </w:rPr>
      </w:pPr>
      <w:r>
        <w:rPr>
          <w:rFonts w:hint="eastAsia"/>
          <w:color w:val="auto"/>
        </w:rPr>
        <w:t>⑥ 其他弄虚作假的行为。</w:t>
      </w:r>
    </w:p>
    <w:p w14:paraId="3E8D7566">
      <w:pPr>
        <w:spacing w:line="430" w:lineRule="exact"/>
        <w:ind w:firstLine="420" w:firstLineChars="200"/>
        <w:rPr>
          <w:rFonts w:hint="eastAsia" w:ascii="宋体" w:hAnsi="宋体"/>
          <w:color w:val="auto"/>
        </w:rPr>
      </w:pPr>
      <w:r>
        <w:rPr>
          <w:rFonts w:hint="eastAsia" w:ascii="宋体" w:hAnsi="宋体"/>
          <w:color w:val="auto"/>
        </w:rPr>
        <w:t>B1.4有第二章“投标人须知”第1.4.3项规定的任何一种情形。包括以下内容：</w:t>
      </w:r>
    </w:p>
    <w:p w14:paraId="6596123B">
      <w:pPr>
        <w:spacing w:line="360" w:lineRule="exact"/>
        <w:ind w:firstLine="420" w:firstLineChars="200"/>
        <w:rPr>
          <w:color w:val="auto"/>
        </w:rPr>
      </w:pPr>
      <w:r>
        <w:rPr>
          <w:rFonts w:hint="eastAsia"/>
          <w:color w:val="auto"/>
        </w:rPr>
        <w:t>（1）为招标人不具有独立法人资格的附属机构（单位）；</w:t>
      </w:r>
    </w:p>
    <w:p w14:paraId="543315B5">
      <w:pPr>
        <w:spacing w:line="360" w:lineRule="exact"/>
        <w:ind w:firstLine="420" w:firstLineChars="200"/>
        <w:rPr>
          <w:color w:val="auto"/>
        </w:rPr>
      </w:pPr>
      <w:r>
        <w:rPr>
          <w:rFonts w:hint="eastAsia"/>
          <w:color w:val="auto"/>
        </w:rPr>
        <w:t xml:space="preserve">（2）为本标段前期准备提供设计或咨询服务的，但设计施工总承包的除外； </w:t>
      </w:r>
    </w:p>
    <w:p w14:paraId="2C951060">
      <w:pPr>
        <w:spacing w:line="360" w:lineRule="exact"/>
        <w:ind w:firstLine="420" w:firstLineChars="200"/>
        <w:rPr>
          <w:color w:val="auto"/>
        </w:rPr>
      </w:pPr>
      <w:r>
        <w:rPr>
          <w:rFonts w:hint="eastAsia"/>
          <w:color w:val="auto"/>
        </w:rPr>
        <w:t>（3）为本标段的监理人；</w:t>
      </w:r>
    </w:p>
    <w:p w14:paraId="70A5224F">
      <w:pPr>
        <w:spacing w:line="360" w:lineRule="exact"/>
        <w:ind w:firstLine="420" w:firstLineChars="200"/>
        <w:rPr>
          <w:color w:val="auto"/>
        </w:rPr>
      </w:pPr>
      <w:r>
        <w:rPr>
          <w:rFonts w:hint="eastAsia"/>
          <w:color w:val="auto"/>
        </w:rPr>
        <w:t>（4）为本标段的代建人；</w:t>
      </w:r>
    </w:p>
    <w:p w14:paraId="5A947B3B">
      <w:pPr>
        <w:spacing w:line="360" w:lineRule="exact"/>
        <w:ind w:firstLine="420" w:firstLineChars="200"/>
        <w:rPr>
          <w:color w:val="auto"/>
        </w:rPr>
      </w:pPr>
      <w:r>
        <w:rPr>
          <w:rFonts w:hint="eastAsia"/>
          <w:color w:val="auto"/>
        </w:rPr>
        <w:t>（5）为本标段提供招标代理服务；</w:t>
      </w:r>
    </w:p>
    <w:p w14:paraId="4BAA9A4C">
      <w:pPr>
        <w:spacing w:line="360" w:lineRule="exact"/>
        <w:ind w:firstLine="420" w:firstLineChars="200"/>
        <w:rPr>
          <w:color w:val="auto"/>
        </w:rPr>
      </w:pPr>
      <w:r>
        <w:rPr>
          <w:rFonts w:hint="eastAsia"/>
          <w:color w:val="auto"/>
        </w:rPr>
        <w:t xml:space="preserve">（6）与本标段的监理人或代建人或招标代理机构同为一个法定代表人或单位负责人； </w:t>
      </w:r>
    </w:p>
    <w:p w14:paraId="5D2795D1">
      <w:pPr>
        <w:spacing w:line="360" w:lineRule="exact"/>
        <w:ind w:firstLine="420" w:firstLineChars="200"/>
        <w:rPr>
          <w:color w:val="auto"/>
        </w:rPr>
      </w:pPr>
      <w:r>
        <w:rPr>
          <w:rFonts w:hint="eastAsia"/>
          <w:color w:val="auto"/>
        </w:rPr>
        <w:t>（7）与本标段的监理人或代建人或招标代理机构相互控股或参股；</w:t>
      </w:r>
    </w:p>
    <w:p w14:paraId="5AC969CA">
      <w:pPr>
        <w:spacing w:line="360" w:lineRule="exact"/>
        <w:ind w:firstLine="420" w:firstLineChars="200"/>
        <w:rPr>
          <w:color w:val="auto"/>
        </w:rPr>
      </w:pPr>
      <w:r>
        <w:rPr>
          <w:rFonts w:hint="eastAsia"/>
          <w:color w:val="auto"/>
        </w:rPr>
        <w:t>（8）与本标段的监理人或代建人或招标代理机构的法定代表人或单位负责人相互任职或工作；</w:t>
      </w:r>
    </w:p>
    <w:p w14:paraId="79067612">
      <w:pPr>
        <w:spacing w:line="360" w:lineRule="exact"/>
        <w:ind w:firstLine="420" w:firstLineChars="200"/>
        <w:rPr>
          <w:color w:val="auto"/>
        </w:rPr>
      </w:pPr>
      <w:r>
        <w:rPr>
          <w:rFonts w:hint="eastAsia"/>
          <w:color w:val="auto"/>
        </w:rPr>
        <w:t>（9）单位负责人为同一人或者存在控股、管理关系的不同单位，同时参加本标段投标的；</w:t>
      </w:r>
    </w:p>
    <w:p w14:paraId="63943B9F">
      <w:pPr>
        <w:spacing w:line="360" w:lineRule="exact"/>
        <w:ind w:firstLine="420" w:firstLineChars="200"/>
        <w:rPr>
          <w:color w:val="auto"/>
        </w:rPr>
      </w:pPr>
      <w:r>
        <w:rPr>
          <w:rFonts w:hint="eastAsia"/>
          <w:color w:val="auto"/>
        </w:rPr>
        <w:t>（10）被依法暂停或取消投标资格（指被本招标项目所在地县级及以上住房城乡建设主管部门或其他行政主管部门暂停或取消投标资格或禁止进入该区域建设市场且处于有效期内）；</w:t>
      </w:r>
    </w:p>
    <w:p w14:paraId="560FC2D3">
      <w:pPr>
        <w:spacing w:line="360" w:lineRule="exact"/>
        <w:ind w:firstLine="420" w:firstLineChars="200"/>
        <w:rPr>
          <w:color w:val="auto"/>
        </w:rPr>
      </w:pPr>
      <w:r>
        <w:rPr>
          <w:rFonts w:hint="eastAsia"/>
          <w:color w:val="auto"/>
        </w:rPr>
        <w:t xml:space="preserve">（11）被责令停产停业、暂扣或者吊销许可证、暂扣或者吊销执照； </w:t>
      </w:r>
    </w:p>
    <w:p w14:paraId="3ABD0869">
      <w:pPr>
        <w:spacing w:line="360" w:lineRule="exact"/>
        <w:ind w:firstLine="420" w:firstLineChars="200"/>
        <w:rPr>
          <w:color w:val="auto"/>
        </w:rPr>
      </w:pPr>
      <w:r>
        <w:rPr>
          <w:rFonts w:hint="eastAsia"/>
          <w:color w:val="auto"/>
        </w:rPr>
        <w:t>（12）进入清算程序，或被宣告破产，或其他丧失履约能力的情形；</w:t>
      </w:r>
    </w:p>
    <w:p w14:paraId="4F5532EC">
      <w:pPr>
        <w:spacing w:line="360" w:lineRule="exact"/>
        <w:ind w:firstLine="420" w:firstLineChars="200"/>
        <w:rPr>
          <w:color w:val="auto"/>
        </w:rPr>
      </w:pPr>
      <w:r>
        <w:rPr>
          <w:rFonts w:hint="eastAsia"/>
          <w:color w:val="auto"/>
        </w:rPr>
        <w:t>（13）在最近三年内有骗取中标或严重违约或重大工程质量问题的 （以相关行业主 管部门的行政处罚决定或司法机关出具的有关法律文书为准）；</w:t>
      </w:r>
    </w:p>
    <w:p w14:paraId="56667436">
      <w:pPr>
        <w:spacing w:line="360" w:lineRule="exact"/>
        <w:ind w:firstLine="420" w:firstLineChars="200"/>
        <w:rPr>
          <w:color w:val="auto"/>
        </w:rPr>
      </w:pPr>
      <w:r>
        <w:rPr>
          <w:rFonts w:hint="eastAsia"/>
          <w:color w:val="auto"/>
        </w:rPr>
        <w:t>（14）在“国家企业信用信息公示系统”（www.gsxt.gov.cn）中被列入严重违法失 信企业名单；</w:t>
      </w:r>
    </w:p>
    <w:p w14:paraId="1F5F72C9">
      <w:pPr>
        <w:spacing w:line="360" w:lineRule="exact"/>
        <w:ind w:firstLine="420" w:firstLineChars="200"/>
        <w:rPr>
          <w:color w:val="auto"/>
        </w:rPr>
      </w:pPr>
      <w:r>
        <w:rPr>
          <w:rFonts w:hint="eastAsia"/>
          <w:color w:val="auto"/>
        </w:rPr>
        <w:t>（15）在“信用中国”网站（www.creditchina.gov.cn）或“中国执行信息公开网” （http://zxgk.court.gov.cn/shixin/） 被列入失信被执行人名单；</w:t>
      </w:r>
    </w:p>
    <w:p w14:paraId="4990A1BB">
      <w:pPr>
        <w:spacing w:line="360" w:lineRule="exact"/>
        <w:ind w:firstLine="420" w:firstLineChars="200"/>
        <w:rPr>
          <w:color w:val="auto"/>
        </w:rPr>
      </w:pPr>
      <w:r>
        <w:rPr>
          <w:rFonts w:hint="eastAsia"/>
          <w:color w:val="auto"/>
        </w:rPr>
        <w:t>（16）在辽宁省建设工程招投标监督平台</w:t>
      </w:r>
      <w:r>
        <w:rPr>
          <w:rFonts w:hint="eastAsia"/>
          <w:color w:val="auto"/>
          <w:lang w:eastAsia="zh-CN"/>
        </w:rPr>
        <w:t>－</w:t>
      </w:r>
      <w:r>
        <w:rPr>
          <w:rFonts w:hint="eastAsia"/>
          <w:color w:val="auto"/>
        </w:rPr>
        <w:t>辽宁建设工程信息网上被列入不良行为记录且在公布期内的（指行业主管部门或其他行政主管部门在一定期限内依法取消参加依法必须进行招标的项目的投标资格）；</w:t>
      </w:r>
    </w:p>
    <w:p w14:paraId="02920C1C">
      <w:pPr>
        <w:spacing w:line="360" w:lineRule="exact"/>
        <w:ind w:firstLine="420" w:firstLineChars="200"/>
        <w:rPr>
          <w:color w:val="auto"/>
        </w:rPr>
      </w:pPr>
      <w:r>
        <w:rPr>
          <w:rFonts w:hint="eastAsia"/>
          <w:color w:val="auto"/>
        </w:rPr>
        <w:t>（17）法律法规规定的其他情形。</w:t>
      </w:r>
    </w:p>
    <w:p w14:paraId="42CF2D1D">
      <w:pPr>
        <w:spacing w:line="360" w:lineRule="exact"/>
        <w:ind w:firstLine="420" w:firstLineChars="200"/>
        <w:rPr>
          <w:rFonts w:hint="eastAsia" w:ascii="宋体" w:hAnsi="宋体"/>
          <w:color w:val="auto"/>
        </w:rPr>
      </w:pPr>
      <w:bookmarkStart w:id="649" w:name="_Hlk165125038"/>
      <w:r>
        <w:rPr>
          <w:rFonts w:hint="eastAsia" w:ascii="宋体" w:hAnsi="宋体"/>
          <w:color w:val="auto"/>
        </w:rPr>
        <w:t>B1.5</w:t>
      </w:r>
      <w:r>
        <w:rPr>
          <w:rFonts w:hint="eastAsia"/>
          <w:color w:val="auto"/>
        </w:rPr>
        <w:t>未如实填写近年发生的诉讼及仲裁情况，隐瞒真实情况的。</w:t>
      </w:r>
    </w:p>
    <w:bookmarkEnd w:id="649"/>
    <w:p w14:paraId="066B1ACF">
      <w:pPr>
        <w:spacing w:line="430" w:lineRule="exact"/>
        <w:ind w:firstLine="420" w:firstLineChars="200"/>
        <w:rPr>
          <w:rFonts w:hint="eastAsia" w:ascii="宋体" w:hAnsi="宋体"/>
          <w:color w:val="auto"/>
          <w:szCs w:val="21"/>
        </w:rPr>
      </w:pPr>
      <w:r>
        <w:rPr>
          <w:rFonts w:hint="eastAsia" w:ascii="宋体" w:hAnsi="宋体"/>
          <w:color w:val="auto"/>
        </w:rPr>
        <w:t>B1.6未按招标文件要求进行实名身份认证的或同一标段实名身份认证中存在不同投标人之间身份证识别器码一致的。</w:t>
      </w:r>
    </w:p>
    <w:p w14:paraId="1ED969CD">
      <w:pPr>
        <w:spacing w:line="430" w:lineRule="exact"/>
        <w:ind w:firstLine="420" w:firstLineChars="200"/>
        <w:rPr>
          <w:rFonts w:hint="eastAsia" w:ascii="宋体" w:hAnsi="宋体"/>
          <w:color w:val="auto"/>
          <w:szCs w:val="21"/>
        </w:rPr>
      </w:pPr>
      <w:r>
        <w:rPr>
          <w:rFonts w:hint="eastAsia" w:ascii="宋体" w:hAnsi="宋体"/>
          <w:color w:val="auto"/>
        </w:rPr>
        <w:t>B1.7投标报价明显低于企业成本可能影响履约的。</w:t>
      </w:r>
    </w:p>
    <w:p w14:paraId="67570500">
      <w:pPr>
        <w:spacing w:line="430" w:lineRule="exact"/>
        <w:ind w:firstLine="420" w:firstLineChars="200"/>
        <w:rPr>
          <w:rFonts w:hint="eastAsia" w:ascii="宋体" w:hAnsi="宋体"/>
          <w:color w:val="auto"/>
        </w:rPr>
      </w:pPr>
      <w:r>
        <w:rPr>
          <w:rFonts w:hint="eastAsia" w:ascii="宋体" w:hAnsi="宋体"/>
          <w:color w:val="auto"/>
        </w:rPr>
        <w:t>B1.</w:t>
      </w:r>
      <w:bookmarkStart w:id="650" w:name="_Hlk150329794"/>
      <w:r>
        <w:rPr>
          <w:rFonts w:hint="eastAsia" w:ascii="宋体" w:hAnsi="宋体"/>
          <w:color w:val="auto"/>
        </w:rPr>
        <w:t>8未按招标文件要求采用建筑信息模型技术的（如有）。</w:t>
      </w:r>
      <w:bookmarkEnd w:id="650"/>
    </w:p>
    <w:p w14:paraId="5C288AAE">
      <w:pPr>
        <w:spacing w:line="430" w:lineRule="exact"/>
        <w:ind w:firstLine="420" w:firstLineChars="200"/>
        <w:rPr>
          <w:rFonts w:hint="eastAsia" w:ascii="宋体" w:hAnsi="宋体"/>
          <w:color w:val="auto"/>
          <w:szCs w:val="21"/>
        </w:rPr>
      </w:pPr>
      <w:bookmarkStart w:id="651" w:name="_Hlk176003224"/>
      <w:bookmarkStart w:id="652" w:name="_Hlk176002496"/>
      <w:r>
        <w:rPr>
          <w:rFonts w:hint="eastAsia" w:ascii="宋体" w:hAnsi="宋体"/>
          <w:color w:val="auto"/>
        </w:rPr>
        <w:t>B1.9技术标不同模块赋分点之间多个模块固定位置存在内容表述非必要性雷同的。</w:t>
      </w:r>
      <w:bookmarkEnd w:id="651"/>
    </w:p>
    <w:bookmarkEnd w:id="652"/>
    <w:p w14:paraId="35B186C4">
      <w:pPr>
        <w:spacing w:line="430" w:lineRule="exact"/>
        <w:ind w:firstLine="420" w:firstLineChars="200"/>
        <w:rPr>
          <w:rFonts w:ascii="仿宋_GB2312" w:eastAsia="仿宋_GB2312"/>
          <w:color w:val="auto"/>
        </w:rPr>
      </w:pPr>
      <w:r>
        <w:rPr>
          <w:rFonts w:hint="eastAsia" w:ascii="仿宋_GB2312" w:eastAsia="仿宋_GB2312"/>
          <w:color w:val="auto"/>
        </w:rPr>
        <w:t>……</w:t>
      </w:r>
    </w:p>
    <w:p w14:paraId="6BB6FB91">
      <w:pPr>
        <w:spacing w:line="430" w:lineRule="exact"/>
        <w:ind w:firstLine="420" w:firstLineChars="200"/>
        <w:rPr>
          <w:rFonts w:hint="eastAsia"/>
          <w:color w:val="auto"/>
          <w:highlight w:val="none"/>
        </w:rPr>
        <w:sectPr>
          <w:headerReference r:id="rId12" w:type="default"/>
          <w:footerReference r:id="rId13" w:type="default"/>
          <w:pgSz w:w="11906" w:h="16838"/>
          <w:pgMar w:top="1440" w:right="1797" w:bottom="1440" w:left="1797" w:header="851" w:footer="851" w:gutter="0"/>
          <w:pgNumType w:fmt="decimal"/>
          <w:cols w:space="720" w:num="1"/>
          <w:docGrid w:linePitch="312" w:charSpace="0"/>
        </w:sectPr>
      </w:pPr>
    </w:p>
    <w:p w14:paraId="3643F52A">
      <w:pPr>
        <w:pStyle w:val="27"/>
        <w:rPr>
          <w:color w:val="auto"/>
        </w:rPr>
      </w:pPr>
      <w:bookmarkStart w:id="653" w:name="_Toc10901"/>
      <w:bookmarkStart w:id="654" w:name="_Toc165804447"/>
      <w:r>
        <w:rPr>
          <w:rFonts w:hint="eastAsia"/>
          <w:color w:val="auto"/>
        </w:rPr>
        <w:t>附表A-1：评标委员会签到表</w:t>
      </w:r>
      <w:bookmarkEnd w:id="653"/>
      <w:bookmarkEnd w:id="654"/>
    </w:p>
    <w:p w14:paraId="49633965">
      <w:pPr>
        <w:adjustRightInd w:val="0"/>
        <w:snapToGrid w:val="0"/>
        <w:spacing w:before="240" w:beforeLines="100" w:after="240" w:afterLines="100" w:line="440" w:lineRule="exact"/>
        <w:jc w:val="center"/>
        <w:rPr>
          <w:rFonts w:ascii="黑体" w:hAnsi="宋体" w:eastAsia="黑体"/>
          <w:color w:val="auto"/>
          <w:sz w:val="36"/>
          <w:szCs w:val="36"/>
        </w:rPr>
      </w:pPr>
      <w:r>
        <w:rPr>
          <w:rFonts w:hint="eastAsia" w:ascii="黑体" w:hAnsi="宋体" w:eastAsia="黑体"/>
          <w:color w:val="auto"/>
          <w:sz w:val="36"/>
          <w:szCs w:val="36"/>
        </w:rPr>
        <w:t>评标委员会签到表</w:t>
      </w:r>
    </w:p>
    <w:p w14:paraId="3040252A">
      <w:pPr>
        <w:rPr>
          <w:color w:val="auto"/>
          <w:szCs w:val="44"/>
        </w:rPr>
      </w:pPr>
      <w:r>
        <w:rPr>
          <w:rFonts w:hint="eastAsia"/>
          <w:color w:val="auto"/>
          <w:szCs w:val="44"/>
        </w:rPr>
        <w:t>标段名称：</w:t>
      </w:r>
    </w:p>
    <w:p w14:paraId="17F8629D">
      <w:pPr>
        <w:rPr>
          <w:color w:val="auto"/>
          <w:szCs w:val="44"/>
        </w:rPr>
      </w:pPr>
      <w:r>
        <w:rPr>
          <w:rFonts w:hint="eastAsia"/>
          <w:color w:val="auto"/>
          <w:szCs w:val="44"/>
        </w:rPr>
        <w:t>标段唯一标识码：</w:t>
      </w:r>
      <w:r>
        <w:rPr>
          <w:color w:val="auto"/>
          <w:szCs w:val="44"/>
        </w:rPr>
        <w:t xml:space="preserve">                                                                             </w:t>
      </w:r>
      <w:r>
        <w:rPr>
          <w:rFonts w:hint="eastAsia"/>
          <w:color w:val="auto"/>
          <w:szCs w:val="44"/>
        </w:rPr>
        <w:t>评标时间：         年    月    日</w:t>
      </w:r>
    </w:p>
    <w:tbl>
      <w:tblPr>
        <w:tblStyle w:val="18"/>
        <w:tblW w:w="138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1169"/>
        <w:gridCol w:w="1797"/>
        <w:gridCol w:w="1930"/>
        <w:gridCol w:w="1793"/>
        <w:gridCol w:w="1431"/>
        <w:gridCol w:w="1520"/>
        <w:gridCol w:w="1706"/>
        <w:gridCol w:w="1697"/>
      </w:tblGrid>
      <w:tr w14:paraId="1231A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5A175CB9">
            <w:pPr>
              <w:spacing w:line="420" w:lineRule="exact"/>
              <w:jc w:val="center"/>
              <w:rPr>
                <w:rFonts w:ascii="宋体" w:hAnsi="宋体"/>
                <w:b/>
                <w:bCs/>
                <w:color w:val="auto"/>
                <w:szCs w:val="21"/>
              </w:rPr>
            </w:pPr>
            <w:bookmarkStart w:id="655" w:name="_Hlk165801998"/>
            <w:r>
              <w:rPr>
                <w:rFonts w:hint="eastAsia" w:ascii="宋体" w:hAnsi="宋体"/>
                <w:b/>
                <w:bCs/>
                <w:color w:val="auto"/>
                <w:szCs w:val="21"/>
              </w:rPr>
              <w:t>序号</w:t>
            </w:r>
          </w:p>
        </w:tc>
        <w:tc>
          <w:tcPr>
            <w:tcW w:w="1169" w:type="dxa"/>
            <w:vAlign w:val="center"/>
          </w:tcPr>
          <w:p w14:paraId="7222345D">
            <w:pPr>
              <w:spacing w:line="420" w:lineRule="exact"/>
              <w:jc w:val="center"/>
              <w:rPr>
                <w:rFonts w:ascii="宋体" w:hAnsi="宋体"/>
                <w:b/>
                <w:bCs/>
                <w:color w:val="auto"/>
                <w:szCs w:val="21"/>
              </w:rPr>
            </w:pPr>
            <w:r>
              <w:rPr>
                <w:rFonts w:hint="eastAsia" w:ascii="宋体" w:hAnsi="宋体"/>
                <w:b/>
                <w:bCs/>
                <w:color w:val="auto"/>
                <w:szCs w:val="21"/>
              </w:rPr>
              <w:t>姓名</w:t>
            </w:r>
          </w:p>
        </w:tc>
        <w:tc>
          <w:tcPr>
            <w:tcW w:w="1797" w:type="dxa"/>
            <w:vAlign w:val="center"/>
          </w:tcPr>
          <w:p w14:paraId="087C8353">
            <w:pPr>
              <w:spacing w:line="420" w:lineRule="exact"/>
              <w:jc w:val="center"/>
              <w:rPr>
                <w:rFonts w:ascii="宋体" w:hAnsi="宋体"/>
                <w:b/>
                <w:bCs/>
                <w:color w:val="auto"/>
                <w:szCs w:val="21"/>
              </w:rPr>
            </w:pPr>
            <w:r>
              <w:rPr>
                <w:rFonts w:hint="eastAsia" w:ascii="宋体" w:hAnsi="宋体"/>
                <w:b/>
                <w:bCs/>
                <w:color w:val="auto"/>
                <w:szCs w:val="21"/>
              </w:rPr>
              <w:t>所在单位</w:t>
            </w:r>
          </w:p>
        </w:tc>
        <w:tc>
          <w:tcPr>
            <w:tcW w:w="1930" w:type="dxa"/>
            <w:vAlign w:val="center"/>
          </w:tcPr>
          <w:p w14:paraId="6AE86AFD">
            <w:pPr>
              <w:spacing w:line="420" w:lineRule="exact"/>
              <w:jc w:val="center"/>
              <w:rPr>
                <w:rFonts w:ascii="宋体" w:hAnsi="宋体"/>
                <w:b/>
                <w:bCs/>
                <w:color w:val="auto"/>
                <w:szCs w:val="21"/>
              </w:rPr>
            </w:pPr>
            <w:r>
              <w:rPr>
                <w:rFonts w:hint="eastAsia" w:ascii="宋体" w:hAnsi="宋体"/>
                <w:b/>
                <w:bCs/>
                <w:color w:val="auto"/>
                <w:szCs w:val="21"/>
              </w:rPr>
              <w:t>身份证号</w:t>
            </w:r>
          </w:p>
        </w:tc>
        <w:tc>
          <w:tcPr>
            <w:tcW w:w="1793" w:type="dxa"/>
            <w:vAlign w:val="center"/>
          </w:tcPr>
          <w:p w14:paraId="6D381F3F">
            <w:pPr>
              <w:spacing w:line="420" w:lineRule="exact"/>
              <w:jc w:val="center"/>
              <w:rPr>
                <w:rFonts w:ascii="宋体" w:hAnsi="宋体"/>
                <w:b/>
                <w:bCs/>
                <w:color w:val="auto"/>
                <w:szCs w:val="21"/>
              </w:rPr>
            </w:pPr>
            <w:r>
              <w:rPr>
                <w:rFonts w:hint="eastAsia" w:ascii="宋体" w:hAnsi="宋体"/>
                <w:b/>
                <w:bCs/>
                <w:color w:val="auto"/>
                <w:szCs w:val="21"/>
              </w:rPr>
              <w:t>联系方式</w:t>
            </w:r>
          </w:p>
        </w:tc>
        <w:tc>
          <w:tcPr>
            <w:tcW w:w="1431" w:type="dxa"/>
            <w:vAlign w:val="center"/>
          </w:tcPr>
          <w:p w14:paraId="00FFE2B3">
            <w:pPr>
              <w:spacing w:line="420" w:lineRule="exact"/>
              <w:jc w:val="center"/>
              <w:rPr>
                <w:rFonts w:ascii="宋体" w:hAnsi="宋体"/>
                <w:b/>
                <w:bCs/>
                <w:color w:val="auto"/>
                <w:szCs w:val="21"/>
              </w:rPr>
            </w:pPr>
            <w:r>
              <w:rPr>
                <w:rFonts w:hint="eastAsia" w:ascii="宋体" w:hAnsi="宋体"/>
                <w:b/>
                <w:bCs/>
                <w:color w:val="auto"/>
                <w:szCs w:val="21"/>
              </w:rPr>
              <w:t>评审内容</w:t>
            </w:r>
          </w:p>
        </w:tc>
        <w:tc>
          <w:tcPr>
            <w:tcW w:w="1520" w:type="dxa"/>
            <w:vAlign w:val="center"/>
          </w:tcPr>
          <w:p w14:paraId="5C72BA49">
            <w:pPr>
              <w:spacing w:line="420" w:lineRule="exact"/>
              <w:jc w:val="center"/>
              <w:rPr>
                <w:rFonts w:ascii="宋体" w:hAnsi="宋体"/>
                <w:b/>
                <w:bCs/>
                <w:color w:val="auto"/>
                <w:szCs w:val="21"/>
              </w:rPr>
            </w:pPr>
            <w:r>
              <w:rPr>
                <w:rFonts w:hint="eastAsia" w:ascii="宋体" w:hAnsi="宋体"/>
                <w:b/>
                <w:bCs/>
                <w:color w:val="auto"/>
                <w:szCs w:val="21"/>
              </w:rPr>
              <w:t>评审角色</w:t>
            </w:r>
          </w:p>
        </w:tc>
        <w:tc>
          <w:tcPr>
            <w:tcW w:w="1706" w:type="dxa"/>
            <w:vAlign w:val="center"/>
          </w:tcPr>
          <w:p w14:paraId="3E4E7250">
            <w:pPr>
              <w:spacing w:line="420" w:lineRule="exact"/>
              <w:jc w:val="center"/>
              <w:rPr>
                <w:rFonts w:ascii="宋体" w:hAnsi="宋体"/>
                <w:b/>
                <w:bCs/>
                <w:color w:val="auto"/>
                <w:szCs w:val="21"/>
              </w:rPr>
            </w:pPr>
            <w:r>
              <w:rPr>
                <w:rFonts w:hint="eastAsia" w:ascii="宋体" w:hAnsi="宋体"/>
                <w:b/>
                <w:bCs/>
                <w:color w:val="auto"/>
                <w:szCs w:val="21"/>
              </w:rPr>
              <w:t>评标签到时间</w:t>
            </w:r>
          </w:p>
        </w:tc>
        <w:tc>
          <w:tcPr>
            <w:tcW w:w="1697" w:type="dxa"/>
            <w:vAlign w:val="center"/>
          </w:tcPr>
          <w:p w14:paraId="23166378">
            <w:pPr>
              <w:spacing w:line="420" w:lineRule="exact"/>
              <w:jc w:val="center"/>
              <w:rPr>
                <w:rFonts w:ascii="宋体" w:hAnsi="宋体"/>
                <w:b/>
                <w:bCs/>
                <w:color w:val="auto"/>
                <w:szCs w:val="21"/>
              </w:rPr>
            </w:pPr>
            <w:r>
              <w:rPr>
                <w:rFonts w:hint="eastAsia" w:ascii="宋体" w:hAnsi="宋体"/>
                <w:b/>
                <w:bCs/>
                <w:color w:val="auto"/>
                <w:szCs w:val="21"/>
              </w:rPr>
              <w:t>签名</w:t>
            </w:r>
          </w:p>
        </w:tc>
      </w:tr>
      <w:tr w14:paraId="550D3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76EB9174">
            <w:pPr>
              <w:spacing w:line="420" w:lineRule="exact"/>
              <w:jc w:val="center"/>
              <w:rPr>
                <w:rFonts w:ascii="宋体" w:hAnsi="宋体"/>
                <w:color w:val="auto"/>
                <w:szCs w:val="21"/>
              </w:rPr>
            </w:pPr>
            <w:r>
              <w:rPr>
                <w:rFonts w:hint="eastAsia" w:ascii="宋体" w:hAnsi="宋体"/>
                <w:color w:val="auto"/>
                <w:szCs w:val="21"/>
              </w:rPr>
              <w:t>1</w:t>
            </w:r>
          </w:p>
        </w:tc>
        <w:tc>
          <w:tcPr>
            <w:tcW w:w="1169" w:type="dxa"/>
            <w:vAlign w:val="center"/>
          </w:tcPr>
          <w:p w14:paraId="5C5224CE">
            <w:pPr>
              <w:spacing w:line="420" w:lineRule="exact"/>
              <w:jc w:val="center"/>
              <w:rPr>
                <w:rFonts w:ascii="宋体" w:hAnsi="宋体"/>
                <w:color w:val="auto"/>
                <w:szCs w:val="21"/>
              </w:rPr>
            </w:pPr>
          </w:p>
        </w:tc>
        <w:tc>
          <w:tcPr>
            <w:tcW w:w="1797" w:type="dxa"/>
            <w:vAlign w:val="center"/>
          </w:tcPr>
          <w:p w14:paraId="74EA3C38">
            <w:pPr>
              <w:spacing w:line="420" w:lineRule="exact"/>
              <w:jc w:val="center"/>
              <w:rPr>
                <w:rFonts w:ascii="宋体" w:hAnsi="宋体"/>
                <w:color w:val="auto"/>
                <w:szCs w:val="21"/>
              </w:rPr>
            </w:pPr>
          </w:p>
        </w:tc>
        <w:tc>
          <w:tcPr>
            <w:tcW w:w="1930" w:type="dxa"/>
            <w:vAlign w:val="center"/>
          </w:tcPr>
          <w:p w14:paraId="38431F9E">
            <w:pPr>
              <w:spacing w:line="420" w:lineRule="exact"/>
              <w:jc w:val="center"/>
              <w:rPr>
                <w:rFonts w:ascii="宋体" w:hAnsi="宋体"/>
                <w:color w:val="auto"/>
                <w:szCs w:val="21"/>
              </w:rPr>
            </w:pPr>
          </w:p>
        </w:tc>
        <w:tc>
          <w:tcPr>
            <w:tcW w:w="1793" w:type="dxa"/>
            <w:vAlign w:val="center"/>
          </w:tcPr>
          <w:p w14:paraId="402ABDF5">
            <w:pPr>
              <w:spacing w:line="420" w:lineRule="exact"/>
              <w:jc w:val="center"/>
              <w:rPr>
                <w:rFonts w:ascii="宋体" w:hAnsi="宋体"/>
                <w:color w:val="auto"/>
                <w:szCs w:val="21"/>
              </w:rPr>
            </w:pPr>
          </w:p>
        </w:tc>
        <w:tc>
          <w:tcPr>
            <w:tcW w:w="1431" w:type="dxa"/>
            <w:vAlign w:val="center"/>
          </w:tcPr>
          <w:p w14:paraId="5B227607">
            <w:pPr>
              <w:spacing w:line="420" w:lineRule="exact"/>
              <w:jc w:val="center"/>
              <w:rPr>
                <w:rFonts w:ascii="宋体" w:hAnsi="宋体"/>
                <w:color w:val="auto"/>
                <w:szCs w:val="21"/>
              </w:rPr>
            </w:pPr>
          </w:p>
        </w:tc>
        <w:tc>
          <w:tcPr>
            <w:tcW w:w="1520" w:type="dxa"/>
            <w:vAlign w:val="center"/>
          </w:tcPr>
          <w:p w14:paraId="01805503">
            <w:pPr>
              <w:spacing w:line="420" w:lineRule="exact"/>
              <w:jc w:val="center"/>
              <w:rPr>
                <w:rFonts w:ascii="宋体" w:hAnsi="宋体"/>
                <w:color w:val="auto"/>
                <w:szCs w:val="21"/>
              </w:rPr>
            </w:pPr>
          </w:p>
        </w:tc>
        <w:tc>
          <w:tcPr>
            <w:tcW w:w="1706" w:type="dxa"/>
            <w:vAlign w:val="center"/>
          </w:tcPr>
          <w:p w14:paraId="7E67FB16">
            <w:pPr>
              <w:spacing w:line="420" w:lineRule="exact"/>
              <w:jc w:val="center"/>
              <w:rPr>
                <w:rFonts w:ascii="宋体" w:hAnsi="宋体"/>
                <w:color w:val="auto"/>
                <w:szCs w:val="21"/>
              </w:rPr>
            </w:pPr>
          </w:p>
        </w:tc>
        <w:tc>
          <w:tcPr>
            <w:tcW w:w="1697" w:type="dxa"/>
          </w:tcPr>
          <w:p w14:paraId="6979989F">
            <w:pPr>
              <w:spacing w:line="420" w:lineRule="exact"/>
              <w:jc w:val="center"/>
              <w:rPr>
                <w:rFonts w:ascii="宋体" w:hAnsi="宋体"/>
                <w:color w:val="auto"/>
                <w:szCs w:val="21"/>
              </w:rPr>
            </w:pPr>
          </w:p>
        </w:tc>
      </w:tr>
      <w:tr w14:paraId="4AC57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6A7EFF49">
            <w:pPr>
              <w:spacing w:line="420" w:lineRule="exact"/>
              <w:jc w:val="center"/>
              <w:rPr>
                <w:rFonts w:ascii="宋体" w:hAnsi="宋体"/>
                <w:color w:val="auto"/>
                <w:szCs w:val="21"/>
              </w:rPr>
            </w:pPr>
            <w:r>
              <w:rPr>
                <w:rFonts w:hint="eastAsia" w:ascii="宋体" w:hAnsi="宋体"/>
                <w:color w:val="auto"/>
                <w:szCs w:val="21"/>
              </w:rPr>
              <w:t>2</w:t>
            </w:r>
          </w:p>
        </w:tc>
        <w:tc>
          <w:tcPr>
            <w:tcW w:w="1169" w:type="dxa"/>
            <w:vAlign w:val="center"/>
          </w:tcPr>
          <w:p w14:paraId="7B21926A">
            <w:pPr>
              <w:spacing w:line="420" w:lineRule="exact"/>
              <w:jc w:val="center"/>
              <w:rPr>
                <w:rFonts w:ascii="宋体" w:hAnsi="宋体"/>
                <w:color w:val="auto"/>
                <w:szCs w:val="21"/>
              </w:rPr>
            </w:pPr>
          </w:p>
        </w:tc>
        <w:tc>
          <w:tcPr>
            <w:tcW w:w="1797" w:type="dxa"/>
            <w:vAlign w:val="center"/>
          </w:tcPr>
          <w:p w14:paraId="28DD322E">
            <w:pPr>
              <w:spacing w:line="420" w:lineRule="exact"/>
              <w:jc w:val="center"/>
              <w:rPr>
                <w:rFonts w:ascii="宋体" w:hAnsi="宋体"/>
                <w:color w:val="auto"/>
                <w:szCs w:val="21"/>
              </w:rPr>
            </w:pPr>
          </w:p>
        </w:tc>
        <w:tc>
          <w:tcPr>
            <w:tcW w:w="1930" w:type="dxa"/>
            <w:vAlign w:val="center"/>
          </w:tcPr>
          <w:p w14:paraId="7D327924">
            <w:pPr>
              <w:spacing w:line="420" w:lineRule="exact"/>
              <w:jc w:val="center"/>
              <w:rPr>
                <w:rFonts w:ascii="宋体" w:hAnsi="宋体"/>
                <w:color w:val="auto"/>
                <w:szCs w:val="21"/>
              </w:rPr>
            </w:pPr>
          </w:p>
        </w:tc>
        <w:tc>
          <w:tcPr>
            <w:tcW w:w="1793" w:type="dxa"/>
            <w:vAlign w:val="center"/>
          </w:tcPr>
          <w:p w14:paraId="47685743">
            <w:pPr>
              <w:spacing w:line="420" w:lineRule="exact"/>
              <w:jc w:val="center"/>
              <w:rPr>
                <w:rFonts w:ascii="宋体" w:hAnsi="宋体"/>
                <w:color w:val="auto"/>
                <w:szCs w:val="21"/>
              </w:rPr>
            </w:pPr>
          </w:p>
        </w:tc>
        <w:tc>
          <w:tcPr>
            <w:tcW w:w="1431" w:type="dxa"/>
            <w:vAlign w:val="center"/>
          </w:tcPr>
          <w:p w14:paraId="6F8E21BA">
            <w:pPr>
              <w:spacing w:line="420" w:lineRule="exact"/>
              <w:jc w:val="center"/>
              <w:rPr>
                <w:rFonts w:ascii="宋体" w:hAnsi="宋体"/>
                <w:color w:val="auto"/>
                <w:szCs w:val="21"/>
              </w:rPr>
            </w:pPr>
          </w:p>
        </w:tc>
        <w:tc>
          <w:tcPr>
            <w:tcW w:w="1520" w:type="dxa"/>
            <w:vAlign w:val="center"/>
          </w:tcPr>
          <w:p w14:paraId="3C1D9165">
            <w:pPr>
              <w:spacing w:line="420" w:lineRule="exact"/>
              <w:jc w:val="center"/>
              <w:rPr>
                <w:rFonts w:ascii="宋体" w:hAnsi="宋体"/>
                <w:color w:val="auto"/>
                <w:szCs w:val="21"/>
              </w:rPr>
            </w:pPr>
          </w:p>
        </w:tc>
        <w:tc>
          <w:tcPr>
            <w:tcW w:w="1706" w:type="dxa"/>
            <w:vAlign w:val="center"/>
          </w:tcPr>
          <w:p w14:paraId="55CA613D">
            <w:pPr>
              <w:spacing w:line="420" w:lineRule="exact"/>
              <w:jc w:val="center"/>
              <w:rPr>
                <w:rFonts w:ascii="宋体" w:hAnsi="宋体"/>
                <w:color w:val="auto"/>
                <w:szCs w:val="21"/>
              </w:rPr>
            </w:pPr>
          </w:p>
        </w:tc>
        <w:tc>
          <w:tcPr>
            <w:tcW w:w="1697" w:type="dxa"/>
          </w:tcPr>
          <w:p w14:paraId="57BF170E">
            <w:pPr>
              <w:spacing w:line="420" w:lineRule="exact"/>
              <w:jc w:val="center"/>
              <w:rPr>
                <w:rFonts w:ascii="宋体" w:hAnsi="宋体"/>
                <w:color w:val="auto"/>
                <w:szCs w:val="21"/>
              </w:rPr>
            </w:pPr>
          </w:p>
        </w:tc>
      </w:tr>
      <w:tr w14:paraId="1D9A3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57B52C51">
            <w:pPr>
              <w:spacing w:line="420" w:lineRule="exact"/>
              <w:jc w:val="center"/>
              <w:rPr>
                <w:rFonts w:ascii="宋体" w:hAnsi="宋体"/>
                <w:color w:val="auto"/>
                <w:szCs w:val="21"/>
              </w:rPr>
            </w:pPr>
            <w:r>
              <w:rPr>
                <w:rFonts w:hint="eastAsia" w:ascii="宋体" w:hAnsi="宋体"/>
                <w:color w:val="auto"/>
                <w:szCs w:val="21"/>
              </w:rPr>
              <w:t>3</w:t>
            </w:r>
          </w:p>
        </w:tc>
        <w:tc>
          <w:tcPr>
            <w:tcW w:w="1169" w:type="dxa"/>
            <w:vAlign w:val="center"/>
          </w:tcPr>
          <w:p w14:paraId="6B38ED1A">
            <w:pPr>
              <w:spacing w:line="420" w:lineRule="exact"/>
              <w:jc w:val="center"/>
              <w:rPr>
                <w:rFonts w:ascii="宋体" w:hAnsi="宋体"/>
                <w:color w:val="auto"/>
                <w:szCs w:val="21"/>
              </w:rPr>
            </w:pPr>
          </w:p>
        </w:tc>
        <w:tc>
          <w:tcPr>
            <w:tcW w:w="1797" w:type="dxa"/>
            <w:vAlign w:val="center"/>
          </w:tcPr>
          <w:p w14:paraId="7FC0BCFF">
            <w:pPr>
              <w:spacing w:line="420" w:lineRule="exact"/>
              <w:jc w:val="center"/>
              <w:rPr>
                <w:rFonts w:ascii="宋体" w:hAnsi="宋体"/>
                <w:color w:val="auto"/>
                <w:szCs w:val="21"/>
              </w:rPr>
            </w:pPr>
          </w:p>
        </w:tc>
        <w:tc>
          <w:tcPr>
            <w:tcW w:w="1930" w:type="dxa"/>
            <w:vAlign w:val="center"/>
          </w:tcPr>
          <w:p w14:paraId="4E59B47D">
            <w:pPr>
              <w:spacing w:line="420" w:lineRule="exact"/>
              <w:jc w:val="center"/>
              <w:rPr>
                <w:rFonts w:ascii="宋体" w:hAnsi="宋体"/>
                <w:color w:val="auto"/>
                <w:szCs w:val="21"/>
              </w:rPr>
            </w:pPr>
          </w:p>
        </w:tc>
        <w:tc>
          <w:tcPr>
            <w:tcW w:w="1793" w:type="dxa"/>
            <w:vAlign w:val="center"/>
          </w:tcPr>
          <w:p w14:paraId="7CD62975">
            <w:pPr>
              <w:spacing w:line="420" w:lineRule="exact"/>
              <w:jc w:val="center"/>
              <w:rPr>
                <w:rFonts w:ascii="宋体" w:hAnsi="宋体"/>
                <w:color w:val="auto"/>
                <w:szCs w:val="21"/>
              </w:rPr>
            </w:pPr>
          </w:p>
        </w:tc>
        <w:tc>
          <w:tcPr>
            <w:tcW w:w="1431" w:type="dxa"/>
            <w:vAlign w:val="center"/>
          </w:tcPr>
          <w:p w14:paraId="73BBCEFC">
            <w:pPr>
              <w:spacing w:line="420" w:lineRule="exact"/>
              <w:jc w:val="center"/>
              <w:rPr>
                <w:rFonts w:ascii="宋体" w:hAnsi="宋体"/>
                <w:color w:val="auto"/>
                <w:szCs w:val="21"/>
              </w:rPr>
            </w:pPr>
          </w:p>
        </w:tc>
        <w:tc>
          <w:tcPr>
            <w:tcW w:w="1520" w:type="dxa"/>
            <w:vAlign w:val="center"/>
          </w:tcPr>
          <w:p w14:paraId="6325BE5C">
            <w:pPr>
              <w:spacing w:line="420" w:lineRule="exact"/>
              <w:jc w:val="center"/>
              <w:rPr>
                <w:rFonts w:ascii="宋体" w:hAnsi="宋体"/>
                <w:color w:val="auto"/>
                <w:szCs w:val="21"/>
              </w:rPr>
            </w:pPr>
          </w:p>
        </w:tc>
        <w:tc>
          <w:tcPr>
            <w:tcW w:w="1706" w:type="dxa"/>
            <w:vAlign w:val="center"/>
          </w:tcPr>
          <w:p w14:paraId="2A02E859">
            <w:pPr>
              <w:spacing w:line="420" w:lineRule="exact"/>
              <w:jc w:val="center"/>
              <w:rPr>
                <w:rFonts w:ascii="宋体" w:hAnsi="宋体"/>
                <w:color w:val="auto"/>
                <w:szCs w:val="21"/>
              </w:rPr>
            </w:pPr>
          </w:p>
        </w:tc>
        <w:tc>
          <w:tcPr>
            <w:tcW w:w="1697" w:type="dxa"/>
          </w:tcPr>
          <w:p w14:paraId="0357C211">
            <w:pPr>
              <w:spacing w:line="420" w:lineRule="exact"/>
              <w:jc w:val="center"/>
              <w:rPr>
                <w:rFonts w:ascii="宋体" w:hAnsi="宋体"/>
                <w:color w:val="auto"/>
                <w:szCs w:val="21"/>
              </w:rPr>
            </w:pPr>
          </w:p>
        </w:tc>
      </w:tr>
      <w:tr w14:paraId="6D38A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3BC52285">
            <w:pPr>
              <w:spacing w:line="420" w:lineRule="exact"/>
              <w:jc w:val="center"/>
              <w:rPr>
                <w:rFonts w:ascii="宋体" w:hAnsi="宋体"/>
                <w:color w:val="auto"/>
                <w:szCs w:val="21"/>
              </w:rPr>
            </w:pPr>
            <w:r>
              <w:rPr>
                <w:rFonts w:hint="eastAsia" w:ascii="宋体" w:hAnsi="宋体"/>
                <w:color w:val="auto"/>
                <w:szCs w:val="21"/>
              </w:rPr>
              <w:t>4</w:t>
            </w:r>
          </w:p>
        </w:tc>
        <w:tc>
          <w:tcPr>
            <w:tcW w:w="1169" w:type="dxa"/>
            <w:vAlign w:val="center"/>
          </w:tcPr>
          <w:p w14:paraId="68E4AB20">
            <w:pPr>
              <w:spacing w:line="420" w:lineRule="exact"/>
              <w:jc w:val="center"/>
              <w:rPr>
                <w:rFonts w:ascii="宋体" w:hAnsi="宋体"/>
                <w:color w:val="auto"/>
                <w:szCs w:val="21"/>
              </w:rPr>
            </w:pPr>
          </w:p>
        </w:tc>
        <w:tc>
          <w:tcPr>
            <w:tcW w:w="1797" w:type="dxa"/>
            <w:vAlign w:val="center"/>
          </w:tcPr>
          <w:p w14:paraId="645B5541">
            <w:pPr>
              <w:spacing w:line="420" w:lineRule="exact"/>
              <w:jc w:val="center"/>
              <w:rPr>
                <w:rFonts w:ascii="宋体" w:hAnsi="宋体"/>
                <w:color w:val="auto"/>
                <w:szCs w:val="21"/>
              </w:rPr>
            </w:pPr>
          </w:p>
        </w:tc>
        <w:tc>
          <w:tcPr>
            <w:tcW w:w="1930" w:type="dxa"/>
            <w:vAlign w:val="center"/>
          </w:tcPr>
          <w:p w14:paraId="6FE9F556">
            <w:pPr>
              <w:spacing w:line="420" w:lineRule="exact"/>
              <w:jc w:val="center"/>
              <w:rPr>
                <w:rFonts w:ascii="宋体" w:hAnsi="宋体"/>
                <w:color w:val="auto"/>
                <w:szCs w:val="21"/>
              </w:rPr>
            </w:pPr>
          </w:p>
        </w:tc>
        <w:tc>
          <w:tcPr>
            <w:tcW w:w="1793" w:type="dxa"/>
            <w:vAlign w:val="center"/>
          </w:tcPr>
          <w:p w14:paraId="373A2D77">
            <w:pPr>
              <w:spacing w:line="420" w:lineRule="exact"/>
              <w:jc w:val="center"/>
              <w:rPr>
                <w:rFonts w:ascii="宋体" w:hAnsi="宋体"/>
                <w:color w:val="auto"/>
                <w:szCs w:val="21"/>
              </w:rPr>
            </w:pPr>
          </w:p>
        </w:tc>
        <w:tc>
          <w:tcPr>
            <w:tcW w:w="1431" w:type="dxa"/>
            <w:vAlign w:val="center"/>
          </w:tcPr>
          <w:p w14:paraId="20A7AA7C">
            <w:pPr>
              <w:spacing w:line="420" w:lineRule="exact"/>
              <w:jc w:val="center"/>
              <w:rPr>
                <w:rFonts w:ascii="宋体" w:hAnsi="宋体"/>
                <w:color w:val="auto"/>
                <w:szCs w:val="21"/>
              </w:rPr>
            </w:pPr>
          </w:p>
        </w:tc>
        <w:tc>
          <w:tcPr>
            <w:tcW w:w="1520" w:type="dxa"/>
            <w:vAlign w:val="center"/>
          </w:tcPr>
          <w:p w14:paraId="10B8F83D">
            <w:pPr>
              <w:spacing w:line="420" w:lineRule="exact"/>
              <w:jc w:val="center"/>
              <w:rPr>
                <w:rFonts w:ascii="宋体" w:hAnsi="宋体"/>
                <w:color w:val="auto"/>
                <w:szCs w:val="21"/>
              </w:rPr>
            </w:pPr>
          </w:p>
        </w:tc>
        <w:tc>
          <w:tcPr>
            <w:tcW w:w="1706" w:type="dxa"/>
            <w:vAlign w:val="center"/>
          </w:tcPr>
          <w:p w14:paraId="682A697E">
            <w:pPr>
              <w:spacing w:line="420" w:lineRule="exact"/>
              <w:jc w:val="center"/>
              <w:rPr>
                <w:rFonts w:ascii="宋体" w:hAnsi="宋体"/>
                <w:color w:val="auto"/>
                <w:szCs w:val="21"/>
              </w:rPr>
            </w:pPr>
          </w:p>
        </w:tc>
        <w:tc>
          <w:tcPr>
            <w:tcW w:w="1697" w:type="dxa"/>
          </w:tcPr>
          <w:p w14:paraId="5684F175">
            <w:pPr>
              <w:spacing w:line="420" w:lineRule="exact"/>
              <w:jc w:val="center"/>
              <w:rPr>
                <w:rFonts w:ascii="宋体" w:hAnsi="宋体"/>
                <w:color w:val="auto"/>
                <w:szCs w:val="21"/>
              </w:rPr>
            </w:pPr>
          </w:p>
        </w:tc>
      </w:tr>
      <w:tr w14:paraId="0F6D5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4DBD2E74">
            <w:pPr>
              <w:spacing w:line="420" w:lineRule="exact"/>
              <w:jc w:val="center"/>
              <w:rPr>
                <w:rFonts w:ascii="宋体" w:hAnsi="宋体"/>
                <w:color w:val="auto"/>
                <w:szCs w:val="21"/>
              </w:rPr>
            </w:pPr>
            <w:r>
              <w:rPr>
                <w:rFonts w:hint="eastAsia" w:ascii="宋体" w:hAnsi="宋体"/>
                <w:color w:val="auto"/>
                <w:szCs w:val="21"/>
              </w:rPr>
              <w:t>5</w:t>
            </w:r>
          </w:p>
        </w:tc>
        <w:tc>
          <w:tcPr>
            <w:tcW w:w="1169" w:type="dxa"/>
            <w:vAlign w:val="center"/>
          </w:tcPr>
          <w:p w14:paraId="4F439C14">
            <w:pPr>
              <w:spacing w:line="420" w:lineRule="exact"/>
              <w:jc w:val="center"/>
              <w:rPr>
                <w:rFonts w:ascii="宋体" w:hAnsi="宋体"/>
                <w:color w:val="auto"/>
                <w:szCs w:val="21"/>
              </w:rPr>
            </w:pPr>
          </w:p>
        </w:tc>
        <w:tc>
          <w:tcPr>
            <w:tcW w:w="1797" w:type="dxa"/>
            <w:vAlign w:val="center"/>
          </w:tcPr>
          <w:p w14:paraId="11467026">
            <w:pPr>
              <w:spacing w:line="420" w:lineRule="exact"/>
              <w:jc w:val="center"/>
              <w:rPr>
                <w:rFonts w:ascii="宋体" w:hAnsi="宋体"/>
                <w:color w:val="auto"/>
                <w:szCs w:val="21"/>
              </w:rPr>
            </w:pPr>
          </w:p>
        </w:tc>
        <w:tc>
          <w:tcPr>
            <w:tcW w:w="1930" w:type="dxa"/>
            <w:vAlign w:val="center"/>
          </w:tcPr>
          <w:p w14:paraId="24AB1D29">
            <w:pPr>
              <w:spacing w:line="420" w:lineRule="exact"/>
              <w:jc w:val="center"/>
              <w:rPr>
                <w:rFonts w:ascii="宋体" w:hAnsi="宋体"/>
                <w:color w:val="auto"/>
                <w:szCs w:val="21"/>
              </w:rPr>
            </w:pPr>
          </w:p>
        </w:tc>
        <w:tc>
          <w:tcPr>
            <w:tcW w:w="1793" w:type="dxa"/>
            <w:vAlign w:val="center"/>
          </w:tcPr>
          <w:p w14:paraId="399B8220">
            <w:pPr>
              <w:spacing w:line="420" w:lineRule="exact"/>
              <w:jc w:val="center"/>
              <w:rPr>
                <w:rFonts w:ascii="宋体" w:hAnsi="宋体"/>
                <w:color w:val="auto"/>
                <w:szCs w:val="21"/>
              </w:rPr>
            </w:pPr>
          </w:p>
        </w:tc>
        <w:tc>
          <w:tcPr>
            <w:tcW w:w="1431" w:type="dxa"/>
            <w:vAlign w:val="center"/>
          </w:tcPr>
          <w:p w14:paraId="3D9F6B98">
            <w:pPr>
              <w:spacing w:line="420" w:lineRule="exact"/>
              <w:jc w:val="center"/>
              <w:rPr>
                <w:rFonts w:ascii="宋体" w:hAnsi="宋体"/>
                <w:color w:val="auto"/>
                <w:szCs w:val="21"/>
              </w:rPr>
            </w:pPr>
          </w:p>
        </w:tc>
        <w:tc>
          <w:tcPr>
            <w:tcW w:w="1520" w:type="dxa"/>
            <w:vAlign w:val="center"/>
          </w:tcPr>
          <w:p w14:paraId="707C9D32">
            <w:pPr>
              <w:spacing w:line="420" w:lineRule="exact"/>
              <w:jc w:val="center"/>
              <w:rPr>
                <w:rFonts w:ascii="宋体" w:hAnsi="宋体"/>
                <w:color w:val="auto"/>
                <w:szCs w:val="21"/>
              </w:rPr>
            </w:pPr>
          </w:p>
        </w:tc>
        <w:tc>
          <w:tcPr>
            <w:tcW w:w="1706" w:type="dxa"/>
            <w:vAlign w:val="center"/>
          </w:tcPr>
          <w:p w14:paraId="5A6588B8">
            <w:pPr>
              <w:spacing w:line="420" w:lineRule="exact"/>
              <w:jc w:val="center"/>
              <w:rPr>
                <w:rFonts w:ascii="宋体" w:hAnsi="宋体"/>
                <w:color w:val="auto"/>
                <w:szCs w:val="21"/>
              </w:rPr>
            </w:pPr>
          </w:p>
        </w:tc>
        <w:tc>
          <w:tcPr>
            <w:tcW w:w="1697" w:type="dxa"/>
          </w:tcPr>
          <w:p w14:paraId="7FB67DCE">
            <w:pPr>
              <w:spacing w:line="420" w:lineRule="exact"/>
              <w:jc w:val="center"/>
              <w:rPr>
                <w:rFonts w:ascii="宋体" w:hAnsi="宋体"/>
                <w:color w:val="auto"/>
                <w:szCs w:val="21"/>
              </w:rPr>
            </w:pPr>
          </w:p>
        </w:tc>
      </w:tr>
      <w:tr w14:paraId="7DD49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0755FC3E">
            <w:pPr>
              <w:spacing w:line="420" w:lineRule="exact"/>
              <w:jc w:val="center"/>
              <w:rPr>
                <w:rFonts w:ascii="宋体" w:hAnsi="宋体"/>
                <w:color w:val="auto"/>
                <w:szCs w:val="21"/>
              </w:rPr>
            </w:pPr>
            <w:r>
              <w:rPr>
                <w:rFonts w:hint="eastAsia" w:ascii="宋体" w:hAnsi="宋体"/>
                <w:color w:val="auto"/>
                <w:szCs w:val="21"/>
              </w:rPr>
              <w:t>6</w:t>
            </w:r>
          </w:p>
        </w:tc>
        <w:tc>
          <w:tcPr>
            <w:tcW w:w="1169" w:type="dxa"/>
            <w:vAlign w:val="center"/>
          </w:tcPr>
          <w:p w14:paraId="1A82768A">
            <w:pPr>
              <w:spacing w:line="420" w:lineRule="exact"/>
              <w:jc w:val="center"/>
              <w:rPr>
                <w:rFonts w:ascii="宋体" w:hAnsi="宋体"/>
                <w:color w:val="auto"/>
                <w:szCs w:val="21"/>
              </w:rPr>
            </w:pPr>
          </w:p>
        </w:tc>
        <w:tc>
          <w:tcPr>
            <w:tcW w:w="1797" w:type="dxa"/>
            <w:vAlign w:val="center"/>
          </w:tcPr>
          <w:p w14:paraId="63F81CF6">
            <w:pPr>
              <w:spacing w:line="420" w:lineRule="exact"/>
              <w:jc w:val="center"/>
              <w:rPr>
                <w:rFonts w:ascii="宋体" w:hAnsi="宋体"/>
                <w:color w:val="auto"/>
                <w:szCs w:val="21"/>
              </w:rPr>
            </w:pPr>
          </w:p>
        </w:tc>
        <w:tc>
          <w:tcPr>
            <w:tcW w:w="1930" w:type="dxa"/>
            <w:vAlign w:val="center"/>
          </w:tcPr>
          <w:p w14:paraId="0F5D9F83">
            <w:pPr>
              <w:spacing w:line="420" w:lineRule="exact"/>
              <w:jc w:val="center"/>
              <w:rPr>
                <w:rFonts w:ascii="宋体" w:hAnsi="宋体"/>
                <w:color w:val="auto"/>
                <w:szCs w:val="21"/>
              </w:rPr>
            </w:pPr>
          </w:p>
        </w:tc>
        <w:tc>
          <w:tcPr>
            <w:tcW w:w="1793" w:type="dxa"/>
            <w:vAlign w:val="center"/>
          </w:tcPr>
          <w:p w14:paraId="3095F1A2">
            <w:pPr>
              <w:spacing w:line="420" w:lineRule="exact"/>
              <w:jc w:val="center"/>
              <w:rPr>
                <w:rFonts w:ascii="宋体" w:hAnsi="宋体"/>
                <w:color w:val="auto"/>
                <w:szCs w:val="21"/>
              </w:rPr>
            </w:pPr>
          </w:p>
        </w:tc>
        <w:tc>
          <w:tcPr>
            <w:tcW w:w="1431" w:type="dxa"/>
            <w:vAlign w:val="center"/>
          </w:tcPr>
          <w:p w14:paraId="299A4D01">
            <w:pPr>
              <w:spacing w:line="420" w:lineRule="exact"/>
              <w:jc w:val="center"/>
              <w:rPr>
                <w:rFonts w:ascii="宋体" w:hAnsi="宋体"/>
                <w:color w:val="auto"/>
                <w:szCs w:val="21"/>
              </w:rPr>
            </w:pPr>
          </w:p>
        </w:tc>
        <w:tc>
          <w:tcPr>
            <w:tcW w:w="1520" w:type="dxa"/>
            <w:vAlign w:val="center"/>
          </w:tcPr>
          <w:p w14:paraId="6E1F81F6">
            <w:pPr>
              <w:spacing w:line="420" w:lineRule="exact"/>
              <w:jc w:val="center"/>
              <w:rPr>
                <w:rFonts w:ascii="宋体" w:hAnsi="宋体"/>
                <w:color w:val="auto"/>
                <w:szCs w:val="21"/>
              </w:rPr>
            </w:pPr>
          </w:p>
        </w:tc>
        <w:tc>
          <w:tcPr>
            <w:tcW w:w="1706" w:type="dxa"/>
            <w:vAlign w:val="center"/>
          </w:tcPr>
          <w:p w14:paraId="1AFB3CEF">
            <w:pPr>
              <w:spacing w:line="420" w:lineRule="exact"/>
              <w:jc w:val="center"/>
              <w:rPr>
                <w:rFonts w:ascii="宋体" w:hAnsi="宋体"/>
                <w:color w:val="auto"/>
                <w:szCs w:val="21"/>
              </w:rPr>
            </w:pPr>
          </w:p>
        </w:tc>
        <w:tc>
          <w:tcPr>
            <w:tcW w:w="1697" w:type="dxa"/>
          </w:tcPr>
          <w:p w14:paraId="031EFD22">
            <w:pPr>
              <w:spacing w:line="420" w:lineRule="exact"/>
              <w:jc w:val="center"/>
              <w:rPr>
                <w:rFonts w:ascii="宋体" w:hAnsi="宋体"/>
                <w:color w:val="auto"/>
                <w:szCs w:val="21"/>
              </w:rPr>
            </w:pPr>
          </w:p>
        </w:tc>
      </w:tr>
      <w:tr w14:paraId="6F7EA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04" w:type="dxa"/>
            <w:vAlign w:val="center"/>
          </w:tcPr>
          <w:p w14:paraId="4637B6C0">
            <w:pPr>
              <w:spacing w:line="420" w:lineRule="exact"/>
              <w:jc w:val="center"/>
              <w:rPr>
                <w:rFonts w:ascii="宋体" w:hAnsi="宋体"/>
                <w:color w:val="auto"/>
                <w:szCs w:val="21"/>
              </w:rPr>
            </w:pPr>
            <w:r>
              <w:rPr>
                <w:rFonts w:hint="eastAsia" w:ascii="宋体" w:hAnsi="宋体"/>
                <w:color w:val="auto"/>
                <w:szCs w:val="21"/>
              </w:rPr>
              <w:t>7</w:t>
            </w:r>
          </w:p>
        </w:tc>
        <w:tc>
          <w:tcPr>
            <w:tcW w:w="1169" w:type="dxa"/>
            <w:vAlign w:val="center"/>
          </w:tcPr>
          <w:p w14:paraId="3EFA1C5D">
            <w:pPr>
              <w:spacing w:line="420" w:lineRule="exact"/>
              <w:jc w:val="center"/>
              <w:rPr>
                <w:rFonts w:ascii="宋体" w:hAnsi="宋体"/>
                <w:color w:val="auto"/>
                <w:szCs w:val="21"/>
              </w:rPr>
            </w:pPr>
          </w:p>
        </w:tc>
        <w:tc>
          <w:tcPr>
            <w:tcW w:w="1797" w:type="dxa"/>
            <w:vAlign w:val="center"/>
          </w:tcPr>
          <w:p w14:paraId="35096FA7">
            <w:pPr>
              <w:spacing w:line="420" w:lineRule="exact"/>
              <w:jc w:val="center"/>
              <w:rPr>
                <w:rFonts w:ascii="宋体" w:hAnsi="宋体"/>
                <w:color w:val="auto"/>
                <w:szCs w:val="21"/>
              </w:rPr>
            </w:pPr>
          </w:p>
        </w:tc>
        <w:tc>
          <w:tcPr>
            <w:tcW w:w="1930" w:type="dxa"/>
            <w:vAlign w:val="center"/>
          </w:tcPr>
          <w:p w14:paraId="3411B6FE">
            <w:pPr>
              <w:spacing w:line="420" w:lineRule="exact"/>
              <w:jc w:val="center"/>
              <w:rPr>
                <w:rFonts w:ascii="宋体" w:hAnsi="宋体"/>
                <w:color w:val="auto"/>
                <w:szCs w:val="21"/>
              </w:rPr>
            </w:pPr>
          </w:p>
        </w:tc>
        <w:tc>
          <w:tcPr>
            <w:tcW w:w="1793" w:type="dxa"/>
            <w:vAlign w:val="center"/>
          </w:tcPr>
          <w:p w14:paraId="5FA9EEFA">
            <w:pPr>
              <w:spacing w:line="420" w:lineRule="exact"/>
              <w:jc w:val="center"/>
              <w:rPr>
                <w:rFonts w:ascii="宋体" w:hAnsi="宋体"/>
                <w:color w:val="auto"/>
                <w:szCs w:val="21"/>
              </w:rPr>
            </w:pPr>
          </w:p>
        </w:tc>
        <w:tc>
          <w:tcPr>
            <w:tcW w:w="1431" w:type="dxa"/>
            <w:vAlign w:val="center"/>
          </w:tcPr>
          <w:p w14:paraId="53C9EED3">
            <w:pPr>
              <w:spacing w:line="420" w:lineRule="exact"/>
              <w:jc w:val="center"/>
              <w:rPr>
                <w:rFonts w:ascii="宋体" w:hAnsi="宋体"/>
                <w:color w:val="auto"/>
                <w:szCs w:val="21"/>
              </w:rPr>
            </w:pPr>
          </w:p>
        </w:tc>
        <w:tc>
          <w:tcPr>
            <w:tcW w:w="1520" w:type="dxa"/>
            <w:vAlign w:val="center"/>
          </w:tcPr>
          <w:p w14:paraId="10AB2FA9">
            <w:pPr>
              <w:spacing w:line="420" w:lineRule="exact"/>
              <w:jc w:val="center"/>
              <w:rPr>
                <w:rFonts w:ascii="宋体" w:hAnsi="宋体"/>
                <w:color w:val="auto"/>
                <w:szCs w:val="21"/>
              </w:rPr>
            </w:pPr>
          </w:p>
        </w:tc>
        <w:tc>
          <w:tcPr>
            <w:tcW w:w="1706" w:type="dxa"/>
            <w:vAlign w:val="center"/>
          </w:tcPr>
          <w:p w14:paraId="218718E2">
            <w:pPr>
              <w:spacing w:line="420" w:lineRule="exact"/>
              <w:jc w:val="center"/>
              <w:rPr>
                <w:rFonts w:ascii="宋体" w:hAnsi="宋体"/>
                <w:color w:val="auto"/>
                <w:szCs w:val="21"/>
              </w:rPr>
            </w:pPr>
          </w:p>
        </w:tc>
        <w:tc>
          <w:tcPr>
            <w:tcW w:w="1697" w:type="dxa"/>
          </w:tcPr>
          <w:p w14:paraId="0E3D4D91">
            <w:pPr>
              <w:spacing w:line="420" w:lineRule="exact"/>
              <w:jc w:val="center"/>
              <w:rPr>
                <w:rFonts w:ascii="宋体" w:hAnsi="宋体"/>
                <w:color w:val="auto"/>
                <w:szCs w:val="21"/>
              </w:rPr>
            </w:pPr>
          </w:p>
        </w:tc>
      </w:tr>
      <w:bookmarkEnd w:id="655"/>
    </w:tbl>
    <w:p w14:paraId="16400199">
      <w:pPr>
        <w:spacing w:after="240" w:afterLines="100"/>
        <w:rPr>
          <w:color w:val="auto"/>
          <w:szCs w:val="44"/>
        </w:rPr>
      </w:pPr>
    </w:p>
    <w:p w14:paraId="41544928">
      <w:pPr>
        <w:adjustRightInd w:val="0"/>
        <w:snapToGrid w:val="0"/>
        <w:spacing w:line="440" w:lineRule="exact"/>
        <w:rPr>
          <w:rFonts w:ascii="黑体" w:eastAsia="黑体"/>
          <w:color w:val="auto"/>
          <w:sz w:val="24"/>
        </w:rPr>
      </w:pPr>
    </w:p>
    <w:p w14:paraId="6A8A495B">
      <w:pPr>
        <w:adjustRightInd w:val="0"/>
        <w:snapToGrid w:val="0"/>
        <w:spacing w:line="440" w:lineRule="exact"/>
        <w:rPr>
          <w:rFonts w:ascii="黑体" w:eastAsia="黑体"/>
          <w:color w:val="auto"/>
          <w:sz w:val="24"/>
        </w:rPr>
        <w:sectPr>
          <w:footerReference r:id="rId14" w:type="default"/>
          <w:footerReference r:id="rId15" w:type="even"/>
          <w:pgSz w:w="16838" w:h="11906" w:orient="landscape"/>
          <w:pgMar w:top="1797" w:right="1440" w:bottom="1797" w:left="1440" w:header="851" w:footer="851" w:gutter="0"/>
          <w:cols w:space="720" w:num="1"/>
          <w:docGrid w:linePitch="312" w:charSpace="0"/>
        </w:sectPr>
      </w:pPr>
    </w:p>
    <w:p w14:paraId="74B8B7F1">
      <w:pPr>
        <w:pStyle w:val="27"/>
        <w:rPr>
          <w:color w:val="auto"/>
        </w:rPr>
      </w:pPr>
      <w:bookmarkStart w:id="656" w:name="_Toc165804448"/>
      <w:bookmarkStart w:id="657" w:name="_Toc17359"/>
      <w:r>
        <w:rPr>
          <w:color w:val="auto"/>
        </w:rPr>
        <w:t>附表A-2：评标专家</w:t>
      </w:r>
      <w:r>
        <w:rPr>
          <w:rFonts w:hint="eastAsia"/>
          <w:color w:val="auto"/>
        </w:rPr>
        <w:t>告知承诺函</w:t>
      </w:r>
      <w:bookmarkEnd w:id="656"/>
      <w:bookmarkEnd w:id="657"/>
    </w:p>
    <w:p w14:paraId="7D6693C0">
      <w:pPr>
        <w:adjustRightInd w:val="0"/>
        <w:snapToGrid w:val="0"/>
        <w:spacing w:line="440" w:lineRule="exact"/>
        <w:rPr>
          <w:rFonts w:ascii="黑体" w:eastAsia="黑体"/>
          <w:color w:val="auto"/>
          <w:sz w:val="24"/>
        </w:rPr>
      </w:pPr>
    </w:p>
    <w:p w14:paraId="5E94C113">
      <w:pPr>
        <w:adjustRightInd w:val="0"/>
        <w:snapToGrid w:val="0"/>
        <w:spacing w:before="240" w:beforeLines="100" w:after="240" w:afterLines="100" w:line="440" w:lineRule="exact"/>
        <w:jc w:val="center"/>
        <w:rPr>
          <w:rFonts w:ascii="黑体" w:hAnsi="宋体" w:eastAsia="黑体"/>
          <w:color w:val="auto"/>
          <w:sz w:val="36"/>
          <w:szCs w:val="36"/>
        </w:rPr>
      </w:pPr>
      <w:r>
        <w:rPr>
          <w:rFonts w:hint="eastAsia" w:ascii="黑体" w:hAnsi="宋体" w:eastAsia="黑体"/>
          <w:color w:val="auto"/>
          <w:sz w:val="36"/>
          <w:szCs w:val="36"/>
        </w:rPr>
        <w:t>评标专家告知承诺函</w:t>
      </w:r>
    </w:p>
    <w:p w14:paraId="1BC7D887">
      <w:pPr>
        <w:spacing w:line="360" w:lineRule="auto"/>
        <w:ind w:firstLine="420" w:firstLineChars="200"/>
        <w:rPr>
          <w:color w:val="auto"/>
        </w:rPr>
      </w:pPr>
    </w:p>
    <w:p w14:paraId="50AC799B">
      <w:pPr>
        <w:spacing w:line="360" w:lineRule="auto"/>
        <w:ind w:firstLine="420" w:firstLineChars="200"/>
        <w:rPr>
          <w:color w:val="auto"/>
        </w:rPr>
      </w:pPr>
      <w:r>
        <w:rPr>
          <w:color w:val="auto"/>
        </w:rPr>
        <w:t>本人接受招标人邀请，担任</w:t>
      </w:r>
      <w:r>
        <w:rPr>
          <w:rFonts w:hint="eastAsia"/>
          <w:color w:val="auto"/>
        </w:rPr>
        <w:t xml:space="preserve"> </w:t>
      </w:r>
      <w:r>
        <w:rPr>
          <w:rFonts w:hint="eastAsia"/>
          <w:color w:val="auto"/>
          <w:u w:val="single"/>
        </w:rPr>
        <w:t xml:space="preserve">    </w:t>
      </w:r>
      <w:r>
        <w:rPr>
          <w:color w:val="auto"/>
          <w:u w:val="single"/>
        </w:rPr>
        <w:t xml:space="preserve">         </w:t>
      </w:r>
      <w:r>
        <w:rPr>
          <w:rFonts w:hint="eastAsia"/>
          <w:color w:val="auto"/>
          <w:u w:val="single"/>
        </w:rPr>
        <w:t xml:space="preserve">     </w:t>
      </w:r>
      <w:r>
        <w:rPr>
          <w:rFonts w:hint="eastAsia"/>
          <w:color w:val="auto"/>
        </w:rPr>
        <w:t>（标段名称）项目</w:t>
      </w:r>
      <w:r>
        <w:rPr>
          <w:color w:val="auto"/>
        </w:rPr>
        <w:t>招标的评标专家。</w:t>
      </w:r>
    </w:p>
    <w:p w14:paraId="12938A17">
      <w:pPr>
        <w:spacing w:line="360" w:lineRule="auto"/>
        <w:ind w:firstLine="420" w:firstLineChars="200"/>
        <w:rPr>
          <w:rFonts w:ascii="宋体" w:hAnsi="宋体"/>
          <w:color w:val="auto"/>
          <w:szCs w:val="21"/>
        </w:rPr>
      </w:pPr>
      <w:r>
        <w:rPr>
          <w:rFonts w:hint="eastAsia" w:ascii="宋体" w:hAnsi="宋体"/>
          <w:color w:val="auto"/>
          <w:szCs w:val="21"/>
        </w:rPr>
        <w:t>本人作为辽宁省评标专家库评标专家，已知悉相关权利义务，已熟知告知承诺函内容，并在此郑重承诺</w:t>
      </w:r>
      <w:r>
        <w:rPr>
          <w:rFonts w:hint="eastAsia" w:ascii="宋体" w:hAnsi="宋体"/>
          <w:color w:val="auto"/>
          <w:szCs w:val="21"/>
          <w:lang w:eastAsia="zh-CN"/>
        </w:rPr>
        <w:t>：</w:t>
      </w:r>
    </w:p>
    <w:p w14:paraId="58DA6043">
      <w:pPr>
        <w:spacing w:line="360" w:lineRule="auto"/>
        <w:ind w:firstLine="420" w:firstLineChars="200"/>
        <w:rPr>
          <w:rFonts w:ascii="宋体" w:hAnsi="宋体"/>
          <w:color w:val="auto"/>
          <w:szCs w:val="21"/>
        </w:rPr>
      </w:pPr>
      <w:r>
        <w:rPr>
          <w:rFonts w:hint="eastAsia" w:ascii="宋体" w:hAnsi="宋体"/>
          <w:color w:val="auto"/>
          <w:szCs w:val="21"/>
        </w:rPr>
        <w:t>一、尽职承诺</w:t>
      </w:r>
    </w:p>
    <w:p w14:paraId="1650780C">
      <w:pPr>
        <w:spacing w:line="360" w:lineRule="auto"/>
        <w:ind w:firstLine="420" w:firstLineChars="200"/>
        <w:rPr>
          <w:rFonts w:ascii="宋体" w:hAnsi="宋体"/>
          <w:color w:val="auto"/>
          <w:szCs w:val="21"/>
        </w:rPr>
      </w:pPr>
      <w:r>
        <w:rPr>
          <w:rFonts w:hint="eastAsia" w:ascii="宋体" w:hAnsi="宋体"/>
          <w:color w:val="auto"/>
          <w:szCs w:val="21"/>
        </w:rPr>
        <w:t>（一）客观、公正地履行职务，严格按照法律法规规定、评标办法独立完成该项目的评标工作。</w:t>
      </w:r>
    </w:p>
    <w:p w14:paraId="1739C207">
      <w:pPr>
        <w:spacing w:line="360" w:lineRule="auto"/>
        <w:ind w:firstLine="420" w:firstLineChars="200"/>
        <w:rPr>
          <w:rFonts w:ascii="宋体" w:hAnsi="宋体"/>
          <w:color w:val="auto"/>
          <w:szCs w:val="21"/>
        </w:rPr>
      </w:pPr>
      <w:r>
        <w:rPr>
          <w:rFonts w:hint="eastAsia" w:ascii="宋体" w:hAnsi="宋体"/>
          <w:color w:val="auto"/>
          <w:szCs w:val="21"/>
        </w:rPr>
        <w:t>（二）严格遵守评标纪律，保证评标过程中不发表任何涉及实质性内容的倾向性、引导性言论，不擅离职守。</w:t>
      </w:r>
    </w:p>
    <w:p w14:paraId="3485A76C">
      <w:pPr>
        <w:spacing w:line="360" w:lineRule="auto"/>
        <w:ind w:firstLine="420" w:firstLineChars="200"/>
        <w:rPr>
          <w:rFonts w:ascii="宋体" w:hAnsi="宋体"/>
          <w:color w:val="auto"/>
          <w:szCs w:val="21"/>
        </w:rPr>
      </w:pPr>
      <w:r>
        <w:rPr>
          <w:rFonts w:hint="eastAsia" w:ascii="宋体" w:hAnsi="宋体"/>
          <w:color w:val="auto"/>
          <w:szCs w:val="21"/>
        </w:rPr>
        <w:t>（三）严格遵守《中华人民共和国招标投标法》《中华人民共和国保守国家秘密法》《中华人民共和国招标投标法实施条例》相关规定，遵守职业道德，对所提出的评审意见承担个人责任，自觉维护国家利益、社会公共利益。</w:t>
      </w:r>
    </w:p>
    <w:p w14:paraId="09B87082">
      <w:pPr>
        <w:spacing w:line="360" w:lineRule="auto"/>
        <w:ind w:firstLine="420" w:firstLineChars="200"/>
        <w:rPr>
          <w:rFonts w:ascii="宋体" w:hAnsi="宋体"/>
          <w:color w:val="auto"/>
          <w:szCs w:val="21"/>
        </w:rPr>
      </w:pPr>
      <w:r>
        <w:rPr>
          <w:rFonts w:hint="eastAsia" w:ascii="宋体" w:hAnsi="宋体"/>
          <w:color w:val="auto"/>
          <w:szCs w:val="21"/>
        </w:rPr>
        <w:t>（四）对依法应当否决的投标提出否决意见。</w:t>
      </w:r>
    </w:p>
    <w:p w14:paraId="5CD968A9">
      <w:pPr>
        <w:spacing w:line="360" w:lineRule="auto"/>
        <w:ind w:firstLine="420" w:firstLineChars="200"/>
        <w:rPr>
          <w:rFonts w:ascii="宋体" w:hAnsi="宋体"/>
          <w:color w:val="auto"/>
          <w:szCs w:val="21"/>
        </w:rPr>
      </w:pPr>
      <w:r>
        <w:rPr>
          <w:rFonts w:hint="eastAsia" w:ascii="宋体" w:hAnsi="宋体"/>
          <w:color w:val="auto"/>
          <w:szCs w:val="21"/>
        </w:rPr>
        <w:t>二、回避承诺</w:t>
      </w:r>
    </w:p>
    <w:p w14:paraId="6E9F8C21">
      <w:pPr>
        <w:spacing w:line="360" w:lineRule="auto"/>
        <w:ind w:firstLine="420" w:firstLineChars="200"/>
        <w:rPr>
          <w:rFonts w:ascii="宋体" w:hAnsi="宋体"/>
          <w:color w:val="auto"/>
          <w:szCs w:val="21"/>
        </w:rPr>
      </w:pPr>
      <w:r>
        <w:rPr>
          <w:rFonts w:hint="eastAsia" w:ascii="宋体" w:hAnsi="宋体"/>
          <w:color w:val="auto"/>
          <w:szCs w:val="21"/>
        </w:rPr>
        <w:t>（一）与招标人或投标人的主要负责人不存在近亲属关系。</w:t>
      </w:r>
    </w:p>
    <w:p w14:paraId="058429CF">
      <w:pPr>
        <w:spacing w:line="360" w:lineRule="auto"/>
        <w:ind w:firstLine="420" w:firstLineChars="200"/>
        <w:rPr>
          <w:rFonts w:ascii="宋体" w:hAnsi="宋体"/>
          <w:color w:val="auto"/>
          <w:szCs w:val="21"/>
        </w:rPr>
      </w:pPr>
      <w:r>
        <w:rPr>
          <w:rFonts w:hint="eastAsia" w:ascii="宋体" w:hAnsi="宋体"/>
          <w:color w:val="auto"/>
          <w:szCs w:val="21"/>
        </w:rPr>
        <w:t>（二）非项目主管部门或者行政监督部门的人员。</w:t>
      </w:r>
    </w:p>
    <w:p w14:paraId="2495CC20">
      <w:pPr>
        <w:spacing w:line="360" w:lineRule="auto"/>
        <w:ind w:firstLine="420" w:firstLineChars="200"/>
        <w:rPr>
          <w:rFonts w:ascii="宋体" w:hAnsi="宋体"/>
          <w:color w:val="auto"/>
          <w:szCs w:val="21"/>
        </w:rPr>
      </w:pPr>
      <w:r>
        <w:rPr>
          <w:rFonts w:hint="eastAsia" w:ascii="宋体" w:hAnsi="宋体"/>
          <w:color w:val="auto"/>
          <w:szCs w:val="21"/>
        </w:rPr>
        <w:t>（三）近</w:t>
      </w:r>
      <w:r>
        <w:rPr>
          <w:rFonts w:ascii="宋体" w:hAnsi="宋体"/>
          <w:color w:val="auto"/>
          <w:szCs w:val="21"/>
        </w:rPr>
        <w:t>5</w:t>
      </w:r>
      <w:r>
        <w:rPr>
          <w:rFonts w:hint="eastAsia" w:ascii="宋体" w:hAnsi="宋体"/>
          <w:color w:val="auto"/>
          <w:szCs w:val="21"/>
        </w:rPr>
        <w:t>年未与投标人或者投标人主要负责人有其他社会关系或者经济利益关系。</w:t>
      </w:r>
    </w:p>
    <w:p w14:paraId="03CEE70A">
      <w:pPr>
        <w:spacing w:line="360" w:lineRule="auto"/>
        <w:ind w:firstLine="420" w:firstLineChars="200"/>
        <w:rPr>
          <w:rFonts w:ascii="宋体" w:hAnsi="宋体"/>
          <w:color w:val="auto"/>
          <w:szCs w:val="21"/>
        </w:rPr>
      </w:pPr>
      <w:r>
        <w:rPr>
          <w:rFonts w:hint="eastAsia" w:ascii="宋体" w:hAnsi="宋体"/>
          <w:color w:val="auto"/>
          <w:szCs w:val="21"/>
        </w:rPr>
        <w:t>（四）未曾因在招标、评标以及其他与招标投标有关活动中从事违法行为而受过行政处罚或刑事处罚的。</w:t>
      </w:r>
    </w:p>
    <w:p w14:paraId="0183B0F5">
      <w:pPr>
        <w:spacing w:line="360" w:lineRule="auto"/>
        <w:ind w:firstLine="420" w:firstLineChars="200"/>
        <w:rPr>
          <w:rFonts w:ascii="宋体" w:hAnsi="宋体"/>
          <w:color w:val="auto"/>
          <w:szCs w:val="21"/>
        </w:rPr>
      </w:pPr>
      <w:r>
        <w:rPr>
          <w:rFonts w:hint="eastAsia" w:ascii="宋体" w:hAnsi="宋体"/>
          <w:color w:val="auto"/>
          <w:szCs w:val="21"/>
        </w:rPr>
        <w:t>三、保密承诺</w:t>
      </w:r>
    </w:p>
    <w:p w14:paraId="4407333D">
      <w:pPr>
        <w:spacing w:line="360" w:lineRule="auto"/>
        <w:ind w:firstLine="420" w:firstLineChars="200"/>
        <w:rPr>
          <w:rFonts w:ascii="宋体" w:hAnsi="宋体"/>
          <w:color w:val="auto"/>
          <w:szCs w:val="21"/>
        </w:rPr>
      </w:pPr>
      <w:r>
        <w:rPr>
          <w:rFonts w:hint="eastAsia" w:ascii="宋体" w:hAnsi="宋体"/>
          <w:color w:val="auto"/>
          <w:szCs w:val="21"/>
        </w:rPr>
        <w:t>（一）不在公共社交网站、媒体、平台，如微信群、QQ群、朋友圈、个人微博等，通过视频、图片、暗语等方式泄露评标任务。</w:t>
      </w:r>
    </w:p>
    <w:p w14:paraId="7C07630F">
      <w:pPr>
        <w:spacing w:line="360" w:lineRule="auto"/>
        <w:ind w:firstLine="420" w:firstLineChars="200"/>
        <w:rPr>
          <w:rFonts w:ascii="宋体" w:hAnsi="宋体"/>
          <w:color w:val="auto"/>
          <w:szCs w:val="21"/>
        </w:rPr>
      </w:pPr>
      <w:r>
        <w:rPr>
          <w:rFonts w:hint="eastAsia" w:ascii="宋体" w:hAnsi="宋体"/>
          <w:color w:val="auto"/>
          <w:szCs w:val="21"/>
        </w:rPr>
        <w:t>（二）评审结束时，全部清退不应由个人持有的评审项目所有文件和资料，不向任何人透露投标文件的评审和比较情况、中标候选人推荐情况以及与评审有关的其他情况。</w:t>
      </w:r>
    </w:p>
    <w:p w14:paraId="5272D98A">
      <w:pPr>
        <w:spacing w:line="360" w:lineRule="auto"/>
        <w:ind w:firstLine="420" w:firstLineChars="200"/>
        <w:rPr>
          <w:rFonts w:ascii="宋体" w:hAnsi="宋体"/>
          <w:color w:val="auto"/>
          <w:szCs w:val="21"/>
        </w:rPr>
      </w:pPr>
      <w:r>
        <w:rPr>
          <w:rFonts w:hint="eastAsia" w:ascii="宋体" w:hAnsi="宋体"/>
          <w:color w:val="auto"/>
          <w:szCs w:val="21"/>
        </w:rPr>
        <w:t>四、廉洁承诺</w:t>
      </w:r>
    </w:p>
    <w:p w14:paraId="5D44045E">
      <w:pPr>
        <w:spacing w:line="360" w:lineRule="auto"/>
        <w:ind w:firstLine="420" w:firstLineChars="200"/>
        <w:rPr>
          <w:rFonts w:ascii="宋体" w:hAnsi="宋体"/>
          <w:color w:val="auto"/>
          <w:szCs w:val="21"/>
        </w:rPr>
      </w:pPr>
      <w:r>
        <w:rPr>
          <w:rFonts w:hint="eastAsia" w:ascii="宋体" w:hAnsi="宋体"/>
          <w:color w:val="auto"/>
          <w:szCs w:val="21"/>
        </w:rPr>
        <w:t>（一）严格履行廉政自律责任，遵守评标廉政纪律，没有私下接触招标人、招标代理机构、投标人，没有收受利益相关人或企业的财物、好处。</w:t>
      </w:r>
    </w:p>
    <w:p w14:paraId="02EE1494">
      <w:pPr>
        <w:spacing w:line="360" w:lineRule="auto"/>
        <w:ind w:firstLine="420" w:firstLineChars="200"/>
        <w:rPr>
          <w:rFonts w:ascii="宋体" w:hAnsi="宋体"/>
          <w:color w:val="auto"/>
          <w:szCs w:val="21"/>
        </w:rPr>
      </w:pPr>
      <w:r>
        <w:rPr>
          <w:rFonts w:hint="eastAsia" w:ascii="宋体" w:hAnsi="宋体"/>
          <w:color w:val="auto"/>
          <w:szCs w:val="21"/>
        </w:rPr>
        <w:t>（二）不向招标人征询确定中标人的意向或者接受任何单位、个人明示暗示特定投标人的要求。</w:t>
      </w:r>
    </w:p>
    <w:p w14:paraId="505DA0AB">
      <w:pPr>
        <w:spacing w:line="360" w:lineRule="auto"/>
        <w:ind w:firstLine="420" w:firstLineChars="200"/>
        <w:rPr>
          <w:rFonts w:ascii="宋体" w:hAnsi="宋体"/>
          <w:color w:val="auto"/>
          <w:szCs w:val="21"/>
        </w:rPr>
      </w:pPr>
      <w:r>
        <w:rPr>
          <w:rFonts w:hint="eastAsia" w:ascii="宋体" w:hAnsi="宋体"/>
          <w:color w:val="auto"/>
          <w:szCs w:val="21"/>
        </w:rPr>
        <w:t>（三）不暗示或者诱导投标人作出澄清、说明或者接受投标人主动提出的澄清、说明。</w:t>
      </w:r>
    </w:p>
    <w:p w14:paraId="0F1BD4DC">
      <w:pPr>
        <w:spacing w:line="360" w:lineRule="auto"/>
        <w:ind w:firstLine="420" w:firstLineChars="200"/>
        <w:rPr>
          <w:rFonts w:ascii="宋体" w:hAnsi="宋体"/>
          <w:color w:val="auto"/>
          <w:szCs w:val="21"/>
        </w:rPr>
      </w:pPr>
      <w:r>
        <w:rPr>
          <w:rFonts w:hint="eastAsia" w:ascii="宋体" w:hAnsi="宋体"/>
          <w:color w:val="auto"/>
          <w:szCs w:val="21"/>
        </w:rPr>
        <w:t>（四）自觉抵制招标投标活动中的违法违规行为，积极配合协助行政监督部门、纪检监察部门、公安部门、检察机关等依法进行监督。</w:t>
      </w:r>
    </w:p>
    <w:p w14:paraId="4296A122">
      <w:pPr>
        <w:spacing w:line="360" w:lineRule="auto"/>
        <w:ind w:firstLine="420" w:firstLineChars="200"/>
        <w:rPr>
          <w:rFonts w:ascii="宋体" w:hAnsi="宋体"/>
          <w:color w:val="auto"/>
          <w:szCs w:val="21"/>
        </w:rPr>
      </w:pPr>
      <w:r>
        <w:rPr>
          <w:rFonts w:hint="eastAsia" w:ascii="宋体" w:hAnsi="宋体"/>
          <w:color w:val="auto"/>
          <w:szCs w:val="21"/>
        </w:rPr>
        <w:t>五、不参与串通投标承诺</w:t>
      </w:r>
    </w:p>
    <w:p w14:paraId="6F24ECB8">
      <w:pPr>
        <w:spacing w:line="360" w:lineRule="auto"/>
        <w:ind w:firstLine="420" w:firstLineChars="200"/>
        <w:rPr>
          <w:rFonts w:ascii="宋体" w:hAnsi="宋体"/>
          <w:color w:val="auto"/>
          <w:szCs w:val="21"/>
        </w:rPr>
      </w:pPr>
      <w:r>
        <w:rPr>
          <w:rFonts w:hint="eastAsia" w:ascii="宋体" w:hAnsi="宋体"/>
          <w:color w:val="auto"/>
          <w:szCs w:val="21"/>
        </w:rPr>
        <w:t>（一）依法依规参加本招标项目的评标工作，不参与串通投标。</w:t>
      </w:r>
    </w:p>
    <w:p w14:paraId="279F5991">
      <w:pPr>
        <w:spacing w:line="360" w:lineRule="auto"/>
        <w:ind w:firstLine="420" w:firstLineChars="200"/>
        <w:rPr>
          <w:rFonts w:ascii="宋体" w:hAnsi="宋体"/>
          <w:color w:val="auto"/>
          <w:szCs w:val="21"/>
        </w:rPr>
      </w:pPr>
      <w:r>
        <w:rPr>
          <w:rFonts w:hint="eastAsia" w:ascii="宋体" w:hAnsi="宋体"/>
          <w:color w:val="auto"/>
          <w:szCs w:val="21"/>
        </w:rPr>
        <w:t>（二）清楚并知晓《中华人民共和国刑法》第一百六十三条“公司、</w:t>
      </w:r>
      <w:r>
        <w:rPr>
          <w:rFonts w:ascii="宋体" w:hAnsi="宋体"/>
          <w:color w:val="auto"/>
          <w:szCs w:val="21"/>
        </w:rPr>
        <w:t>企业</w:t>
      </w:r>
      <w:r>
        <w:rPr>
          <w:rFonts w:hint="eastAsia" w:ascii="宋体" w:hAnsi="宋体"/>
          <w:color w:val="auto"/>
          <w:szCs w:val="21"/>
        </w:rPr>
        <w:t>或者其他单位</w:t>
      </w:r>
      <w:r>
        <w:rPr>
          <w:rFonts w:ascii="宋体" w:hAnsi="宋体"/>
          <w:color w:val="auto"/>
          <w:szCs w:val="21"/>
        </w:rPr>
        <w:t>的</w:t>
      </w:r>
      <w:r>
        <w:rPr>
          <w:rFonts w:hint="eastAsia" w:ascii="宋体" w:hAnsi="宋体"/>
          <w:color w:val="auto"/>
          <w:szCs w:val="21"/>
        </w:rPr>
        <w:t>工作人员，利用职务上的便利，</w:t>
      </w:r>
      <w:r>
        <w:rPr>
          <w:rFonts w:ascii="宋体" w:hAnsi="宋体"/>
          <w:color w:val="auto"/>
          <w:szCs w:val="21"/>
        </w:rPr>
        <w:t>索取他人财物或者非法收受他</w:t>
      </w:r>
      <w:r>
        <w:rPr>
          <w:rFonts w:hint="eastAsia" w:ascii="宋体" w:hAnsi="宋体"/>
          <w:color w:val="auto"/>
          <w:szCs w:val="21"/>
        </w:rPr>
        <w:t>人财物，</w:t>
      </w:r>
      <w:r>
        <w:rPr>
          <w:rFonts w:ascii="宋体" w:hAnsi="宋体"/>
          <w:color w:val="auto"/>
          <w:szCs w:val="21"/>
        </w:rPr>
        <w:t>为他人谋取利益</w:t>
      </w:r>
      <w:r>
        <w:rPr>
          <w:rFonts w:hint="eastAsia" w:ascii="宋体" w:hAnsi="宋体"/>
          <w:color w:val="auto"/>
          <w:szCs w:val="21"/>
        </w:rPr>
        <w:t>，</w:t>
      </w:r>
      <w:r>
        <w:rPr>
          <w:rFonts w:ascii="宋体" w:hAnsi="宋体"/>
          <w:color w:val="auto"/>
          <w:szCs w:val="21"/>
        </w:rPr>
        <w:t>数额较大的</w:t>
      </w:r>
      <w:r>
        <w:rPr>
          <w:rFonts w:hint="eastAsia" w:ascii="宋体" w:hAnsi="宋体"/>
          <w:color w:val="auto"/>
          <w:szCs w:val="21"/>
        </w:rPr>
        <w:t>，处三年以下有期徒刑或者拘役，并处罚金；数额巨大或者有其他严重情节的，处三年以上十年以下有期徒刑，并处罚金；数额特别巨大或者有其他特别严重情节的，处十年以上有期徒刑或者无期</w:t>
      </w:r>
      <w:r>
        <w:rPr>
          <w:rFonts w:ascii="宋体" w:hAnsi="宋体"/>
          <w:color w:val="auto"/>
          <w:szCs w:val="21"/>
        </w:rPr>
        <w:t>徒刑</w:t>
      </w:r>
      <w:r>
        <w:rPr>
          <w:rFonts w:hint="eastAsia" w:ascii="宋体" w:hAnsi="宋体"/>
          <w:color w:val="auto"/>
          <w:szCs w:val="21"/>
        </w:rPr>
        <w:t>，</w:t>
      </w:r>
      <w:r>
        <w:rPr>
          <w:rFonts w:ascii="宋体" w:hAnsi="宋体"/>
          <w:color w:val="auto"/>
          <w:szCs w:val="21"/>
        </w:rPr>
        <w:t>并处</w:t>
      </w:r>
      <w:r>
        <w:rPr>
          <w:rFonts w:hint="eastAsia" w:ascii="宋体" w:hAnsi="宋体"/>
          <w:color w:val="auto"/>
          <w:szCs w:val="21"/>
        </w:rPr>
        <w:t>罚金”的规定。</w:t>
      </w:r>
    </w:p>
    <w:p w14:paraId="5FF120C7">
      <w:pPr>
        <w:spacing w:line="360" w:lineRule="auto"/>
        <w:ind w:firstLine="420" w:firstLineChars="200"/>
        <w:rPr>
          <w:rFonts w:ascii="宋体" w:hAnsi="宋体"/>
          <w:color w:val="auto"/>
          <w:szCs w:val="21"/>
        </w:rPr>
      </w:pPr>
      <w:r>
        <w:rPr>
          <w:rFonts w:hint="eastAsia" w:ascii="宋体" w:hAnsi="宋体"/>
          <w:color w:val="auto"/>
          <w:szCs w:val="21"/>
        </w:rPr>
        <w:t>（三）本人如被查实在本招标项目评标工作中参与串通投标的，自愿承担相应法律责任，接受相应刑事和纪律、行政处罚以及失信惩戒。</w:t>
      </w:r>
    </w:p>
    <w:p w14:paraId="3CAA959D">
      <w:pPr>
        <w:spacing w:line="360" w:lineRule="auto"/>
        <w:ind w:firstLine="420" w:firstLineChars="200"/>
        <w:rPr>
          <w:rFonts w:ascii="宋体" w:hAnsi="宋体"/>
          <w:color w:val="auto"/>
          <w:szCs w:val="21"/>
        </w:rPr>
      </w:pPr>
      <w:r>
        <w:rPr>
          <w:rFonts w:hint="eastAsia" w:ascii="宋体" w:hAnsi="宋体"/>
          <w:color w:val="auto"/>
          <w:szCs w:val="21"/>
        </w:rPr>
        <w:t>六、本承诺函由我本人亲自签字确认。</w:t>
      </w:r>
    </w:p>
    <w:p w14:paraId="1E83811E">
      <w:pPr>
        <w:spacing w:line="360" w:lineRule="auto"/>
        <w:ind w:firstLine="420" w:firstLineChars="200"/>
        <w:rPr>
          <w:rFonts w:ascii="宋体" w:hAnsi="宋体"/>
          <w:color w:val="auto"/>
          <w:szCs w:val="21"/>
        </w:rPr>
      </w:pPr>
    </w:p>
    <w:p w14:paraId="4AA83B2C">
      <w:pPr>
        <w:spacing w:line="360" w:lineRule="auto"/>
        <w:ind w:firstLine="420" w:firstLineChars="200"/>
        <w:rPr>
          <w:rFonts w:ascii="宋体" w:hAnsi="宋体"/>
          <w:color w:val="auto"/>
          <w:szCs w:val="21"/>
        </w:rPr>
      </w:pPr>
    </w:p>
    <w:p w14:paraId="211A3754">
      <w:pPr>
        <w:spacing w:line="360" w:lineRule="auto"/>
        <w:ind w:firstLine="420" w:firstLineChars="200"/>
        <w:jc w:val="left"/>
        <w:rPr>
          <w:rFonts w:ascii="宋体" w:hAnsi="宋体"/>
          <w:color w:val="auto"/>
          <w:szCs w:val="21"/>
        </w:rPr>
      </w:pPr>
      <w:r>
        <w:rPr>
          <w:rFonts w:hint="eastAsia" w:ascii="宋体" w:hAnsi="宋体"/>
          <w:color w:val="auto"/>
          <w:szCs w:val="21"/>
        </w:rPr>
        <w:t xml:space="preserve">本人是□ 否□ 为中共党员 </w:t>
      </w:r>
    </w:p>
    <w:p w14:paraId="3B67D377">
      <w:pPr>
        <w:spacing w:line="360" w:lineRule="auto"/>
        <w:ind w:firstLine="1680" w:firstLineChars="800"/>
        <w:rPr>
          <w:rFonts w:ascii="宋体" w:hAnsi="宋体"/>
          <w:color w:val="auto"/>
          <w:szCs w:val="21"/>
        </w:rPr>
      </w:pPr>
      <w:r>
        <w:rPr>
          <w:rFonts w:hint="eastAsia" w:ascii="宋体" w:hAnsi="宋体"/>
          <w:color w:val="auto"/>
          <w:szCs w:val="21"/>
        </w:rPr>
        <w:t>（应单选，</w:t>
      </w:r>
      <w:r>
        <w:rPr>
          <w:rFonts w:hint="eastAsia" w:ascii="宋体" w:hAnsi="宋体"/>
          <w:b/>
          <w:bCs/>
          <w:color w:val="auto"/>
          <w:szCs w:val="21"/>
          <w:shd w:val="clear" w:color="auto" w:fill="FFFFFF"/>
        </w:rPr>
        <w:t>并在方框内打“√”</w:t>
      </w:r>
      <w:r>
        <w:rPr>
          <w:rFonts w:hint="eastAsia" w:ascii="宋体" w:hAnsi="宋体"/>
          <w:color w:val="auto"/>
          <w:szCs w:val="21"/>
        </w:rPr>
        <w:t>）</w:t>
      </w:r>
    </w:p>
    <w:p w14:paraId="0716F17E">
      <w:pPr>
        <w:spacing w:line="360" w:lineRule="auto"/>
        <w:ind w:firstLine="1260" w:firstLineChars="600"/>
        <w:rPr>
          <w:rFonts w:ascii="宋体" w:hAnsi="宋体"/>
          <w:color w:val="auto"/>
          <w:szCs w:val="21"/>
        </w:rPr>
      </w:pPr>
    </w:p>
    <w:p w14:paraId="4F7D48EE">
      <w:pPr>
        <w:spacing w:line="360" w:lineRule="auto"/>
        <w:ind w:firstLine="1260" w:firstLineChars="600"/>
        <w:rPr>
          <w:rFonts w:ascii="宋体" w:hAnsi="宋体"/>
          <w:color w:val="auto"/>
          <w:szCs w:val="21"/>
        </w:rPr>
      </w:pPr>
    </w:p>
    <w:p w14:paraId="1F0E9315">
      <w:pPr>
        <w:spacing w:line="360" w:lineRule="auto"/>
        <w:ind w:firstLine="1260" w:firstLineChars="600"/>
        <w:rPr>
          <w:rFonts w:ascii="宋体" w:hAnsi="宋体"/>
          <w:color w:val="auto"/>
          <w:szCs w:val="21"/>
        </w:rPr>
      </w:pPr>
    </w:p>
    <w:p w14:paraId="6627A3A4">
      <w:pPr>
        <w:spacing w:line="360" w:lineRule="auto"/>
        <w:ind w:firstLine="420" w:firstLineChars="200"/>
        <w:jc w:val="center"/>
        <w:rPr>
          <w:rFonts w:ascii="宋体" w:hAnsi="宋体"/>
          <w:color w:val="auto"/>
          <w:szCs w:val="21"/>
        </w:rPr>
      </w:pPr>
      <w:r>
        <w:rPr>
          <w:rFonts w:hint="eastAsia" w:ascii="宋体" w:hAnsi="宋体"/>
          <w:color w:val="auto"/>
          <w:szCs w:val="21"/>
        </w:rPr>
        <w:t xml:space="preserve"> </w:t>
      </w:r>
      <w:r>
        <w:rPr>
          <w:rFonts w:ascii="宋体" w:hAnsi="宋体"/>
          <w:color w:val="auto"/>
          <w:szCs w:val="21"/>
        </w:rPr>
        <w:t xml:space="preserve">                                      </w:t>
      </w:r>
      <w:r>
        <w:rPr>
          <w:rFonts w:hint="eastAsia" w:ascii="宋体" w:hAnsi="宋体"/>
          <w:color w:val="auto"/>
          <w:szCs w:val="21"/>
        </w:rPr>
        <w:t>承 诺 人：             （签字）</w:t>
      </w:r>
    </w:p>
    <w:p w14:paraId="62FC1474">
      <w:pPr>
        <w:spacing w:line="360" w:lineRule="auto"/>
        <w:ind w:firstLine="1260" w:firstLineChars="600"/>
        <w:rPr>
          <w:rFonts w:ascii="宋体" w:hAnsi="宋体"/>
          <w:color w:val="auto"/>
          <w:szCs w:val="21"/>
        </w:rPr>
      </w:pPr>
    </w:p>
    <w:p w14:paraId="2D400826">
      <w:pPr>
        <w:spacing w:line="360" w:lineRule="auto"/>
        <w:ind w:right="840" w:firstLine="420" w:firstLineChars="200"/>
        <w:jc w:val="center"/>
        <w:rPr>
          <w:rFonts w:ascii="宋体" w:hAnsi="宋体"/>
          <w:color w:val="auto"/>
          <w:szCs w:val="21"/>
        </w:rPr>
      </w:pPr>
      <w:r>
        <w:rPr>
          <w:rFonts w:hint="eastAsia" w:ascii="宋体" w:hAnsi="宋体"/>
          <w:color w:val="auto"/>
          <w:szCs w:val="21"/>
        </w:rPr>
        <w:t xml:space="preserve"> </w:t>
      </w:r>
      <w:r>
        <w:rPr>
          <w:rFonts w:ascii="宋体" w:hAnsi="宋体"/>
          <w:color w:val="auto"/>
          <w:szCs w:val="21"/>
        </w:rPr>
        <w:t xml:space="preserve">                                      </w:t>
      </w:r>
      <w:r>
        <w:rPr>
          <w:rFonts w:hint="eastAsia" w:ascii="宋体" w:hAnsi="宋体"/>
          <w:color w:val="auto"/>
          <w:szCs w:val="21"/>
        </w:rPr>
        <w:t xml:space="preserve">承诺时间： </w:t>
      </w:r>
      <w:r>
        <w:rPr>
          <w:rFonts w:ascii="宋体" w:hAnsi="宋体"/>
          <w:color w:val="auto"/>
          <w:szCs w:val="21"/>
        </w:rPr>
        <w:t xml:space="preserve">   </w:t>
      </w:r>
      <w:r>
        <w:rPr>
          <w:rFonts w:hint="eastAsia" w:ascii="宋体" w:hAnsi="宋体"/>
          <w:color w:val="auto"/>
          <w:szCs w:val="21"/>
        </w:rPr>
        <w:t xml:space="preserve">年  </w:t>
      </w:r>
      <w:r>
        <w:rPr>
          <w:rFonts w:ascii="宋体" w:hAnsi="宋体"/>
          <w:color w:val="auto"/>
          <w:szCs w:val="21"/>
        </w:rPr>
        <w:t xml:space="preserve"> </w:t>
      </w:r>
      <w:r>
        <w:rPr>
          <w:rFonts w:hint="eastAsia" w:ascii="宋体" w:hAnsi="宋体"/>
          <w:color w:val="auto"/>
          <w:szCs w:val="21"/>
        </w:rPr>
        <w:t>月  日</w:t>
      </w:r>
    </w:p>
    <w:p w14:paraId="1815029E">
      <w:pPr>
        <w:spacing w:line="360" w:lineRule="auto"/>
        <w:ind w:firstLine="420" w:firstLineChars="200"/>
        <w:rPr>
          <w:rFonts w:ascii="宋体" w:hAnsi="宋体"/>
          <w:color w:val="auto"/>
          <w:szCs w:val="21"/>
        </w:rPr>
      </w:pPr>
    </w:p>
    <w:p w14:paraId="3B23D262">
      <w:pPr>
        <w:spacing w:line="430" w:lineRule="exact"/>
        <w:ind w:firstLine="420" w:firstLineChars="200"/>
        <w:rPr>
          <w:color w:val="auto"/>
        </w:rPr>
      </w:pPr>
    </w:p>
    <w:p w14:paraId="2D252D80">
      <w:pPr>
        <w:spacing w:line="430" w:lineRule="exact"/>
        <w:ind w:firstLine="5460" w:firstLineChars="2600"/>
        <w:rPr>
          <w:color w:val="auto"/>
        </w:rPr>
      </w:pPr>
    </w:p>
    <w:p w14:paraId="66CD3A0F">
      <w:pPr>
        <w:spacing w:line="430" w:lineRule="exact"/>
        <w:ind w:firstLine="5460" w:firstLineChars="2600"/>
        <w:rPr>
          <w:color w:val="auto"/>
        </w:rPr>
      </w:pPr>
      <w:r>
        <w:rPr>
          <w:color w:val="auto"/>
        </w:rPr>
        <w:br w:type="page"/>
      </w:r>
    </w:p>
    <w:p w14:paraId="69DE531C">
      <w:pPr>
        <w:pStyle w:val="27"/>
        <w:ind w:firstLine="118"/>
        <w:rPr>
          <w:color w:val="auto"/>
        </w:rPr>
      </w:pPr>
      <w:bookmarkStart w:id="658" w:name="_Toc787"/>
      <w:bookmarkStart w:id="659" w:name="_Toc165804449"/>
      <w:bookmarkStart w:id="660" w:name="_Toc12527"/>
      <w:bookmarkStart w:id="661" w:name="_Toc145516052"/>
      <w:r>
        <w:rPr>
          <w:color w:val="auto"/>
        </w:rPr>
        <w:t>附表A-3：技术暗标编号确认表</w:t>
      </w:r>
      <w:bookmarkEnd w:id="658"/>
      <w:bookmarkEnd w:id="659"/>
      <w:bookmarkEnd w:id="660"/>
    </w:p>
    <w:p w14:paraId="53964906">
      <w:pPr>
        <w:rPr>
          <w:color w:val="auto"/>
        </w:rPr>
      </w:pPr>
    </w:p>
    <w:p w14:paraId="76B2E94B">
      <w:pPr>
        <w:adjustRightInd w:val="0"/>
        <w:snapToGrid w:val="0"/>
        <w:spacing w:before="240" w:beforeLines="100" w:after="240" w:afterLines="100" w:line="440" w:lineRule="exact"/>
        <w:jc w:val="center"/>
        <w:rPr>
          <w:rFonts w:ascii="黑体" w:hAnsi="黑体" w:eastAsia="黑体"/>
          <w:color w:val="auto"/>
          <w:sz w:val="36"/>
          <w:szCs w:val="36"/>
        </w:rPr>
      </w:pPr>
      <w:bookmarkStart w:id="662" w:name="_Toc148976152"/>
      <w:bookmarkStart w:id="663" w:name="_Toc148971944"/>
      <w:bookmarkStart w:id="664" w:name="_Toc5186"/>
      <w:r>
        <w:rPr>
          <w:rFonts w:hint="eastAsia" w:ascii="黑体" w:hAnsi="黑体" w:eastAsia="黑体"/>
          <w:color w:val="auto"/>
          <w:sz w:val="36"/>
          <w:szCs w:val="36"/>
        </w:rPr>
        <w:t>技术暗标编号确认表</w:t>
      </w:r>
      <w:bookmarkEnd w:id="661"/>
      <w:bookmarkEnd w:id="662"/>
      <w:bookmarkEnd w:id="663"/>
      <w:bookmarkEnd w:id="664"/>
    </w:p>
    <w:p w14:paraId="6C103701">
      <w:pPr>
        <w:rPr>
          <w:rFonts w:ascii="宋体" w:hAnsi="宋体"/>
          <w:color w:val="auto"/>
          <w:szCs w:val="44"/>
        </w:rPr>
      </w:pPr>
      <w:r>
        <w:rPr>
          <w:rFonts w:hint="eastAsia" w:ascii="宋体" w:hAnsi="宋体"/>
          <w:color w:val="auto"/>
          <w:szCs w:val="44"/>
        </w:rPr>
        <w:t>标段名称：</w:t>
      </w:r>
    </w:p>
    <w:p w14:paraId="0A187F81">
      <w:pPr>
        <w:rPr>
          <w:color w:val="auto"/>
          <w:szCs w:val="44"/>
        </w:rPr>
      </w:pPr>
      <w:r>
        <w:rPr>
          <w:rFonts w:hint="eastAsia"/>
          <w:color w:val="auto"/>
          <w:szCs w:val="44"/>
        </w:rPr>
        <w:t>标段唯一标识码：</w:t>
      </w:r>
    </w:p>
    <w:tbl>
      <w:tblPr>
        <w:tblStyle w:val="18"/>
        <w:tblW w:w="9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
        <w:gridCol w:w="1942"/>
        <w:gridCol w:w="750"/>
        <w:gridCol w:w="751"/>
        <w:gridCol w:w="751"/>
        <w:gridCol w:w="751"/>
        <w:gridCol w:w="750"/>
        <w:gridCol w:w="751"/>
        <w:gridCol w:w="751"/>
        <w:gridCol w:w="751"/>
        <w:gridCol w:w="624"/>
      </w:tblGrid>
      <w:tr w14:paraId="0BD24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507" w:type="dxa"/>
            <w:vMerge w:val="restart"/>
            <w:vAlign w:val="center"/>
          </w:tcPr>
          <w:p w14:paraId="3882EABC">
            <w:pPr>
              <w:jc w:val="center"/>
              <w:rPr>
                <w:rFonts w:ascii="宋体" w:hAnsi="宋体"/>
                <w:b/>
                <w:bCs/>
                <w:color w:val="auto"/>
                <w:szCs w:val="21"/>
              </w:rPr>
            </w:pPr>
            <w:r>
              <w:rPr>
                <w:rFonts w:hint="eastAsia" w:ascii="宋体" w:hAnsi="宋体"/>
                <w:b/>
                <w:bCs/>
                <w:color w:val="auto"/>
                <w:szCs w:val="21"/>
              </w:rPr>
              <w:t>序号</w:t>
            </w:r>
          </w:p>
        </w:tc>
        <w:tc>
          <w:tcPr>
            <w:tcW w:w="1942" w:type="dxa"/>
            <w:vMerge w:val="restart"/>
            <w:vAlign w:val="center"/>
          </w:tcPr>
          <w:p w14:paraId="31BA0D9A">
            <w:pPr>
              <w:jc w:val="center"/>
              <w:rPr>
                <w:rFonts w:ascii="宋体" w:hAnsi="宋体"/>
                <w:b/>
                <w:bCs/>
                <w:color w:val="auto"/>
                <w:szCs w:val="21"/>
              </w:rPr>
            </w:pPr>
            <w:r>
              <w:rPr>
                <w:rFonts w:hint="eastAsia" w:ascii="宋体" w:hAnsi="宋体"/>
                <w:b/>
                <w:bCs/>
                <w:color w:val="auto"/>
                <w:szCs w:val="21"/>
              </w:rPr>
              <w:t>投标人名称</w:t>
            </w:r>
          </w:p>
        </w:tc>
        <w:tc>
          <w:tcPr>
            <w:tcW w:w="6630" w:type="dxa"/>
            <w:gridSpan w:val="9"/>
          </w:tcPr>
          <w:p w14:paraId="0C1FDD26">
            <w:pPr>
              <w:jc w:val="center"/>
              <w:rPr>
                <w:rFonts w:ascii="宋体" w:hAnsi="宋体"/>
                <w:b/>
                <w:bCs/>
                <w:color w:val="auto"/>
                <w:szCs w:val="21"/>
              </w:rPr>
            </w:pPr>
            <w:r>
              <w:rPr>
                <w:rFonts w:hint="eastAsia" w:ascii="宋体" w:hAnsi="宋体"/>
                <w:b/>
                <w:bCs/>
                <w:color w:val="auto"/>
                <w:szCs w:val="21"/>
              </w:rPr>
              <w:t>评审因素及暗标编号</w:t>
            </w:r>
          </w:p>
        </w:tc>
      </w:tr>
      <w:tr w14:paraId="2D23E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507" w:type="dxa"/>
            <w:vMerge w:val="continue"/>
            <w:vAlign w:val="center"/>
          </w:tcPr>
          <w:p w14:paraId="69285CAD">
            <w:pPr>
              <w:jc w:val="center"/>
              <w:rPr>
                <w:rFonts w:ascii="宋体" w:hAnsi="宋体"/>
                <w:b/>
                <w:bCs/>
                <w:color w:val="auto"/>
                <w:szCs w:val="21"/>
              </w:rPr>
            </w:pPr>
          </w:p>
        </w:tc>
        <w:tc>
          <w:tcPr>
            <w:tcW w:w="1942" w:type="dxa"/>
            <w:vMerge w:val="continue"/>
          </w:tcPr>
          <w:p w14:paraId="4A78993C">
            <w:pPr>
              <w:jc w:val="center"/>
              <w:rPr>
                <w:rFonts w:ascii="宋体" w:hAnsi="宋体"/>
                <w:b/>
                <w:bCs/>
                <w:color w:val="auto"/>
                <w:szCs w:val="21"/>
              </w:rPr>
            </w:pPr>
          </w:p>
        </w:tc>
        <w:tc>
          <w:tcPr>
            <w:tcW w:w="750" w:type="dxa"/>
            <w:vAlign w:val="center"/>
          </w:tcPr>
          <w:p w14:paraId="3EBCEEE3">
            <w:pPr>
              <w:jc w:val="center"/>
              <w:rPr>
                <w:rFonts w:ascii="宋体" w:hAnsi="宋体"/>
                <w:b/>
                <w:bCs/>
                <w:color w:val="auto"/>
                <w:szCs w:val="21"/>
              </w:rPr>
            </w:pPr>
          </w:p>
        </w:tc>
        <w:tc>
          <w:tcPr>
            <w:tcW w:w="751" w:type="dxa"/>
            <w:vAlign w:val="center"/>
          </w:tcPr>
          <w:p w14:paraId="7E2581D9">
            <w:pPr>
              <w:jc w:val="center"/>
              <w:rPr>
                <w:rFonts w:ascii="宋体" w:hAnsi="宋体"/>
                <w:b/>
                <w:bCs/>
                <w:color w:val="auto"/>
                <w:szCs w:val="21"/>
              </w:rPr>
            </w:pPr>
          </w:p>
        </w:tc>
        <w:tc>
          <w:tcPr>
            <w:tcW w:w="751" w:type="dxa"/>
            <w:vAlign w:val="center"/>
          </w:tcPr>
          <w:p w14:paraId="71D57729">
            <w:pPr>
              <w:jc w:val="center"/>
              <w:rPr>
                <w:rFonts w:ascii="宋体" w:hAnsi="宋体"/>
                <w:b/>
                <w:bCs/>
                <w:color w:val="auto"/>
                <w:szCs w:val="21"/>
              </w:rPr>
            </w:pPr>
          </w:p>
        </w:tc>
        <w:tc>
          <w:tcPr>
            <w:tcW w:w="751" w:type="dxa"/>
            <w:vAlign w:val="center"/>
          </w:tcPr>
          <w:p w14:paraId="09578CF2">
            <w:pPr>
              <w:jc w:val="center"/>
              <w:rPr>
                <w:rFonts w:ascii="宋体" w:hAnsi="宋体"/>
                <w:b/>
                <w:bCs/>
                <w:color w:val="auto"/>
                <w:szCs w:val="21"/>
              </w:rPr>
            </w:pPr>
          </w:p>
        </w:tc>
        <w:tc>
          <w:tcPr>
            <w:tcW w:w="750" w:type="dxa"/>
            <w:vAlign w:val="center"/>
          </w:tcPr>
          <w:p w14:paraId="111E5E2D">
            <w:pPr>
              <w:jc w:val="center"/>
              <w:rPr>
                <w:rFonts w:ascii="宋体" w:hAnsi="宋体"/>
                <w:b/>
                <w:bCs/>
                <w:color w:val="auto"/>
                <w:szCs w:val="21"/>
              </w:rPr>
            </w:pPr>
          </w:p>
        </w:tc>
        <w:tc>
          <w:tcPr>
            <w:tcW w:w="751" w:type="dxa"/>
            <w:vAlign w:val="center"/>
          </w:tcPr>
          <w:p w14:paraId="6B5E72D5">
            <w:pPr>
              <w:jc w:val="center"/>
              <w:rPr>
                <w:rFonts w:ascii="宋体" w:hAnsi="宋体"/>
                <w:b/>
                <w:bCs/>
                <w:color w:val="auto"/>
                <w:szCs w:val="21"/>
              </w:rPr>
            </w:pPr>
          </w:p>
        </w:tc>
        <w:tc>
          <w:tcPr>
            <w:tcW w:w="751" w:type="dxa"/>
            <w:vAlign w:val="center"/>
          </w:tcPr>
          <w:p w14:paraId="57876735">
            <w:pPr>
              <w:jc w:val="center"/>
              <w:rPr>
                <w:rFonts w:ascii="宋体" w:hAnsi="宋体"/>
                <w:b/>
                <w:bCs/>
                <w:color w:val="auto"/>
                <w:szCs w:val="21"/>
              </w:rPr>
            </w:pPr>
          </w:p>
        </w:tc>
        <w:tc>
          <w:tcPr>
            <w:tcW w:w="751" w:type="dxa"/>
            <w:vAlign w:val="center"/>
          </w:tcPr>
          <w:p w14:paraId="05F6F0CD">
            <w:pPr>
              <w:jc w:val="center"/>
              <w:rPr>
                <w:rFonts w:ascii="宋体" w:hAnsi="宋体"/>
                <w:b/>
                <w:bCs/>
                <w:color w:val="auto"/>
                <w:szCs w:val="21"/>
              </w:rPr>
            </w:pPr>
          </w:p>
        </w:tc>
        <w:tc>
          <w:tcPr>
            <w:tcW w:w="624" w:type="dxa"/>
            <w:vAlign w:val="center"/>
          </w:tcPr>
          <w:p w14:paraId="695B7684">
            <w:pPr>
              <w:jc w:val="center"/>
              <w:rPr>
                <w:rFonts w:ascii="宋体" w:hAnsi="宋体"/>
                <w:b/>
                <w:bCs/>
                <w:color w:val="auto"/>
                <w:szCs w:val="21"/>
              </w:rPr>
            </w:pPr>
          </w:p>
        </w:tc>
      </w:tr>
      <w:tr w14:paraId="4267E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25028823">
            <w:pPr>
              <w:jc w:val="center"/>
              <w:rPr>
                <w:rFonts w:ascii="宋体" w:hAnsi="宋体"/>
                <w:color w:val="auto"/>
                <w:szCs w:val="21"/>
              </w:rPr>
            </w:pPr>
            <w:r>
              <w:rPr>
                <w:rFonts w:hint="eastAsia" w:ascii="宋体" w:hAnsi="宋体"/>
                <w:color w:val="auto"/>
                <w:szCs w:val="21"/>
              </w:rPr>
              <w:t>1</w:t>
            </w:r>
          </w:p>
        </w:tc>
        <w:tc>
          <w:tcPr>
            <w:tcW w:w="1942" w:type="dxa"/>
            <w:vAlign w:val="center"/>
          </w:tcPr>
          <w:p w14:paraId="4765FE48">
            <w:pPr>
              <w:jc w:val="center"/>
              <w:rPr>
                <w:rFonts w:ascii="宋体" w:hAnsi="宋体"/>
                <w:color w:val="auto"/>
                <w:szCs w:val="21"/>
              </w:rPr>
            </w:pPr>
          </w:p>
        </w:tc>
        <w:tc>
          <w:tcPr>
            <w:tcW w:w="750" w:type="dxa"/>
            <w:vAlign w:val="center"/>
          </w:tcPr>
          <w:p w14:paraId="13BD16A4">
            <w:pPr>
              <w:jc w:val="center"/>
              <w:rPr>
                <w:rFonts w:ascii="宋体" w:hAnsi="宋体"/>
                <w:color w:val="auto"/>
                <w:szCs w:val="21"/>
              </w:rPr>
            </w:pPr>
          </w:p>
        </w:tc>
        <w:tc>
          <w:tcPr>
            <w:tcW w:w="751" w:type="dxa"/>
            <w:vAlign w:val="center"/>
          </w:tcPr>
          <w:p w14:paraId="4235CAF2">
            <w:pPr>
              <w:jc w:val="center"/>
              <w:rPr>
                <w:rFonts w:ascii="宋体" w:hAnsi="宋体"/>
                <w:color w:val="auto"/>
                <w:szCs w:val="21"/>
              </w:rPr>
            </w:pPr>
          </w:p>
        </w:tc>
        <w:tc>
          <w:tcPr>
            <w:tcW w:w="751" w:type="dxa"/>
            <w:vAlign w:val="center"/>
          </w:tcPr>
          <w:p w14:paraId="7C9CC32C">
            <w:pPr>
              <w:jc w:val="center"/>
              <w:rPr>
                <w:rFonts w:ascii="宋体" w:hAnsi="宋体"/>
                <w:color w:val="auto"/>
                <w:szCs w:val="21"/>
              </w:rPr>
            </w:pPr>
          </w:p>
        </w:tc>
        <w:tc>
          <w:tcPr>
            <w:tcW w:w="751" w:type="dxa"/>
            <w:vAlign w:val="center"/>
          </w:tcPr>
          <w:p w14:paraId="20163AB5">
            <w:pPr>
              <w:jc w:val="center"/>
              <w:rPr>
                <w:rFonts w:ascii="宋体" w:hAnsi="宋体"/>
                <w:color w:val="auto"/>
                <w:szCs w:val="21"/>
              </w:rPr>
            </w:pPr>
          </w:p>
        </w:tc>
        <w:tc>
          <w:tcPr>
            <w:tcW w:w="750" w:type="dxa"/>
            <w:vAlign w:val="center"/>
          </w:tcPr>
          <w:p w14:paraId="7ABD7C1C">
            <w:pPr>
              <w:jc w:val="center"/>
              <w:rPr>
                <w:rFonts w:ascii="宋体" w:hAnsi="宋体"/>
                <w:color w:val="auto"/>
                <w:szCs w:val="21"/>
              </w:rPr>
            </w:pPr>
          </w:p>
        </w:tc>
        <w:tc>
          <w:tcPr>
            <w:tcW w:w="751" w:type="dxa"/>
            <w:vAlign w:val="center"/>
          </w:tcPr>
          <w:p w14:paraId="7991D6F8">
            <w:pPr>
              <w:jc w:val="center"/>
              <w:rPr>
                <w:rFonts w:ascii="宋体" w:hAnsi="宋体"/>
                <w:color w:val="auto"/>
                <w:szCs w:val="21"/>
              </w:rPr>
            </w:pPr>
          </w:p>
        </w:tc>
        <w:tc>
          <w:tcPr>
            <w:tcW w:w="751" w:type="dxa"/>
            <w:vAlign w:val="center"/>
          </w:tcPr>
          <w:p w14:paraId="51D102C5">
            <w:pPr>
              <w:jc w:val="center"/>
              <w:rPr>
                <w:rFonts w:ascii="宋体" w:hAnsi="宋体"/>
                <w:color w:val="auto"/>
                <w:szCs w:val="21"/>
              </w:rPr>
            </w:pPr>
          </w:p>
        </w:tc>
        <w:tc>
          <w:tcPr>
            <w:tcW w:w="751" w:type="dxa"/>
          </w:tcPr>
          <w:p w14:paraId="4DDD0834">
            <w:pPr>
              <w:jc w:val="center"/>
              <w:rPr>
                <w:rFonts w:ascii="宋体" w:hAnsi="宋体"/>
                <w:color w:val="auto"/>
                <w:szCs w:val="21"/>
              </w:rPr>
            </w:pPr>
          </w:p>
        </w:tc>
        <w:tc>
          <w:tcPr>
            <w:tcW w:w="624" w:type="dxa"/>
            <w:vAlign w:val="center"/>
          </w:tcPr>
          <w:p w14:paraId="4CF6673E">
            <w:pPr>
              <w:jc w:val="center"/>
              <w:rPr>
                <w:rFonts w:ascii="宋体" w:hAnsi="宋体"/>
                <w:color w:val="auto"/>
                <w:szCs w:val="21"/>
              </w:rPr>
            </w:pPr>
          </w:p>
        </w:tc>
      </w:tr>
      <w:tr w14:paraId="5D3FD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6B3B2251">
            <w:pPr>
              <w:jc w:val="center"/>
              <w:rPr>
                <w:rFonts w:ascii="宋体" w:hAnsi="宋体"/>
                <w:color w:val="auto"/>
                <w:szCs w:val="21"/>
              </w:rPr>
            </w:pPr>
            <w:r>
              <w:rPr>
                <w:rFonts w:hint="eastAsia" w:ascii="宋体" w:hAnsi="宋体"/>
                <w:color w:val="auto"/>
                <w:szCs w:val="21"/>
              </w:rPr>
              <w:t>2</w:t>
            </w:r>
          </w:p>
        </w:tc>
        <w:tc>
          <w:tcPr>
            <w:tcW w:w="1942" w:type="dxa"/>
            <w:vAlign w:val="center"/>
          </w:tcPr>
          <w:p w14:paraId="229F148B">
            <w:pPr>
              <w:jc w:val="center"/>
              <w:rPr>
                <w:rFonts w:ascii="宋体" w:hAnsi="宋体"/>
                <w:color w:val="auto"/>
                <w:szCs w:val="21"/>
              </w:rPr>
            </w:pPr>
          </w:p>
        </w:tc>
        <w:tc>
          <w:tcPr>
            <w:tcW w:w="750" w:type="dxa"/>
            <w:vAlign w:val="center"/>
          </w:tcPr>
          <w:p w14:paraId="04411888">
            <w:pPr>
              <w:jc w:val="center"/>
              <w:rPr>
                <w:rFonts w:ascii="宋体" w:hAnsi="宋体"/>
                <w:color w:val="auto"/>
                <w:szCs w:val="21"/>
              </w:rPr>
            </w:pPr>
          </w:p>
        </w:tc>
        <w:tc>
          <w:tcPr>
            <w:tcW w:w="751" w:type="dxa"/>
            <w:vAlign w:val="center"/>
          </w:tcPr>
          <w:p w14:paraId="4E6DB9B2">
            <w:pPr>
              <w:jc w:val="center"/>
              <w:rPr>
                <w:rFonts w:ascii="宋体" w:hAnsi="宋体"/>
                <w:color w:val="auto"/>
                <w:szCs w:val="21"/>
              </w:rPr>
            </w:pPr>
          </w:p>
        </w:tc>
        <w:tc>
          <w:tcPr>
            <w:tcW w:w="751" w:type="dxa"/>
            <w:vAlign w:val="center"/>
          </w:tcPr>
          <w:p w14:paraId="41C7BD7F">
            <w:pPr>
              <w:jc w:val="center"/>
              <w:rPr>
                <w:rFonts w:ascii="宋体" w:hAnsi="宋体"/>
                <w:color w:val="auto"/>
                <w:szCs w:val="21"/>
              </w:rPr>
            </w:pPr>
          </w:p>
        </w:tc>
        <w:tc>
          <w:tcPr>
            <w:tcW w:w="751" w:type="dxa"/>
            <w:vAlign w:val="center"/>
          </w:tcPr>
          <w:p w14:paraId="7273593D">
            <w:pPr>
              <w:jc w:val="center"/>
              <w:rPr>
                <w:rFonts w:ascii="宋体" w:hAnsi="宋体"/>
                <w:color w:val="auto"/>
                <w:szCs w:val="21"/>
              </w:rPr>
            </w:pPr>
          </w:p>
        </w:tc>
        <w:tc>
          <w:tcPr>
            <w:tcW w:w="750" w:type="dxa"/>
            <w:vAlign w:val="center"/>
          </w:tcPr>
          <w:p w14:paraId="1CE6DF0C">
            <w:pPr>
              <w:jc w:val="center"/>
              <w:rPr>
                <w:rFonts w:ascii="宋体" w:hAnsi="宋体"/>
                <w:color w:val="auto"/>
                <w:szCs w:val="21"/>
              </w:rPr>
            </w:pPr>
          </w:p>
        </w:tc>
        <w:tc>
          <w:tcPr>
            <w:tcW w:w="751" w:type="dxa"/>
            <w:vAlign w:val="center"/>
          </w:tcPr>
          <w:p w14:paraId="1D0ACDE1">
            <w:pPr>
              <w:jc w:val="center"/>
              <w:rPr>
                <w:rFonts w:ascii="宋体" w:hAnsi="宋体"/>
                <w:color w:val="auto"/>
                <w:szCs w:val="21"/>
              </w:rPr>
            </w:pPr>
          </w:p>
        </w:tc>
        <w:tc>
          <w:tcPr>
            <w:tcW w:w="751" w:type="dxa"/>
            <w:vAlign w:val="center"/>
          </w:tcPr>
          <w:p w14:paraId="74195F86">
            <w:pPr>
              <w:jc w:val="center"/>
              <w:rPr>
                <w:rFonts w:ascii="宋体" w:hAnsi="宋体"/>
                <w:color w:val="auto"/>
                <w:szCs w:val="21"/>
              </w:rPr>
            </w:pPr>
          </w:p>
        </w:tc>
        <w:tc>
          <w:tcPr>
            <w:tcW w:w="751" w:type="dxa"/>
          </w:tcPr>
          <w:p w14:paraId="1AD447D0">
            <w:pPr>
              <w:jc w:val="center"/>
              <w:rPr>
                <w:rFonts w:ascii="宋体" w:hAnsi="宋体"/>
                <w:color w:val="auto"/>
                <w:szCs w:val="21"/>
              </w:rPr>
            </w:pPr>
          </w:p>
        </w:tc>
        <w:tc>
          <w:tcPr>
            <w:tcW w:w="624" w:type="dxa"/>
            <w:vAlign w:val="center"/>
          </w:tcPr>
          <w:p w14:paraId="170E0148">
            <w:pPr>
              <w:jc w:val="center"/>
              <w:rPr>
                <w:rFonts w:ascii="宋体" w:hAnsi="宋体"/>
                <w:color w:val="auto"/>
                <w:szCs w:val="21"/>
              </w:rPr>
            </w:pPr>
          </w:p>
        </w:tc>
      </w:tr>
      <w:tr w14:paraId="470DE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25ABB75F">
            <w:pPr>
              <w:jc w:val="center"/>
              <w:rPr>
                <w:rFonts w:ascii="宋体" w:hAnsi="宋体"/>
                <w:color w:val="auto"/>
                <w:szCs w:val="21"/>
              </w:rPr>
            </w:pPr>
            <w:r>
              <w:rPr>
                <w:rFonts w:hint="eastAsia" w:ascii="宋体" w:hAnsi="宋体"/>
                <w:color w:val="auto"/>
                <w:szCs w:val="21"/>
              </w:rPr>
              <w:t>3</w:t>
            </w:r>
          </w:p>
        </w:tc>
        <w:tc>
          <w:tcPr>
            <w:tcW w:w="1942" w:type="dxa"/>
            <w:vAlign w:val="center"/>
          </w:tcPr>
          <w:p w14:paraId="25D7602D">
            <w:pPr>
              <w:jc w:val="center"/>
              <w:rPr>
                <w:rFonts w:ascii="宋体" w:hAnsi="宋体"/>
                <w:color w:val="auto"/>
                <w:szCs w:val="21"/>
              </w:rPr>
            </w:pPr>
          </w:p>
        </w:tc>
        <w:tc>
          <w:tcPr>
            <w:tcW w:w="750" w:type="dxa"/>
            <w:vAlign w:val="center"/>
          </w:tcPr>
          <w:p w14:paraId="1CBA2993">
            <w:pPr>
              <w:jc w:val="center"/>
              <w:rPr>
                <w:rFonts w:ascii="宋体" w:hAnsi="宋体"/>
                <w:color w:val="auto"/>
                <w:szCs w:val="21"/>
              </w:rPr>
            </w:pPr>
          </w:p>
        </w:tc>
        <w:tc>
          <w:tcPr>
            <w:tcW w:w="751" w:type="dxa"/>
            <w:vAlign w:val="center"/>
          </w:tcPr>
          <w:p w14:paraId="5C038480">
            <w:pPr>
              <w:jc w:val="center"/>
              <w:rPr>
                <w:rFonts w:ascii="宋体" w:hAnsi="宋体"/>
                <w:color w:val="auto"/>
                <w:szCs w:val="21"/>
              </w:rPr>
            </w:pPr>
          </w:p>
        </w:tc>
        <w:tc>
          <w:tcPr>
            <w:tcW w:w="751" w:type="dxa"/>
            <w:vAlign w:val="center"/>
          </w:tcPr>
          <w:p w14:paraId="70EFD854">
            <w:pPr>
              <w:jc w:val="center"/>
              <w:rPr>
                <w:rFonts w:ascii="宋体" w:hAnsi="宋体"/>
                <w:color w:val="auto"/>
                <w:szCs w:val="21"/>
              </w:rPr>
            </w:pPr>
          </w:p>
        </w:tc>
        <w:tc>
          <w:tcPr>
            <w:tcW w:w="751" w:type="dxa"/>
            <w:vAlign w:val="center"/>
          </w:tcPr>
          <w:p w14:paraId="7CD59575">
            <w:pPr>
              <w:jc w:val="center"/>
              <w:rPr>
                <w:rFonts w:ascii="宋体" w:hAnsi="宋体"/>
                <w:color w:val="auto"/>
                <w:szCs w:val="21"/>
              </w:rPr>
            </w:pPr>
          </w:p>
        </w:tc>
        <w:tc>
          <w:tcPr>
            <w:tcW w:w="750" w:type="dxa"/>
            <w:vAlign w:val="center"/>
          </w:tcPr>
          <w:p w14:paraId="0AA70D91">
            <w:pPr>
              <w:jc w:val="center"/>
              <w:rPr>
                <w:rFonts w:ascii="宋体" w:hAnsi="宋体"/>
                <w:color w:val="auto"/>
                <w:szCs w:val="21"/>
              </w:rPr>
            </w:pPr>
          </w:p>
        </w:tc>
        <w:tc>
          <w:tcPr>
            <w:tcW w:w="751" w:type="dxa"/>
            <w:vAlign w:val="center"/>
          </w:tcPr>
          <w:p w14:paraId="6B05B5F7">
            <w:pPr>
              <w:jc w:val="center"/>
              <w:rPr>
                <w:rFonts w:ascii="宋体" w:hAnsi="宋体"/>
                <w:color w:val="auto"/>
                <w:szCs w:val="21"/>
              </w:rPr>
            </w:pPr>
          </w:p>
        </w:tc>
        <w:tc>
          <w:tcPr>
            <w:tcW w:w="751" w:type="dxa"/>
            <w:vAlign w:val="center"/>
          </w:tcPr>
          <w:p w14:paraId="653F5E47">
            <w:pPr>
              <w:jc w:val="center"/>
              <w:rPr>
                <w:rFonts w:ascii="宋体" w:hAnsi="宋体"/>
                <w:color w:val="auto"/>
                <w:szCs w:val="21"/>
              </w:rPr>
            </w:pPr>
          </w:p>
        </w:tc>
        <w:tc>
          <w:tcPr>
            <w:tcW w:w="751" w:type="dxa"/>
          </w:tcPr>
          <w:p w14:paraId="209ED089">
            <w:pPr>
              <w:jc w:val="center"/>
              <w:rPr>
                <w:rFonts w:ascii="宋体" w:hAnsi="宋体"/>
                <w:color w:val="auto"/>
                <w:szCs w:val="21"/>
              </w:rPr>
            </w:pPr>
          </w:p>
        </w:tc>
        <w:tc>
          <w:tcPr>
            <w:tcW w:w="624" w:type="dxa"/>
            <w:vAlign w:val="center"/>
          </w:tcPr>
          <w:p w14:paraId="2CC9FD10">
            <w:pPr>
              <w:jc w:val="center"/>
              <w:rPr>
                <w:rFonts w:ascii="宋体" w:hAnsi="宋体"/>
                <w:color w:val="auto"/>
                <w:szCs w:val="21"/>
              </w:rPr>
            </w:pPr>
          </w:p>
        </w:tc>
      </w:tr>
      <w:tr w14:paraId="35F1C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0ECEDB61">
            <w:pPr>
              <w:jc w:val="center"/>
              <w:rPr>
                <w:rFonts w:ascii="宋体" w:hAnsi="宋体"/>
                <w:color w:val="auto"/>
                <w:szCs w:val="21"/>
              </w:rPr>
            </w:pPr>
            <w:r>
              <w:rPr>
                <w:rFonts w:hint="eastAsia" w:ascii="宋体" w:hAnsi="宋体"/>
                <w:color w:val="auto"/>
                <w:szCs w:val="21"/>
              </w:rPr>
              <w:t>4</w:t>
            </w:r>
          </w:p>
        </w:tc>
        <w:tc>
          <w:tcPr>
            <w:tcW w:w="1942" w:type="dxa"/>
            <w:vAlign w:val="center"/>
          </w:tcPr>
          <w:p w14:paraId="11CAFFB3">
            <w:pPr>
              <w:jc w:val="center"/>
              <w:rPr>
                <w:rFonts w:ascii="宋体" w:hAnsi="宋体"/>
                <w:color w:val="auto"/>
                <w:szCs w:val="21"/>
              </w:rPr>
            </w:pPr>
          </w:p>
        </w:tc>
        <w:tc>
          <w:tcPr>
            <w:tcW w:w="750" w:type="dxa"/>
            <w:vAlign w:val="center"/>
          </w:tcPr>
          <w:p w14:paraId="79423010">
            <w:pPr>
              <w:jc w:val="center"/>
              <w:rPr>
                <w:rFonts w:ascii="宋体" w:hAnsi="宋体"/>
                <w:color w:val="auto"/>
                <w:szCs w:val="21"/>
              </w:rPr>
            </w:pPr>
          </w:p>
        </w:tc>
        <w:tc>
          <w:tcPr>
            <w:tcW w:w="751" w:type="dxa"/>
            <w:vAlign w:val="center"/>
          </w:tcPr>
          <w:p w14:paraId="414D632C">
            <w:pPr>
              <w:jc w:val="center"/>
              <w:rPr>
                <w:rFonts w:ascii="宋体" w:hAnsi="宋体"/>
                <w:color w:val="auto"/>
                <w:szCs w:val="21"/>
              </w:rPr>
            </w:pPr>
          </w:p>
        </w:tc>
        <w:tc>
          <w:tcPr>
            <w:tcW w:w="751" w:type="dxa"/>
            <w:vAlign w:val="center"/>
          </w:tcPr>
          <w:p w14:paraId="4D8BB0B5">
            <w:pPr>
              <w:jc w:val="center"/>
              <w:rPr>
                <w:rFonts w:ascii="宋体" w:hAnsi="宋体"/>
                <w:color w:val="auto"/>
                <w:szCs w:val="21"/>
              </w:rPr>
            </w:pPr>
          </w:p>
        </w:tc>
        <w:tc>
          <w:tcPr>
            <w:tcW w:w="751" w:type="dxa"/>
            <w:vAlign w:val="center"/>
          </w:tcPr>
          <w:p w14:paraId="0ECEA5AB">
            <w:pPr>
              <w:jc w:val="center"/>
              <w:rPr>
                <w:rFonts w:ascii="宋体" w:hAnsi="宋体"/>
                <w:color w:val="auto"/>
                <w:szCs w:val="21"/>
              </w:rPr>
            </w:pPr>
          </w:p>
        </w:tc>
        <w:tc>
          <w:tcPr>
            <w:tcW w:w="750" w:type="dxa"/>
            <w:vAlign w:val="center"/>
          </w:tcPr>
          <w:p w14:paraId="13C576A4">
            <w:pPr>
              <w:jc w:val="center"/>
              <w:rPr>
                <w:rFonts w:ascii="宋体" w:hAnsi="宋体"/>
                <w:color w:val="auto"/>
                <w:szCs w:val="21"/>
              </w:rPr>
            </w:pPr>
          </w:p>
        </w:tc>
        <w:tc>
          <w:tcPr>
            <w:tcW w:w="751" w:type="dxa"/>
            <w:vAlign w:val="center"/>
          </w:tcPr>
          <w:p w14:paraId="7F228045">
            <w:pPr>
              <w:jc w:val="center"/>
              <w:rPr>
                <w:rFonts w:ascii="宋体" w:hAnsi="宋体"/>
                <w:color w:val="auto"/>
                <w:szCs w:val="21"/>
              </w:rPr>
            </w:pPr>
          </w:p>
        </w:tc>
        <w:tc>
          <w:tcPr>
            <w:tcW w:w="751" w:type="dxa"/>
            <w:vAlign w:val="center"/>
          </w:tcPr>
          <w:p w14:paraId="5F55179A">
            <w:pPr>
              <w:jc w:val="center"/>
              <w:rPr>
                <w:rFonts w:ascii="宋体" w:hAnsi="宋体"/>
                <w:color w:val="auto"/>
                <w:szCs w:val="21"/>
              </w:rPr>
            </w:pPr>
          </w:p>
        </w:tc>
        <w:tc>
          <w:tcPr>
            <w:tcW w:w="751" w:type="dxa"/>
          </w:tcPr>
          <w:p w14:paraId="6B4D55B8">
            <w:pPr>
              <w:jc w:val="center"/>
              <w:rPr>
                <w:rFonts w:ascii="宋体" w:hAnsi="宋体"/>
                <w:color w:val="auto"/>
                <w:szCs w:val="21"/>
              </w:rPr>
            </w:pPr>
          </w:p>
        </w:tc>
        <w:tc>
          <w:tcPr>
            <w:tcW w:w="624" w:type="dxa"/>
            <w:vAlign w:val="center"/>
          </w:tcPr>
          <w:p w14:paraId="1DE3C4AA">
            <w:pPr>
              <w:jc w:val="center"/>
              <w:rPr>
                <w:rFonts w:ascii="宋体" w:hAnsi="宋体"/>
                <w:color w:val="auto"/>
                <w:szCs w:val="21"/>
              </w:rPr>
            </w:pPr>
          </w:p>
        </w:tc>
      </w:tr>
      <w:tr w14:paraId="7C9E8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43DDEAFF">
            <w:pPr>
              <w:jc w:val="center"/>
              <w:rPr>
                <w:rFonts w:ascii="宋体" w:hAnsi="宋体"/>
                <w:color w:val="auto"/>
                <w:szCs w:val="21"/>
              </w:rPr>
            </w:pPr>
            <w:r>
              <w:rPr>
                <w:rFonts w:hint="eastAsia" w:ascii="宋体" w:hAnsi="宋体"/>
                <w:color w:val="auto"/>
                <w:szCs w:val="21"/>
              </w:rPr>
              <w:t>5</w:t>
            </w:r>
          </w:p>
        </w:tc>
        <w:tc>
          <w:tcPr>
            <w:tcW w:w="1942" w:type="dxa"/>
            <w:vAlign w:val="center"/>
          </w:tcPr>
          <w:p w14:paraId="3B1CD130">
            <w:pPr>
              <w:jc w:val="center"/>
              <w:rPr>
                <w:rFonts w:ascii="宋体" w:hAnsi="宋体"/>
                <w:color w:val="auto"/>
                <w:szCs w:val="21"/>
              </w:rPr>
            </w:pPr>
          </w:p>
        </w:tc>
        <w:tc>
          <w:tcPr>
            <w:tcW w:w="750" w:type="dxa"/>
            <w:vAlign w:val="center"/>
          </w:tcPr>
          <w:p w14:paraId="35F6EB95">
            <w:pPr>
              <w:jc w:val="center"/>
              <w:rPr>
                <w:rFonts w:ascii="宋体" w:hAnsi="宋体"/>
                <w:color w:val="auto"/>
                <w:szCs w:val="21"/>
              </w:rPr>
            </w:pPr>
          </w:p>
        </w:tc>
        <w:tc>
          <w:tcPr>
            <w:tcW w:w="751" w:type="dxa"/>
            <w:vAlign w:val="center"/>
          </w:tcPr>
          <w:p w14:paraId="0831219E">
            <w:pPr>
              <w:jc w:val="center"/>
              <w:rPr>
                <w:rFonts w:ascii="宋体" w:hAnsi="宋体"/>
                <w:color w:val="auto"/>
                <w:szCs w:val="21"/>
              </w:rPr>
            </w:pPr>
          </w:p>
        </w:tc>
        <w:tc>
          <w:tcPr>
            <w:tcW w:w="751" w:type="dxa"/>
            <w:vAlign w:val="center"/>
          </w:tcPr>
          <w:p w14:paraId="308DEA19">
            <w:pPr>
              <w:jc w:val="center"/>
              <w:rPr>
                <w:rFonts w:ascii="宋体" w:hAnsi="宋体"/>
                <w:color w:val="auto"/>
                <w:szCs w:val="21"/>
              </w:rPr>
            </w:pPr>
          </w:p>
        </w:tc>
        <w:tc>
          <w:tcPr>
            <w:tcW w:w="751" w:type="dxa"/>
            <w:vAlign w:val="center"/>
          </w:tcPr>
          <w:p w14:paraId="10B81828">
            <w:pPr>
              <w:jc w:val="center"/>
              <w:rPr>
                <w:rFonts w:ascii="宋体" w:hAnsi="宋体"/>
                <w:color w:val="auto"/>
                <w:szCs w:val="21"/>
              </w:rPr>
            </w:pPr>
          </w:p>
        </w:tc>
        <w:tc>
          <w:tcPr>
            <w:tcW w:w="750" w:type="dxa"/>
            <w:vAlign w:val="center"/>
          </w:tcPr>
          <w:p w14:paraId="045E9B56">
            <w:pPr>
              <w:jc w:val="center"/>
              <w:rPr>
                <w:rFonts w:ascii="宋体" w:hAnsi="宋体"/>
                <w:color w:val="auto"/>
                <w:szCs w:val="21"/>
              </w:rPr>
            </w:pPr>
          </w:p>
        </w:tc>
        <w:tc>
          <w:tcPr>
            <w:tcW w:w="751" w:type="dxa"/>
            <w:vAlign w:val="center"/>
          </w:tcPr>
          <w:p w14:paraId="1BE58B04">
            <w:pPr>
              <w:jc w:val="center"/>
              <w:rPr>
                <w:rFonts w:ascii="宋体" w:hAnsi="宋体"/>
                <w:color w:val="auto"/>
                <w:szCs w:val="21"/>
              </w:rPr>
            </w:pPr>
          </w:p>
        </w:tc>
        <w:tc>
          <w:tcPr>
            <w:tcW w:w="751" w:type="dxa"/>
            <w:vAlign w:val="center"/>
          </w:tcPr>
          <w:p w14:paraId="07727855">
            <w:pPr>
              <w:jc w:val="center"/>
              <w:rPr>
                <w:rFonts w:ascii="宋体" w:hAnsi="宋体"/>
                <w:color w:val="auto"/>
                <w:szCs w:val="21"/>
              </w:rPr>
            </w:pPr>
          </w:p>
        </w:tc>
        <w:tc>
          <w:tcPr>
            <w:tcW w:w="751" w:type="dxa"/>
          </w:tcPr>
          <w:p w14:paraId="063A6FD8">
            <w:pPr>
              <w:jc w:val="center"/>
              <w:rPr>
                <w:rFonts w:ascii="宋体" w:hAnsi="宋体"/>
                <w:color w:val="auto"/>
                <w:szCs w:val="21"/>
              </w:rPr>
            </w:pPr>
          </w:p>
        </w:tc>
        <w:tc>
          <w:tcPr>
            <w:tcW w:w="624" w:type="dxa"/>
            <w:vAlign w:val="center"/>
          </w:tcPr>
          <w:p w14:paraId="17B6ECDA">
            <w:pPr>
              <w:jc w:val="center"/>
              <w:rPr>
                <w:rFonts w:ascii="宋体" w:hAnsi="宋体"/>
                <w:color w:val="auto"/>
                <w:szCs w:val="21"/>
              </w:rPr>
            </w:pPr>
          </w:p>
        </w:tc>
      </w:tr>
      <w:tr w14:paraId="55F52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494BA66A">
            <w:pPr>
              <w:jc w:val="center"/>
              <w:rPr>
                <w:rFonts w:ascii="宋体" w:hAnsi="宋体"/>
                <w:color w:val="auto"/>
                <w:szCs w:val="21"/>
              </w:rPr>
            </w:pPr>
            <w:r>
              <w:rPr>
                <w:rFonts w:hint="eastAsia" w:ascii="黑体" w:hAnsi="黑体" w:eastAsia="黑体"/>
                <w:color w:val="auto"/>
                <w:szCs w:val="44"/>
              </w:rPr>
              <w:t>…</w:t>
            </w:r>
          </w:p>
        </w:tc>
        <w:tc>
          <w:tcPr>
            <w:tcW w:w="1942" w:type="dxa"/>
            <w:vAlign w:val="center"/>
          </w:tcPr>
          <w:p w14:paraId="08CD59BF">
            <w:pPr>
              <w:jc w:val="center"/>
              <w:rPr>
                <w:rFonts w:ascii="宋体" w:hAnsi="宋体"/>
                <w:color w:val="auto"/>
                <w:szCs w:val="21"/>
              </w:rPr>
            </w:pPr>
          </w:p>
        </w:tc>
        <w:tc>
          <w:tcPr>
            <w:tcW w:w="750" w:type="dxa"/>
            <w:vAlign w:val="center"/>
          </w:tcPr>
          <w:p w14:paraId="60EADFF2">
            <w:pPr>
              <w:jc w:val="center"/>
              <w:rPr>
                <w:rFonts w:ascii="宋体" w:hAnsi="宋体"/>
                <w:color w:val="auto"/>
                <w:szCs w:val="21"/>
              </w:rPr>
            </w:pPr>
          </w:p>
        </w:tc>
        <w:tc>
          <w:tcPr>
            <w:tcW w:w="751" w:type="dxa"/>
            <w:vAlign w:val="center"/>
          </w:tcPr>
          <w:p w14:paraId="595EC98E">
            <w:pPr>
              <w:jc w:val="center"/>
              <w:rPr>
                <w:rFonts w:ascii="宋体" w:hAnsi="宋体"/>
                <w:color w:val="auto"/>
                <w:szCs w:val="21"/>
              </w:rPr>
            </w:pPr>
          </w:p>
        </w:tc>
        <w:tc>
          <w:tcPr>
            <w:tcW w:w="751" w:type="dxa"/>
            <w:vAlign w:val="center"/>
          </w:tcPr>
          <w:p w14:paraId="7C4B9A7F">
            <w:pPr>
              <w:jc w:val="center"/>
              <w:rPr>
                <w:rFonts w:ascii="宋体" w:hAnsi="宋体"/>
                <w:color w:val="auto"/>
                <w:szCs w:val="21"/>
              </w:rPr>
            </w:pPr>
          </w:p>
        </w:tc>
        <w:tc>
          <w:tcPr>
            <w:tcW w:w="751" w:type="dxa"/>
            <w:vAlign w:val="center"/>
          </w:tcPr>
          <w:p w14:paraId="2547BB8E">
            <w:pPr>
              <w:jc w:val="center"/>
              <w:rPr>
                <w:rFonts w:ascii="宋体" w:hAnsi="宋体"/>
                <w:color w:val="auto"/>
                <w:szCs w:val="21"/>
              </w:rPr>
            </w:pPr>
          </w:p>
        </w:tc>
        <w:tc>
          <w:tcPr>
            <w:tcW w:w="750" w:type="dxa"/>
            <w:vAlign w:val="center"/>
          </w:tcPr>
          <w:p w14:paraId="3A5509C0">
            <w:pPr>
              <w:jc w:val="center"/>
              <w:rPr>
                <w:rFonts w:ascii="宋体" w:hAnsi="宋体"/>
                <w:color w:val="auto"/>
                <w:szCs w:val="21"/>
              </w:rPr>
            </w:pPr>
          </w:p>
        </w:tc>
        <w:tc>
          <w:tcPr>
            <w:tcW w:w="751" w:type="dxa"/>
            <w:vAlign w:val="center"/>
          </w:tcPr>
          <w:p w14:paraId="3D02F921">
            <w:pPr>
              <w:jc w:val="center"/>
              <w:rPr>
                <w:rFonts w:ascii="宋体" w:hAnsi="宋体"/>
                <w:color w:val="auto"/>
                <w:szCs w:val="21"/>
              </w:rPr>
            </w:pPr>
          </w:p>
        </w:tc>
        <w:tc>
          <w:tcPr>
            <w:tcW w:w="751" w:type="dxa"/>
            <w:vAlign w:val="center"/>
          </w:tcPr>
          <w:p w14:paraId="47D23CD8">
            <w:pPr>
              <w:jc w:val="center"/>
              <w:rPr>
                <w:rFonts w:ascii="宋体" w:hAnsi="宋体"/>
                <w:color w:val="auto"/>
                <w:szCs w:val="21"/>
              </w:rPr>
            </w:pPr>
          </w:p>
        </w:tc>
        <w:tc>
          <w:tcPr>
            <w:tcW w:w="751" w:type="dxa"/>
          </w:tcPr>
          <w:p w14:paraId="33314AF8">
            <w:pPr>
              <w:jc w:val="center"/>
              <w:rPr>
                <w:rFonts w:ascii="宋体" w:hAnsi="宋体"/>
                <w:color w:val="auto"/>
                <w:szCs w:val="21"/>
              </w:rPr>
            </w:pPr>
          </w:p>
        </w:tc>
        <w:tc>
          <w:tcPr>
            <w:tcW w:w="624" w:type="dxa"/>
            <w:vAlign w:val="center"/>
          </w:tcPr>
          <w:p w14:paraId="350B6953">
            <w:pPr>
              <w:jc w:val="center"/>
              <w:rPr>
                <w:rFonts w:ascii="宋体" w:hAnsi="宋体"/>
                <w:color w:val="auto"/>
                <w:szCs w:val="21"/>
              </w:rPr>
            </w:pPr>
          </w:p>
        </w:tc>
      </w:tr>
    </w:tbl>
    <w:p w14:paraId="066865CF">
      <w:pPr>
        <w:rPr>
          <w:color w:val="auto"/>
        </w:rPr>
      </w:pPr>
    </w:p>
    <w:p w14:paraId="24A67C6F">
      <w:pPr>
        <w:jc w:val="right"/>
        <w:rPr>
          <w:color w:val="auto"/>
        </w:rPr>
      </w:pPr>
      <w:r>
        <w:rPr>
          <w:rFonts w:hint="eastAsia"/>
          <w:color w:val="auto"/>
        </w:rPr>
        <w:t>日期：      年    月   日</w:t>
      </w:r>
    </w:p>
    <w:p w14:paraId="510B8134">
      <w:pPr>
        <w:spacing w:line="430" w:lineRule="exact"/>
        <w:rPr>
          <w:color w:val="auto"/>
        </w:rPr>
      </w:pPr>
    </w:p>
    <w:p w14:paraId="16D2C2E9">
      <w:pPr>
        <w:spacing w:line="430" w:lineRule="exact"/>
        <w:rPr>
          <w:rFonts w:ascii="黑体" w:eastAsia="黑体"/>
          <w:color w:val="auto"/>
          <w:sz w:val="24"/>
        </w:rPr>
        <w:sectPr>
          <w:pgSz w:w="11906" w:h="16838"/>
          <w:pgMar w:top="1440" w:right="1797" w:bottom="1440" w:left="1797" w:header="851" w:footer="851" w:gutter="0"/>
          <w:cols w:space="720" w:num="1"/>
          <w:docGrid w:linePitch="312" w:charSpace="0"/>
        </w:sectPr>
      </w:pPr>
    </w:p>
    <w:p w14:paraId="339CCFCE">
      <w:pPr>
        <w:spacing w:after="240" w:afterLines="100"/>
        <w:rPr>
          <w:rFonts w:ascii="黑体" w:eastAsia="黑体"/>
          <w:color w:val="auto"/>
          <w:sz w:val="24"/>
        </w:rPr>
      </w:pPr>
    </w:p>
    <w:p w14:paraId="32DC3D9A">
      <w:pPr>
        <w:pStyle w:val="27"/>
        <w:rPr>
          <w:color w:val="auto"/>
        </w:rPr>
      </w:pPr>
      <w:bookmarkStart w:id="665" w:name="_Toc165804450"/>
      <w:bookmarkStart w:id="666" w:name="_Toc2391"/>
      <w:r>
        <w:rPr>
          <w:rFonts w:hint="eastAsia"/>
          <w:color w:val="auto"/>
        </w:rPr>
        <w:t>附表A-4：形式评审记录表</w:t>
      </w:r>
      <w:bookmarkEnd w:id="665"/>
      <w:bookmarkEnd w:id="666"/>
    </w:p>
    <w:p w14:paraId="0DE95483">
      <w:pPr>
        <w:rPr>
          <w:color w:val="auto"/>
        </w:rPr>
      </w:pPr>
      <w:bookmarkStart w:id="667" w:name="_Hlk145501909"/>
      <w:bookmarkStart w:id="668" w:name="_Toc145516055"/>
    </w:p>
    <w:p w14:paraId="7A2DAD09">
      <w:pPr>
        <w:adjustRightInd w:val="0"/>
        <w:snapToGrid w:val="0"/>
        <w:spacing w:before="240" w:beforeLines="100" w:after="240" w:afterLines="100" w:line="440" w:lineRule="exact"/>
        <w:jc w:val="center"/>
        <w:rPr>
          <w:rFonts w:ascii="黑体" w:hAnsi="黑体" w:eastAsia="黑体"/>
          <w:color w:val="auto"/>
          <w:sz w:val="36"/>
          <w:szCs w:val="36"/>
        </w:rPr>
      </w:pPr>
      <w:bookmarkStart w:id="669" w:name="_Toc148976154"/>
      <w:bookmarkStart w:id="670" w:name="_Toc148971946"/>
      <w:bookmarkStart w:id="671" w:name="_Toc21854"/>
      <w:r>
        <w:rPr>
          <w:rFonts w:hint="eastAsia" w:ascii="黑体" w:hAnsi="黑体" w:eastAsia="黑体"/>
          <w:color w:val="auto"/>
          <w:sz w:val="36"/>
          <w:szCs w:val="36"/>
        </w:rPr>
        <w:t>形式评审</w:t>
      </w:r>
      <w:bookmarkEnd w:id="667"/>
      <w:r>
        <w:rPr>
          <w:rFonts w:hint="eastAsia" w:ascii="黑体" w:hAnsi="黑体" w:eastAsia="黑体"/>
          <w:color w:val="auto"/>
          <w:sz w:val="36"/>
          <w:szCs w:val="36"/>
        </w:rPr>
        <w:t>记录表</w:t>
      </w:r>
      <w:bookmarkEnd w:id="668"/>
      <w:bookmarkEnd w:id="669"/>
      <w:bookmarkEnd w:id="670"/>
      <w:bookmarkEnd w:id="671"/>
    </w:p>
    <w:p w14:paraId="0015B0BC">
      <w:pPr>
        <w:rPr>
          <w:rFonts w:ascii="宋体" w:hAnsi="宋体"/>
          <w:color w:val="auto"/>
          <w:szCs w:val="44"/>
        </w:rPr>
      </w:pPr>
      <w:r>
        <w:rPr>
          <w:rFonts w:hint="eastAsia" w:ascii="宋体" w:hAnsi="宋体"/>
          <w:color w:val="auto"/>
          <w:szCs w:val="44"/>
        </w:rPr>
        <w:t>标段名称：</w:t>
      </w:r>
    </w:p>
    <w:p w14:paraId="5128AF03">
      <w:pPr>
        <w:rPr>
          <w:rFonts w:ascii="宋体" w:hAnsi="宋体"/>
          <w:color w:val="auto"/>
          <w:szCs w:val="44"/>
        </w:rPr>
      </w:pPr>
      <w:r>
        <w:rPr>
          <w:rFonts w:hint="eastAsia"/>
          <w:color w:val="auto"/>
          <w:szCs w:val="44"/>
        </w:rPr>
        <w:t>标段唯一标识码：</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1326"/>
        <w:gridCol w:w="633"/>
        <w:gridCol w:w="633"/>
        <w:gridCol w:w="633"/>
        <w:gridCol w:w="633"/>
        <w:gridCol w:w="633"/>
        <w:gridCol w:w="633"/>
        <w:gridCol w:w="633"/>
        <w:gridCol w:w="633"/>
        <w:gridCol w:w="635"/>
        <w:gridCol w:w="804"/>
      </w:tblGrid>
      <w:tr w14:paraId="6CBF9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10" w:type="dxa"/>
            <w:vMerge w:val="restart"/>
            <w:vAlign w:val="center"/>
          </w:tcPr>
          <w:p w14:paraId="7265FB9B">
            <w:pPr>
              <w:jc w:val="center"/>
              <w:rPr>
                <w:rFonts w:ascii="宋体" w:hAnsi="宋体"/>
                <w:b/>
                <w:bCs/>
                <w:color w:val="auto"/>
                <w:szCs w:val="44"/>
              </w:rPr>
            </w:pPr>
            <w:r>
              <w:rPr>
                <w:rFonts w:hint="eastAsia" w:ascii="宋体" w:hAnsi="宋体"/>
                <w:b/>
                <w:bCs/>
                <w:color w:val="auto"/>
                <w:szCs w:val="44"/>
              </w:rPr>
              <w:t>序号</w:t>
            </w:r>
          </w:p>
        </w:tc>
        <w:tc>
          <w:tcPr>
            <w:tcW w:w="1363" w:type="dxa"/>
            <w:vMerge w:val="restart"/>
            <w:vAlign w:val="center"/>
          </w:tcPr>
          <w:p w14:paraId="2847C8D4">
            <w:pPr>
              <w:jc w:val="center"/>
              <w:rPr>
                <w:rFonts w:ascii="宋体" w:hAnsi="宋体"/>
                <w:b/>
                <w:bCs/>
                <w:color w:val="auto"/>
                <w:szCs w:val="44"/>
              </w:rPr>
            </w:pPr>
            <w:r>
              <w:rPr>
                <w:rFonts w:hint="eastAsia" w:ascii="宋体" w:hAnsi="宋体"/>
                <w:b/>
                <w:bCs/>
                <w:color w:val="auto"/>
                <w:szCs w:val="44"/>
              </w:rPr>
              <w:t>投标人名称</w:t>
            </w:r>
          </w:p>
        </w:tc>
        <w:tc>
          <w:tcPr>
            <w:tcW w:w="5851" w:type="dxa"/>
            <w:gridSpan w:val="9"/>
            <w:vAlign w:val="center"/>
          </w:tcPr>
          <w:p w14:paraId="62DCD062">
            <w:pPr>
              <w:jc w:val="center"/>
              <w:rPr>
                <w:rFonts w:ascii="宋体" w:hAnsi="宋体"/>
                <w:b/>
                <w:bCs/>
                <w:color w:val="auto"/>
                <w:szCs w:val="44"/>
              </w:rPr>
            </w:pPr>
            <w:r>
              <w:rPr>
                <w:rFonts w:hint="eastAsia" w:ascii="宋体" w:hAnsi="宋体"/>
                <w:b/>
                <w:bCs/>
                <w:color w:val="auto"/>
                <w:szCs w:val="44"/>
              </w:rPr>
              <w:t>评审标准及评审意见</w:t>
            </w:r>
          </w:p>
        </w:tc>
        <w:tc>
          <w:tcPr>
            <w:tcW w:w="818" w:type="dxa"/>
            <w:vMerge w:val="restart"/>
            <w:vAlign w:val="center"/>
          </w:tcPr>
          <w:p w14:paraId="731638D8">
            <w:pPr>
              <w:jc w:val="center"/>
              <w:rPr>
                <w:rFonts w:ascii="宋体" w:hAnsi="宋体"/>
                <w:b/>
                <w:bCs/>
                <w:color w:val="auto"/>
                <w:szCs w:val="44"/>
              </w:rPr>
            </w:pPr>
            <w:r>
              <w:rPr>
                <w:rFonts w:ascii="宋体" w:hAnsi="宋体"/>
                <w:b/>
                <w:bCs/>
                <w:color w:val="auto"/>
                <w:szCs w:val="21"/>
              </w:rPr>
              <w:t>评审结论</w:t>
            </w:r>
          </w:p>
        </w:tc>
      </w:tr>
      <w:tr w14:paraId="71333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10" w:type="dxa"/>
            <w:vMerge w:val="continue"/>
            <w:vAlign w:val="center"/>
          </w:tcPr>
          <w:p w14:paraId="3319799F">
            <w:pPr>
              <w:jc w:val="center"/>
              <w:rPr>
                <w:rFonts w:ascii="宋体" w:hAnsi="宋体"/>
                <w:color w:val="auto"/>
                <w:szCs w:val="44"/>
              </w:rPr>
            </w:pPr>
          </w:p>
        </w:tc>
        <w:tc>
          <w:tcPr>
            <w:tcW w:w="1363" w:type="dxa"/>
            <w:vMerge w:val="continue"/>
          </w:tcPr>
          <w:p w14:paraId="0EEDDE79">
            <w:pPr>
              <w:jc w:val="center"/>
              <w:rPr>
                <w:rFonts w:ascii="宋体" w:hAnsi="宋体"/>
                <w:color w:val="auto"/>
                <w:szCs w:val="44"/>
              </w:rPr>
            </w:pPr>
          </w:p>
        </w:tc>
        <w:tc>
          <w:tcPr>
            <w:tcW w:w="650" w:type="dxa"/>
            <w:vAlign w:val="center"/>
          </w:tcPr>
          <w:p w14:paraId="562BFA85">
            <w:pPr>
              <w:jc w:val="center"/>
              <w:rPr>
                <w:rFonts w:ascii="宋体" w:hAnsi="宋体"/>
                <w:b/>
                <w:bCs/>
                <w:color w:val="auto"/>
                <w:szCs w:val="44"/>
              </w:rPr>
            </w:pPr>
          </w:p>
        </w:tc>
        <w:tc>
          <w:tcPr>
            <w:tcW w:w="650" w:type="dxa"/>
            <w:vAlign w:val="center"/>
          </w:tcPr>
          <w:p w14:paraId="440129A7">
            <w:pPr>
              <w:jc w:val="center"/>
              <w:rPr>
                <w:rFonts w:ascii="宋体" w:hAnsi="宋体"/>
                <w:b/>
                <w:bCs/>
                <w:color w:val="auto"/>
                <w:szCs w:val="44"/>
              </w:rPr>
            </w:pPr>
          </w:p>
        </w:tc>
        <w:tc>
          <w:tcPr>
            <w:tcW w:w="650" w:type="dxa"/>
            <w:vAlign w:val="center"/>
          </w:tcPr>
          <w:p w14:paraId="585772F3">
            <w:pPr>
              <w:jc w:val="center"/>
              <w:rPr>
                <w:rFonts w:ascii="宋体" w:hAnsi="宋体"/>
                <w:b/>
                <w:bCs/>
                <w:color w:val="auto"/>
                <w:szCs w:val="44"/>
              </w:rPr>
            </w:pPr>
          </w:p>
        </w:tc>
        <w:tc>
          <w:tcPr>
            <w:tcW w:w="650" w:type="dxa"/>
            <w:vAlign w:val="center"/>
          </w:tcPr>
          <w:p w14:paraId="4CB7E77F">
            <w:pPr>
              <w:jc w:val="center"/>
              <w:rPr>
                <w:rFonts w:ascii="宋体" w:hAnsi="宋体"/>
                <w:b/>
                <w:bCs/>
                <w:color w:val="auto"/>
                <w:szCs w:val="44"/>
              </w:rPr>
            </w:pPr>
          </w:p>
        </w:tc>
        <w:tc>
          <w:tcPr>
            <w:tcW w:w="650" w:type="dxa"/>
            <w:vAlign w:val="center"/>
          </w:tcPr>
          <w:p w14:paraId="22B4D1AE">
            <w:pPr>
              <w:jc w:val="center"/>
              <w:rPr>
                <w:rFonts w:ascii="宋体" w:hAnsi="宋体"/>
                <w:b/>
                <w:bCs/>
                <w:color w:val="auto"/>
                <w:szCs w:val="44"/>
              </w:rPr>
            </w:pPr>
          </w:p>
        </w:tc>
        <w:tc>
          <w:tcPr>
            <w:tcW w:w="650" w:type="dxa"/>
            <w:vAlign w:val="center"/>
          </w:tcPr>
          <w:p w14:paraId="6398114A">
            <w:pPr>
              <w:jc w:val="center"/>
              <w:rPr>
                <w:rFonts w:ascii="宋体" w:hAnsi="宋体"/>
                <w:b/>
                <w:bCs/>
                <w:color w:val="auto"/>
                <w:szCs w:val="44"/>
              </w:rPr>
            </w:pPr>
          </w:p>
        </w:tc>
        <w:tc>
          <w:tcPr>
            <w:tcW w:w="650" w:type="dxa"/>
            <w:vAlign w:val="center"/>
          </w:tcPr>
          <w:p w14:paraId="38E810A1">
            <w:pPr>
              <w:jc w:val="center"/>
              <w:rPr>
                <w:rFonts w:ascii="宋体" w:hAnsi="宋体"/>
                <w:b/>
                <w:bCs/>
                <w:color w:val="auto"/>
                <w:szCs w:val="44"/>
              </w:rPr>
            </w:pPr>
          </w:p>
        </w:tc>
        <w:tc>
          <w:tcPr>
            <w:tcW w:w="650" w:type="dxa"/>
            <w:vAlign w:val="center"/>
          </w:tcPr>
          <w:p w14:paraId="087BEE43">
            <w:pPr>
              <w:jc w:val="center"/>
              <w:rPr>
                <w:rFonts w:ascii="宋体" w:hAnsi="宋体"/>
                <w:b/>
                <w:bCs/>
                <w:color w:val="auto"/>
                <w:szCs w:val="44"/>
              </w:rPr>
            </w:pPr>
          </w:p>
        </w:tc>
        <w:tc>
          <w:tcPr>
            <w:tcW w:w="651" w:type="dxa"/>
            <w:vAlign w:val="center"/>
          </w:tcPr>
          <w:p w14:paraId="0F876245">
            <w:pPr>
              <w:jc w:val="center"/>
              <w:rPr>
                <w:rFonts w:ascii="宋体" w:hAnsi="宋体"/>
                <w:b/>
                <w:bCs/>
                <w:color w:val="auto"/>
                <w:szCs w:val="44"/>
              </w:rPr>
            </w:pPr>
          </w:p>
        </w:tc>
        <w:tc>
          <w:tcPr>
            <w:tcW w:w="818" w:type="dxa"/>
            <w:vMerge w:val="continue"/>
            <w:vAlign w:val="center"/>
          </w:tcPr>
          <w:p w14:paraId="62632617">
            <w:pPr>
              <w:jc w:val="center"/>
              <w:rPr>
                <w:rFonts w:ascii="宋体" w:hAnsi="宋体"/>
                <w:color w:val="auto"/>
                <w:szCs w:val="44"/>
              </w:rPr>
            </w:pPr>
          </w:p>
        </w:tc>
      </w:tr>
      <w:tr w14:paraId="39817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093B2068">
            <w:pPr>
              <w:jc w:val="center"/>
              <w:rPr>
                <w:rFonts w:ascii="宋体" w:hAnsi="宋体"/>
                <w:color w:val="auto"/>
                <w:szCs w:val="44"/>
              </w:rPr>
            </w:pPr>
            <w:r>
              <w:rPr>
                <w:rFonts w:hint="eastAsia" w:ascii="宋体" w:hAnsi="宋体"/>
                <w:color w:val="auto"/>
                <w:szCs w:val="44"/>
              </w:rPr>
              <w:t>1</w:t>
            </w:r>
          </w:p>
        </w:tc>
        <w:tc>
          <w:tcPr>
            <w:tcW w:w="1363" w:type="dxa"/>
            <w:vAlign w:val="center"/>
          </w:tcPr>
          <w:p w14:paraId="151C1905">
            <w:pPr>
              <w:jc w:val="center"/>
              <w:rPr>
                <w:rFonts w:ascii="宋体" w:hAnsi="宋体"/>
                <w:color w:val="auto"/>
                <w:szCs w:val="21"/>
              </w:rPr>
            </w:pPr>
          </w:p>
        </w:tc>
        <w:tc>
          <w:tcPr>
            <w:tcW w:w="650" w:type="dxa"/>
            <w:vAlign w:val="center"/>
          </w:tcPr>
          <w:p w14:paraId="39D57F0D">
            <w:pPr>
              <w:jc w:val="center"/>
              <w:rPr>
                <w:rFonts w:ascii="宋体" w:hAnsi="宋体"/>
                <w:color w:val="auto"/>
                <w:szCs w:val="21"/>
              </w:rPr>
            </w:pPr>
          </w:p>
        </w:tc>
        <w:tc>
          <w:tcPr>
            <w:tcW w:w="650" w:type="dxa"/>
            <w:vAlign w:val="center"/>
          </w:tcPr>
          <w:p w14:paraId="676603B4">
            <w:pPr>
              <w:jc w:val="center"/>
              <w:rPr>
                <w:rFonts w:ascii="宋体" w:hAnsi="宋体"/>
                <w:color w:val="auto"/>
                <w:szCs w:val="44"/>
              </w:rPr>
            </w:pPr>
          </w:p>
        </w:tc>
        <w:tc>
          <w:tcPr>
            <w:tcW w:w="650" w:type="dxa"/>
            <w:vAlign w:val="center"/>
          </w:tcPr>
          <w:p w14:paraId="468ED3B7">
            <w:pPr>
              <w:jc w:val="center"/>
              <w:rPr>
                <w:rFonts w:ascii="宋体" w:hAnsi="宋体"/>
                <w:color w:val="auto"/>
                <w:szCs w:val="44"/>
              </w:rPr>
            </w:pPr>
          </w:p>
        </w:tc>
        <w:tc>
          <w:tcPr>
            <w:tcW w:w="650" w:type="dxa"/>
            <w:vAlign w:val="center"/>
          </w:tcPr>
          <w:p w14:paraId="46DE61C0">
            <w:pPr>
              <w:jc w:val="center"/>
              <w:rPr>
                <w:rFonts w:ascii="宋体" w:hAnsi="宋体"/>
                <w:color w:val="auto"/>
                <w:szCs w:val="44"/>
              </w:rPr>
            </w:pPr>
          </w:p>
        </w:tc>
        <w:tc>
          <w:tcPr>
            <w:tcW w:w="650" w:type="dxa"/>
            <w:vAlign w:val="center"/>
          </w:tcPr>
          <w:p w14:paraId="2D275F39">
            <w:pPr>
              <w:jc w:val="center"/>
              <w:rPr>
                <w:rFonts w:ascii="宋体" w:hAnsi="宋体"/>
                <w:color w:val="auto"/>
                <w:szCs w:val="44"/>
              </w:rPr>
            </w:pPr>
          </w:p>
        </w:tc>
        <w:tc>
          <w:tcPr>
            <w:tcW w:w="650" w:type="dxa"/>
            <w:vAlign w:val="center"/>
          </w:tcPr>
          <w:p w14:paraId="0C43EE7B">
            <w:pPr>
              <w:jc w:val="center"/>
              <w:rPr>
                <w:rFonts w:ascii="宋体" w:hAnsi="宋体"/>
                <w:color w:val="auto"/>
                <w:szCs w:val="44"/>
              </w:rPr>
            </w:pPr>
          </w:p>
        </w:tc>
        <w:tc>
          <w:tcPr>
            <w:tcW w:w="650" w:type="dxa"/>
            <w:vAlign w:val="center"/>
          </w:tcPr>
          <w:p w14:paraId="1284F2B9">
            <w:pPr>
              <w:jc w:val="center"/>
              <w:rPr>
                <w:rFonts w:ascii="宋体" w:hAnsi="宋体"/>
                <w:color w:val="auto"/>
                <w:szCs w:val="44"/>
              </w:rPr>
            </w:pPr>
          </w:p>
        </w:tc>
        <w:tc>
          <w:tcPr>
            <w:tcW w:w="650" w:type="dxa"/>
            <w:vAlign w:val="center"/>
          </w:tcPr>
          <w:p w14:paraId="2F596D5B">
            <w:pPr>
              <w:jc w:val="center"/>
              <w:rPr>
                <w:rFonts w:ascii="宋体" w:hAnsi="宋体"/>
                <w:color w:val="auto"/>
                <w:szCs w:val="44"/>
              </w:rPr>
            </w:pPr>
          </w:p>
        </w:tc>
        <w:tc>
          <w:tcPr>
            <w:tcW w:w="651" w:type="dxa"/>
            <w:vAlign w:val="center"/>
          </w:tcPr>
          <w:p w14:paraId="28D777AE">
            <w:pPr>
              <w:jc w:val="center"/>
              <w:rPr>
                <w:rFonts w:ascii="宋体" w:hAnsi="宋体"/>
                <w:color w:val="auto"/>
                <w:szCs w:val="44"/>
              </w:rPr>
            </w:pPr>
          </w:p>
        </w:tc>
        <w:tc>
          <w:tcPr>
            <w:tcW w:w="818" w:type="dxa"/>
            <w:vAlign w:val="center"/>
          </w:tcPr>
          <w:p w14:paraId="4310AFC8">
            <w:pPr>
              <w:jc w:val="center"/>
              <w:rPr>
                <w:rFonts w:ascii="宋体" w:hAnsi="宋体"/>
                <w:color w:val="auto"/>
                <w:szCs w:val="44"/>
              </w:rPr>
            </w:pPr>
          </w:p>
        </w:tc>
      </w:tr>
      <w:tr w14:paraId="42177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7E36E8BB">
            <w:pPr>
              <w:jc w:val="center"/>
              <w:rPr>
                <w:rFonts w:ascii="宋体" w:hAnsi="宋体"/>
                <w:color w:val="auto"/>
                <w:szCs w:val="44"/>
              </w:rPr>
            </w:pPr>
            <w:r>
              <w:rPr>
                <w:rFonts w:hint="eastAsia" w:ascii="宋体" w:hAnsi="宋体"/>
                <w:color w:val="auto"/>
                <w:szCs w:val="44"/>
              </w:rPr>
              <w:t>2</w:t>
            </w:r>
          </w:p>
        </w:tc>
        <w:tc>
          <w:tcPr>
            <w:tcW w:w="1363" w:type="dxa"/>
            <w:vAlign w:val="center"/>
          </w:tcPr>
          <w:p w14:paraId="1F2253C7">
            <w:pPr>
              <w:jc w:val="center"/>
              <w:rPr>
                <w:rFonts w:ascii="宋体" w:hAnsi="宋体"/>
                <w:color w:val="auto"/>
                <w:szCs w:val="44"/>
              </w:rPr>
            </w:pPr>
          </w:p>
        </w:tc>
        <w:tc>
          <w:tcPr>
            <w:tcW w:w="650" w:type="dxa"/>
            <w:vAlign w:val="center"/>
          </w:tcPr>
          <w:p w14:paraId="2B4AFF57">
            <w:pPr>
              <w:jc w:val="center"/>
              <w:rPr>
                <w:color w:val="auto"/>
              </w:rPr>
            </w:pPr>
          </w:p>
        </w:tc>
        <w:tc>
          <w:tcPr>
            <w:tcW w:w="650" w:type="dxa"/>
            <w:vAlign w:val="center"/>
          </w:tcPr>
          <w:p w14:paraId="24AC3854">
            <w:pPr>
              <w:jc w:val="center"/>
              <w:rPr>
                <w:rFonts w:ascii="宋体" w:hAnsi="宋体"/>
                <w:color w:val="auto"/>
                <w:szCs w:val="44"/>
              </w:rPr>
            </w:pPr>
          </w:p>
        </w:tc>
        <w:tc>
          <w:tcPr>
            <w:tcW w:w="650" w:type="dxa"/>
            <w:vAlign w:val="center"/>
          </w:tcPr>
          <w:p w14:paraId="61BEE51D">
            <w:pPr>
              <w:jc w:val="center"/>
              <w:rPr>
                <w:rFonts w:ascii="宋体" w:hAnsi="宋体"/>
                <w:color w:val="auto"/>
                <w:szCs w:val="44"/>
              </w:rPr>
            </w:pPr>
          </w:p>
        </w:tc>
        <w:tc>
          <w:tcPr>
            <w:tcW w:w="650" w:type="dxa"/>
            <w:vAlign w:val="center"/>
          </w:tcPr>
          <w:p w14:paraId="1A4A43EE">
            <w:pPr>
              <w:jc w:val="center"/>
              <w:rPr>
                <w:rFonts w:ascii="宋体" w:hAnsi="宋体"/>
                <w:color w:val="auto"/>
                <w:szCs w:val="44"/>
              </w:rPr>
            </w:pPr>
          </w:p>
        </w:tc>
        <w:tc>
          <w:tcPr>
            <w:tcW w:w="650" w:type="dxa"/>
            <w:vAlign w:val="center"/>
          </w:tcPr>
          <w:p w14:paraId="555EDBED">
            <w:pPr>
              <w:jc w:val="center"/>
              <w:rPr>
                <w:rFonts w:ascii="宋体" w:hAnsi="宋体"/>
                <w:color w:val="auto"/>
                <w:szCs w:val="44"/>
              </w:rPr>
            </w:pPr>
          </w:p>
        </w:tc>
        <w:tc>
          <w:tcPr>
            <w:tcW w:w="650" w:type="dxa"/>
            <w:vAlign w:val="center"/>
          </w:tcPr>
          <w:p w14:paraId="5246C15D">
            <w:pPr>
              <w:jc w:val="center"/>
              <w:rPr>
                <w:rFonts w:ascii="宋体" w:hAnsi="宋体"/>
                <w:color w:val="auto"/>
                <w:szCs w:val="44"/>
              </w:rPr>
            </w:pPr>
          </w:p>
        </w:tc>
        <w:tc>
          <w:tcPr>
            <w:tcW w:w="650" w:type="dxa"/>
            <w:vAlign w:val="center"/>
          </w:tcPr>
          <w:p w14:paraId="164C3293">
            <w:pPr>
              <w:jc w:val="center"/>
              <w:rPr>
                <w:rFonts w:ascii="宋体" w:hAnsi="宋体"/>
                <w:color w:val="auto"/>
                <w:szCs w:val="44"/>
              </w:rPr>
            </w:pPr>
          </w:p>
        </w:tc>
        <w:tc>
          <w:tcPr>
            <w:tcW w:w="650" w:type="dxa"/>
            <w:vAlign w:val="center"/>
          </w:tcPr>
          <w:p w14:paraId="22DFA44E">
            <w:pPr>
              <w:jc w:val="center"/>
              <w:rPr>
                <w:rFonts w:ascii="宋体" w:hAnsi="宋体"/>
                <w:color w:val="auto"/>
                <w:szCs w:val="44"/>
              </w:rPr>
            </w:pPr>
          </w:p>
        </w:tc>
        <w:tc>
          <w:tcPr>
            <w:tcW w:w="651" w:type="dxa"/>
            <w:vAlign w:val="center"/>
          </w:tcPr>
          <w:p w14:paraId="513CCD41">
            <w:pPr>
              <w:jc w:val="center"/>
              <w:rPr>
                <w:rFonts w:ascii="宋体" w:hAnsi="宋体"/>
                <w:color w:val="auto"/>
                <w:szCs w:val="44"/>
              </w:rPr>
            </w:pPr>
          </w:p>
        </w:tc>
        <w:tc>
          <w:tcPr>
            <w:tcW w:w="818" w:type="dxa"/>
            <w:vAlign w:val="center"/>
          </w:tcPr>
          <w:p w14:paraId="46BDEDBA">
            <w:pPr>
              <w:jc w:val="center"/>
              <w:rPr>
                <w:rFonts w:ascii="宋体" w:hAnsi="宋体"/>
                <w:color w:val="auto"/>
                <w:szCs w:val="44"/>
              </w:rPr>
            </w:pPr>
          </w:p>
        </w:tc>
      </w:tr>
      <w:tr w14:paraId="19A42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3028192E">
            <w:pPr>
              <w:jc w:val="center"/>
              <w:rPr>
                <w:rFonts w:ascii="宋体" w:hAnsi="宋体"/>
                <w:color w:val="auto"/>
                <w:szCs w:val="44"/>
              </w:rPr>
            </w:pPr>
            <w:r>
              <w:rPr>
                <w:rFonts w:hint="eastAsia" w:ascii="宋体" w:hAnsi="宋体"/>
                <w:color w:val="auto"/>
                <w:szCs w:val="44"/>
              </w:rPr>
              <w:t>3</w:t>
            </w:r>
          </w:p>
        </w:tc>
        <w:tc>
          <w:tcPr>
            <w:tcW w:w="1363" w:type="dxa"/>
            <w:vAlign w:val="center"/>
          </w:tcPr>
          <w:p w14:paraId="4D13E1C8">
            <w:pPr>
              <w:jc w:val="center"/>
              <w:rPr>
                <w:rFonts w:ascii="宋体" w:hAnsi="宋体"/>
                <w:color w:val="auto"/>
                <w:szCs w:val="44"/>
              </w:rPr>
            </w:pPr>
          </w:p>
        </w:tc>
        <w:tc>
          <w:tcPr>
            <w:tcW w:w="650" w:type="dxa"/>
            <w:vAlign w:val="center"/>
          </w:tcPr>
          <w:p w14:paraId="0F9AF44D">
            <w:pPr>
              <w:jc w:val="center"/>
              <w:rPr>
                <w:color w:val="auto"/>
              </w:rPr>
            </w:pPr>
          </w:p>
        </w:tc>
        <w:tc>
          <w:tcPr>
            <w:tcW w:w="650" w:type="dxa"/>
            <w:vAlign w:val="center"/>
          </w:tcPr>
          <w:p w14:paraId="077F98DB">
            <w:pPr>
              <w:jc w:val="center"/>
              <w:rPr>
                <w:rFonts w:ascii="宋体" w:hAnsi="宋体"/>
                <w:color w:val="auto"/>
                <w:szCs w:val="44"/>
              </w:rPr>
            </w:pPr>
          </w:p>
        </w:tc>
        <w:tc>
          <w:tcPr>
            <w:tcW w:w="650" w:type="dxa"/>
            <w:vAlign w:val="center"/>
          </w:tcPr>
          <w:p w14:paraId="698E4CC6">
            <w:pPr>
              <w:jc w:val="center"/>
              <w:rPr>
                <w:rFonts w:ascii="宋体" w:hAnsi="宋体"/>
                <w:color w:val="auto"/>
                <w:szCs w:val="44"/>
              </w:rPr>
            </w:pPr>
          </w:p>
        </w:tc>
        <w:tc>
          <w:tcPr>
            <w:tcW w:w="650" w:type="dxa"/>
            <w:vAlign w:val="center"/>
          </w:tcPr>
          <w:p w14:paraId="7A935D16">
            <w:pPr>
              <w:jc w:val="center"/>
              <w:rPr>
                <w:rFonts w:ascii="宋体" w:hAnsi="宋体"/>
                <w:color w:val="auto"/>
                <w:szCs w:val="44"/>
              </w:rPr>
            </w:pPr>
          </w:p>
        </w:tc>
        <w:tc>
          <w:tcPr>
            <w:tcW w:w="650" w:type="dxa"/>
            <w:vAlign w:val="center"/>
          </w:tcPr>
          <w:p w14:paraId="0BE5873E">
            <w:pPr>
              <w:jc w:val="center"/>
              <w:rPr>
                <w:rFonts w:ascii="宋体" w:hAnsi="宋体"/>
                <w:color w:val="auto"/>
                <w:szCs w:val="44"/>
              </w:rPr>
            </w:pPr>
          </w:p>
        </w:tc>
        <w:tc>
          <w:tcPr>
            <w:tcW w:w="650" w:type="dxa"/>
            <w:vAlign w:val="center"/>
          </w:tcPr>
          <w:p w14:paraId="2BB3DBDE">
            <w:pPr>
              <w:jc w:val="center"/>
              <w:rPr>
                <w:rFonts w:ascii="宋体" w:hAnsi="宋体"/>
                <w:color w:val="auto"/>
                <w:szCs w:val="44"/>
              </w:rPr>
            </w:pPr>
          </w:p>
        </w:tc>
        <w:tc>
          <w:tcPr>
            <w:tcW w:w="650" w:type="dxa"/>
            <w:vAlign w:val="center"/>
          </w:tcPr>
          <w:p w14:paraId="303243F3">
            <w:pPr>
              <w:jc w:val="center"/>
              <w:rPr>
                <w:rFonts w:ascii="宋体" w:hAnsi="宋体"/>
                <w:color w:val="auto"/>
                <w:szCs w:val="44"/>
              </w:rPr>
            </w:pPr>
          </w:p>
        </w:tc>
        <w:tc>
          <w:tcPr>
            <w:tcW w:w="650" w:type="dxa"/>
            <w:vAlign w:val="center"/>
          </w:tcPr>
          <w:p w14:paraId="2D35F670">
            <w:pPr>
              <w:jc w:val="center"/>
              <w:rPr>
                <w:rFonts w:ascii="宋体" w:hAnsi="宋体"/>
                <w:color w:val="auto"/>
                <w:szCs w:val="44"/>
              </w:rPr>
            </w:pPr>
          </w:p>
        </w:tc>
        <w:tc>
          <w:tcPr>
            <w:tcW w:w="651" w:type="dxa"/>
            <w:vAlign w:val="center"/>
          </w:tcPr>
          <w:p w14:paraId="2736513A">
            <w:pPr>
              <w:jc w:val="center"/>
              <w:rPr>
                <w:rFonts w:ascii="宋体" w:hAnsi="宋体"/>
                <w:color w:val="auto"/>
                <w:szCs w:val="44"/>
              </w:rPr>
            </w:pPr>
          </w:p>
        </w:tc>
        <w:tc>
          <w:tcPr>
            <w:tcW w:w="818" w:type="dxa"/>
            <w:vAlign w:val="center"/>
          </w:tcPr>
          <w:p w14:paraId="75E83E51">
            <w:pPr>
              <w:jc w:val="center"/>
              <w:rPr>
                <w:rFonts w:ascii="宋体" w:hAnsi="宋体"/>
                <w:color w:val="auto"/>
                <w:szCs w:val="44"/>
              </w:rPr>
            </w:pPr>
          </w:p>
        </w:tc>
      </w:tr>
      <w:tr w14:paraId="378C6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38D2A7BA">
            <w:pPr>
              <w:jc w:val="center"/>
              <w:rPr>
                <w:rFonts w:ascii="宋体" w:hAnsi="宋体"/>
                <w:color w:val="auto"/>
                <w:szCs w:val="44"/>
              </w:rPr>
            </w:pPr>
            <w:r>
              <w:rPr>
                <w:rFonts w:hint="eastAsia" w:ascii="宋体" w:hAnsi="宋体"/>
                <w:color w:val="auto"/>
                <w:szCs w:val="44"/>
              </w:rPr>
              <w:t>4</w:t>
            </w:r>
          </w:p>
        </w:tc>
        <w:tc>
          <w:tcPr>
            <w:tcW w:w="1363" w:type="dxa"/>
            <w:vAlign w:val="center"/>
          </w:tcPr>
          <w:p w14:paraId="549D8277">
            <w:pPr>
              <w:jc w:val="center"/>
              <w:rPr>
                <w:rFonts w:ascii="宋体" w:hAnsi="宋体"/>
                <w:color w:val="auto"/>
                <w:szCs w:val="44"/>
              </w:rPr>
            </w:pPr>
          </w:p>
        </w:tc>
        <w:tc>
          <w:tcPr>
            <w:tcW w:w="650" w:type="dxa"/>
            <w:vAlign w:val="center"/>
          </w:tcPr>
          <w:p w14:paraId="45EAD530">
            <w:pPr>
              <w:jc w:val="center"/>
              <w:rPr>
                <w:color w:val="auto"/>
              </w:rPr>
            </w:pPr>
          </w:p>
        </w:tc>
        <w:tc>
          <w:tcPr>
            <w:tcW w:w="650" w:type="dxa"/>
            <w:vAlign w:val="center"/>
          </w:tcPr>
          <w:p w14:paraId="4F1E6E5E">
            <w:pPr>
              <w:jc w:val="center"/>
              <w:rPr>
                <w:rFonts w:ascii="宋体" w:hAnsi="宋体"/>
                <w:color w:val="auto"/>
                <w:szCs w:val="44"/>
              </w:rPr>
            </w:pPr>
          </w:p>
        </w:tc>
        <w:tc>
          <w:tcPr>
            <w:tcW w:w="650" w:type="dxa"/>
            <w:vAlign w:val="center"/>
          </w:tcPr>
          <w:p w14:paraId="1793A65D">
            <w:pPr>
              <w:jc w:val="center"/>
              <w:rPr>
                <w:rFonts w:ascii="宋体" w:hAnsi="宋体"/>
                <w:color w:val="auto"/>
                <w:szCs w:val="44"/>
              </w:rPr>
            </w:pPr>
          </w:p>
        </w:tc>
        <w:tc>
          <w:tcPr>
            <w:tcW w:w="650" w:type="dxa"/>
            <w:vAlign w:val="center"/>
          </w:tcPr>
          <w:p w14:paraId="5736C292">
            <w:pPr>
              <w:jc w:val="center"/>
              <w:rPr>
                <w:rFonts w:ascii="宋体" w:hAnsi="宋体"/>
                <w:color w:val="auto"/>
                <w:szCs w:val="44"/>
              </w:rPr>
            </w:pPr>
          </w:p>
        </w:tc>
        <w:tc>
          <w:tcPr>
            <w:tcW w:w="650" w:type="dxa"/>
            <w:vAlign w:val="center"/>
          </w:tcPr>
          <w:p w14:paraId="143FD50C">
            <w:pPr>
              <w:jc w:val="center"/>
              <w:rPr>
                <w:rFonts w:ascii="宋体" w:hAnsi="宋体"/>
                <w:color w:val="auto"/>
                <w:szCs w:val="44"/>
              </w:rPr>
            </w:pPr>
          </w:p>
        </w:tc>
        <w:tc>
          <w:tcPr>
            <w:tcW w:w="650" w:type="dxa"/>
            <w:vAlign w:val="center"/>
          </w:tcPr>
          <w:p w14:paraId="6121C974">
            <w:pPr>
              <w:jc w:val="center"/>
              <w:rPr>
                <w:rFonts w:ascii="宋体" w:hAnsi="宋体"/>
                <w:color w:val="auto"/>
                <w:szCs w:val="44"/>
              </w:rPr>
            </w:pPr>
          </w:p>
        </w:tc>
        <w:tc>
          <w:tcPr>
            <w:tcW w:w="650" w:type="dxa"/>
            <w:vAlign w:val="center"/>
          </w:tcPr>
          <w:p w14:paraId="0CFF9BDA">
            <w:pPr>
              <w:jc w:val="center"/>
              <w:rPr>
                <w:rFonts w:ascii="宋体" w:hAnsi="宋体"/>
                <w:color w:val="auto"/>
                <w:szCs w:val="44"/>
              </w:rPr>
            </w:pPr>
          </w:p>
        </w:tc>
        <w:tc>
          <w:tcPr>
            <w:tcW w:w="650" w:type="dxa"/>
            <w:vAlign w:val="center"/>
          </w:tcPr>
          <w:p w14:paraId="1711379A">
            <w:pPr>
              <w:jc w:val="center"/>
              <w:rPr>
                <w:rFonts w:ascii="宋体" w:hAnsi="宋体"/>
                <w:color w:val="auto"/>
                <w:szCs w:val="44"/>
              </w:rPr>
            </w:pPr>
          </w:p>
        </w:tc>
        <w:tc>
          <w:tcPr>
            <w:tcW w:w="651" w:type="dxa"/>
            <w:vAlign w:val="center"/>
          </w:tcPr>
          <w:p w14:paraId="425BDCD6">
            <w:pPr>
              <w:jc w:val="center"/>
              <w:rPr>
                <w:rFonts w:ascii="宋体" w:hAnsi="宋体"/>
                <w:color w:val="auto"/>
                <w:szCs w:val="44"/>
              </w:rPr>
            </w:pPr>
          </w:p>
        </w:tc>
        <w:tc>
          <w:tcPr>
            <w:tcW w:w="818" w:type="dxa"/>
            <w:vAlign w:val="center"/>
          </w:tcPr>
          <w:p w14:paraId="5620B89C">
            <w:pPr>
              <w:jc w:val="center"/>
              <w:rPr>
                <w:rFonts w:ascii="宋体" w:hAnsi="宋体"/>
                <w:color w:val="auto"/>
                <w:szCs w:val="44"/>
              </w:rPr>
            </w:pPr>
          </w:p>
        </w:tc>
      </w:tr>
      <w:tr w14:paraId="55F5B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4146B9C4">
            <w:pPr>
              <w:jc w:val="center"/>
              <w:rPr>
                <w:rFonts w:ascii="宋体" w:hAnsi="宋体"/>
                <w:color w:val="auto"/>
                <w:szCs w:val="44"/>
              </w:rPr>
            </w:pPr>
            <w:r>
              <w:rPr>
                <w:rFonts w:hint="eastAsia" w:ascii="宋体" w:hAnsi="宋体"/>
                <w:color w:val="auto"/>
                <w:szCs w:val="44"/>
              </w:rPr>
              <w:t>5</w:t>
            </w:r>
          </w:p>
        </w:tc>
        <w:tc>
          <w:tcPr>
            <w:tcW w:w="1363" w:type="dxa"/>
            <w:vAlign w:val="center"/>
          </w:tcPr>
          <w:p w14:paraId="5C7650A4">
            <w:pPr>
              <w:jc w:val="center"/>
              <w:rPr>
                <w:rFonts w:ascii="宋体" w:hAnsi="宋体"/>
                <w:color w:val="auto"/>
                <w:szCs w:val="44"/>
              </w:rPr>
            </w:pPr>
          </w:p>
        </w:tc>
        <w:tc>
          <w:tcPr>
            <w:tcW w:w="650" w:type="dxa"/>
            <w:vAlign w:val="center"/>
          </w:tcPr>
          <w:p w14:paraId="31647090">
            <w:pPr>
              <w:jc w:val="center"/>
              <w:rPr>
                <w:color w:val="auto"/>
              </w:rPr>
            </w:pPr>
          </w:p>
        </w:tc>
        <w:tc>
          <w:tcPr>
            <w:tcW w:w="650" w:type="dxa"/>
            <w:vAlign w:val="center"/>
          </w:tcPr>
          <w:p w14:paraId="1E39A205">
            <w:pPr>
              <w:jc w:val="center"/>
              <w:rPr>
                <w:rFonts w:ascii="宋体" w:hAnsi="宋体"/>
                <w:color w:val="auto"/>
                <w:szCs w:val="44"/>
              </w:rPr>
            </w:pPr>
          </w:p>
        </w:tc>
        <w:tc>
          <w:tcPr>
            <w:tcW w:w="650" w:type="dxa"/>
            <w:vAlign w:val="center"/>
          </w:tcPr>
          <w:p w14:paraId="7BF10E4B">
            <w:pPr>
              <w:jc w:val="center"/>
              <w:rPr>
                <w:rFonts w:ascii="宋体" w:hAnsi="宋体"/>
                <w:color w:val="auto"/>
                <w:szCs w:val="44"/>
              </w:rPr>
            </w:pPr>
          </w:p>
        </w:tc>
        <w:tc>
          <w:tcPr>
            <w:tcW w:w="650" w:type="dxa"/>
            <w:vAlign w:val="center"/>
          </w:tcPr>
          <w:p w14:paraId="14299E9A">
            <w:pPr>
              <w:jc w:val="center"/>
              <w:rPr>
                <w:rFonts w:ascii="宋体" w:hAnsi="宋体"/>
                <w:color w:val="auto"/>
                <w:szCs w:val="44"/>
              </w:rPr>
            </w:pPr>
          </w:p>
        </w:tc>
        <w:tc>
          <w:tcPr>
            <w:tcW w:w="650" w:type="dxa"/>
            <w:vAlign w:val="center"/>
          </w:tcPr>
          <w:p w14:paraId="3B8D2EB3">
            <w:pPr>
              <w:jc w:val="center"/>
              <w:rPr>
                <w:rFonts w:ascii="宋体" w:hAnsi="宋体"/>
                <w:color w:val="auto"/>
                <w:szCs w:val="44"/>
              </w:rPr>
            </w:pPr>
          </w:p>
        </w:tc>
        <w:tc>
          <w:tcPr>
            <w:tcW w:w="650" w:type="dxa"/>
            <w:vAlign w:val="center"/>
          </w:tcPr>
          <w:p w14:paraId="5413C21D">
            <w:pPr>
              <w:jc w:val="center"/>
              <w:rPr>
                <w:rFonts w:ascii="宋体" w:hAnsi="宋体"/>
                <w:color w:val="auto"/>
                <w:szCs w:val="44"/>
              </w:rPr>
            </w:pPr>
          </w:p>
        </w:tc>
        <w:tc>
          <w:tcPr>
            <w:tcW w:w="650" w:type="dxa"/>
            <w:vAlign w:val="center"/>
          </w:tcPr>
          <w:p w14:paraId="0B225718">
            <w:pPr>
              <w:jc w:val="center"/>
              <w:rPr>
                <w:rFonts w:ascii="宋体" w:hAnsi="宋体"/>
                <w:color w:val="auto"/>
                <w:szCs w:val="44"/>
              </w:rPr>
            </w:pPr>
          </w:p>
        </w:tc>
        <w:tc>
          <w:tcPr>
            <w:tcW w:w="650" w:type="dxa"/>
            <w:vAlign w:val="center"/>
          </w:tcPr>
          <w:p w14:paraId="6E937684">
            <w:pPr>
              <w:jc w:val="center"/>
              <w:rPr>
                <w:rFonts w:ascii="宋体" w:hAnsi="宋体"/>
                <w:color w:val="auto"/>
                <w:szCs w:val="44"/>
              </w:rPr>
            </w:pPr>
          </w:p>
        </w:tc>
        <w:tc>
          <w:tcPr>
            <w:tcW w:w="651" w:type="dxa"/>
            <w:vAlign w:val="center"/>
          </w:tcPr>
          <w:p w14:paraId="4791A70A">
            <w:pPr>
              <w:jc w:val="center"/>
              <w:rPr>
                <w:rFonts w:ascii="宋体" w:hAnsi="宋体"/>
                <w:color w:val="auto"/>
                <w:szCs w:val="44"/>
              </w:rPr>
            </w:pPr>
          </w:p>
        </w:tc>
        <w:tc>
          <w:tcPr>
            <w:tcW w:w="818" w:type="dxa"/>
            <w:vAlign w:val="center"/>
          </w:tcPr>
          <w:p w14:paraId="63F85BE2">
            <w:pPr>
              <w:jc w:val="center"/>
              <w:rPr>
                <w:rFonts w:ascii="宋体" w:hAnsi="宋体"/>
                <w:color w:val="auto"/>
                <w:szCs w:val="44"/>
              </w:rPr>
            </w:pPr>
          </w:p>
        </w:tc>
      </w:tr>
      <w:tr w14:paraId="35016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36F20CBC">
            <w:pPr>
              <w:jc w:val="center"/>
              <w:rPr>
                <w:rFonts w:ascii="宋体" w:hAnsi="宋体"/>
                <w:color w:val="auto"/>
                <w:szCs w:val="44"/>
              </w:rPr>
            </w:pPr>
            <w:r>
              <w:rPr>
                <w:rFonts w:hint="eastAsia" w:ascii="宋体" w:hAnsi="宋体"/>
                <w:color w:val="auto"/>
                <w:szCs w:val="44"/>
              </w:rPr>
              <w:t>6</w:t>
            </w:r>
          </w:p>
        </w:tc>
        <w:tc>
          <w:tcPr>
            <w:tcW w:w="1363" w:type="dxa"/>
            <w:vAlign w:val="center"/>
          </w:tcPr>
          <w:p w14:paraId="7BFA4C6D">
            <w:pPr>
              <w:jc w:val="center"/>
              <w:rPr>
                <w:rFonts w:ascii="宋体" w:hAnsi="宋体"/>
                <w:color w:val="auto"/>
                <w:szCs w:val="44"/>
              </w:rPr>
            </w:pPr>
          </w:p>
        </w:tc>
        <w:tc>
          <w:tcPr>
            <w:tcW w:w="650" w:type="dxa"/>
            <w:vAlign w:val="center"/>
          </w:tcPr>
          <w:p w14:paraId="0AB61DC6">
            <w:pPr>
              <w:jc w:val="center"/>
              <w:rPr>
                <w:color w:val="auto"/>
              </w:rPr>
            </w:pPr>
          </w:p>
        </w:tc>
        <w:tc>
          <w:tcPr>
            <w:tcW w:w="650" w:type="dxa"/>
            <w:vAlign w:val="center"/>
          </w:tcPr>
          <w:p w14:paraId="37C1674A">
            <w:pPr>
              <w:jc w:val="center"/>
              <w:rPr>
                <w:rFonts w:ascii="宋体" w:hAnsi="宋体"/>
                <w:color w:val="auto"/>
                <w:szCs w:val="44"/>
              </w:rPr>
            </w:pPr>
          </w:p>
        </w:tc>
        <w:tc>
          <w:tcPr>
            <w:tcW w:w="650" w:type="dxa"/>
            <w:vAlign w:val="center"/>
          </w:tcPr>
          <w:p w14:paraId="424BF25E">
            <w:pPr>
              <w:jc w:val="center"/>
              <w:rPr>
                <w:rFonts w:ascii="宋体" w:hAnsi="宋体"/>
                <w:color w:val="auto"/>
                <w:szCs w:val="44"/>
              </w:rPr>
            </w:pPr>
          </w:p>
        </w:tc>
        <w:tc>
          <w:tcPr>
            <w:tcW w:w="650" w:type="dxa"/>
            <w:vAlign w:val="center"/>
          </w:tcPr>
          <w:p w14:paraId="070764AA">
            <w:pPr>
              <w:jc w:val="center"/>
              <w:rPr>
                <w:rFonts w:ascii="宋体" w:hAnsi="宋体"/>
                <w:color w:val="auto"/>
                <w:szCs w:val="44"/>
              </w:rPr>
            </w:pPr>
          </w:p>
        </w:tc>
        <w:tc>
          <w:tcPr>
            <w:tcW w:w="650" w:type="dxa"/>
            <w:vAlign w:val="center"/>
          </w:tcPr>
          <w:p w14:paraId="07924856">
            <w:pPr>
              <w:jc w:val="center"/>
              <w:rPr>
                <w:rFonts w:ascii="宋体" w:hAnsi="宋体"/>
                <w:color w:val="auto"/>
                <w:szCs w:val="44"/>
              </w:rPr>
            </w:pPr>
          </w:p>
        </w:tc>
        <w:tc>
          <w:tcPr>
            <w:tcW w:w="650" w:type="dxa"/>
            <w:vAlign w:val="center"/>
          </w:tcPr>
          <w:p w14:paraId="26598A63">
            <w:pPr>
              <w:jc w:val="center"/>
              <w:rPr>
                <w:rFonts w:ascii="宋体" w:hAnsi="宋体"/>
                <w:color w:val="auto"/>
                <w:szCs w:val="44"/>
              </w:rPr>
            </w:pPr>
          </w:p>
        </w:tc>
        <w:tc>
          <w:tcPr>
            <w:tcW w:w="650" w:type="dxa"/>
            <w:vAlign w:val="center"/>
          </w:tcPr>
          <w:p w14:paraId="3AEED616">
            <w:pPr>
              <w:jc w:val="center"/>
              <w:rPr>
                <w:rFonts w:ascii="宋体" w:hAnsi="宋体"/>
                <w:color w:val="auto"/>
                <w:szCs w:val="44"/>
              </w:rPr>
            </w:pPr>
          </w:p>
        </w:tc>
        <w:tc>
          <w:tcPr>
            <w:tcW w:w="650" w:type="dxa"/>
            <w:vAlign w:val="center"/>
          </w:tcPr>
          <w:p w14:paraId="6B104566">
            <w:pPr>
              <w:jc w:val="center"/>
              <w:rPr>
                <w:rFonts w:ascii="宋体" w:hAnsi="宋体"/>
                <w:color w:val="auto"/>
                <w:szCs w:val="44"/>
              </w:rPr>
            </w:pPr>
          </w:p>
        </w:tc>
        <w:tc>
          <w:tcPr>
            <w:tcW w:w="651" w:type="dxa"/>
            <w:vAlign w:val="center"/>
          </w:tcPr>
          <w:p w14:paraId="0BE18112">
            <w:pPr>
              <w:jc w:val="center"/>
              <w:rPr>
                <w:rFonts w:ascii="宋体" w:hAnsi="宋体"/>
                <w:color w:val="auto"/>
                <w:szCs w:val="44"/>
              </w:rPr>
            </w:pPr>
          </w:p>
        </w:tc>
        <w:tc>
          <w:tcPr>
            <w:tcW w:w="818" w:type="dxa"/>
            <w:vAlign w:val="center"/>
          </w:tcPr>
          <w:p w14:paraId="481A678A">
            <w:pPr>
              <w:jc w:val="center"/>
              <w:rPr>
                <w:rFonts w:ascii="宋体" w:hAnsi="宋体"/>
                <w:color w:val="auto"/>
                <w:szCs w:val="44"/>
              </w:rPr>
            </w:pPr>
          </w:p>
        </w:tc>
      </w:tr>
      <w:tr w14:paraId="0FA3E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64C7CBF5">
            <w:pPr>
              <w:jc w:val="center"/>
              <w:rPr>
                <w:rFonts w:ascii="宋体" w:hAnsi="宋体"/>
                <w:color w:val="auto"/>
                <w:szCs w:val="44"/>
              </w:rPr>
            </w:pPr>
            <w:r>
              <w:rPr>
                <w:rFonts w:hint="eastAsia" w:ascii="宋体" w:hAnsi="宋体"/>
                <w:color w:val="auto"/>
                <w:szCs w:val="44"/>
              </w:rPr>
              <w:t>…</w:t>
            </w:r>
          </w:p>
        </w:tc>
        <w:tc>
          <w:tcPr>
            <w:tcW w:w="1363" w:type="dxa"/>
            <w:vAlign w:val="center"/>
          </w:tcPr>
          <w:p w14:paraId="20AC836F">
            <w:pPr>
              <w:rPr>
                <w:rFonts w:ascii="宋体" w:hAnsi="宋体"/>
                <w:color w:val="auto"/>
                <w:szCs w:val="21"/>
              </w:rPr>
            </w:pPr>
          </w:p>
        </w:tc>
        <w:tc>
          <w:tcPr>
            <w:tcW w:w="650" w:type="dxa"/>
            <w:vAlign w:val="center"/>
          </w:tcPr>
          <w:p w14:paraId="0DB1E718">
            <w:pPr>
              <w:jc w:val="center"/>
              <w:rPr>
                <w:color w:val="auto"/>
              </w:rPr>
            </w:pPr>
          </w:p>
        </w:tc>
        <w:tc>
          <w:tcPr>
            <w:tcW w:w="650" w:type="dxa"/>
            <w:vAlign w:val="center"/>
          </w:tcPr>
          <w:p w14:paraId="0A135C94">
            <w:pPr>
              <w:jc w:val="center"/>
              <w:rPr>
                <w:rFonts w:ascii="宋体" w:hAnsi="宋体"/>
                <w:color w:val="auto"/>
                <w:szCs w:val="44"/>
              </w:rPr>
            </w:pPr>
          </w:p>
        </w:tc>
        <w:tc>
          <w:tcPr>
            <w:tcW w:w="650" w:type="dxa"/>
            <w:vAlign w:val="center"/>
          </w:tcPr>
          <w:p w14:paraId="07EA9AA4">
            <w:pPr>
              <w:jc w:val="center"/>
              <w:rPr>
                <w:rFonts w:ascii="宋体" w:hAnsi="宋体"/>
                <w:color w:val="auto"/>
                <w:szCs w:val="44"/>
              </w:rPr>
            </w:pPr>
          </w:p>
        </w:tc>
        <w:tc>
          <w:tcPr>
            <w:tcW w:w="650" w:type="dxa"/>
            <w:vAlign w:val="center"/>
          </w:tcPr>
          <w:p w14:paraId="38A5357E">
            <w:pPr>
              <w:jc w:val="center"/>
              <w:rPr>
                <w:rFonts w:ascii="宋体" w:hAnsi="宋体"/>
                <w:color w:val="auto"/>
                <w:szCs w:val="44"/>
              </w:rPr>
            </w:pPr>
          </w:p>
        </w:tc>
        <w:tc>
          <w:tcPr>
            <w:tcW w:w="650" w:type="dxa"/>
            <w:vAlign w:val="center"/>
          </w:tcPr>
          <w:p w14:paraId="1AA4DDE9">
            <w:pPr>
              <w:jc w:val="center"/>
              <w:rPr>
                <w:rFonts w:ascii="宋体" w:hAnsi="宋体"/>
                <w:color w:val="auto"/>
                <w:szCs w:val="44"/>
              </w:rPr>
            </w:pPr>
          </w:p>
        </w:tc>
        <w:tc>
          <w:tcPr>
            <w:tcW w:w="650" w:type="dxa"/>
            <w:vAlign w:val="center"/>
          </w:tcPr>
          <w:p w14:paraId="555D68C8">
            <w:pPr>
              <w:jc w:val="center"/>
              <w:rPr>
                <w:rFonts w:ascii="宋体" w:hAnsi="宋体"/>
                <w:color w:val="auto"/>
                <w:szCs w:val="44"/>
              </w:rPr>
            </w:pPr>
          </w:p>
        </w:tc>
        <w:tc>
          <w:tcPr>
            <w:tcW w:w="650" w:type="dxa"/>
            <w:vAlign w:val="center"/>
          </w:tcPr>
          <w:p w14:paraId="2B49990B">
            <w:pPr>
              <w:jc w:val="center"/>
              <w:rPr>
                <w:rFonts w:ascii="宋体" w:hAnsi="宋体"/>
                <w:color w:val="auto"/>
                <w:szCs w:val="44"/>
              </w:rPr>
            </w:pPr>
          </w:p>
        </w:tc>
        <w:tc>
          <w:tcPr>
            <w:tcW w:w="650" w:type="dxa"/>
            <w:vAlign w:val="center"/>
          </w:tcPr>
          <w:p w14:paraId="28345E24">
            <w:pPr>
              <w:jc w:val="center"/>
              <w:rPr>
                <w:rFonts w:ascii="宋体" w:hAnsi="宋体"/>
                <w:color w:val="auto"/>
                <w:szCs w:val="44"/>
              </w:rPr>
            </w:pPr>
          </w:p>
        </w:tc>
        <w:tc>
          <w:tcPr>
            <w:tcW w:w="651" w:type="dxa"/>
            <w:vAlign w:val="center"/>
          </w:tcPr>
          <w:p w14:paraId="4A944375">
            <w:pPr>
              <w:jc w:val="center"/>
              <w:rPr>
                <w:rFonts w:ascii="宋体" w:hAnsi="宋体"/>
                <w:color w:val="auto"/>
                <w:szCs w:val="44"/>
              </w:rPr>
            </w:pPr>
          </w:p>
        </w:tc>
        <w:tc>
          <w:tcPr>
            <w:tcW w:w="818" w:type="dxa"/>
            <w:vAlign w:val="center"/>
          </w:tcPr>
          <w:p w14:paraId="60108644">
            <w:pPr>
              <w:jc w:val="center"/>
              <w:rPr>
                <w:rFonts w:ascii="宋体" w:hAnsi="宋体"/>
                <w:color w:val="auto"/>
                <w:szCs w:val="44"/>
              </w:rPr>
            </w:pPr>
          </w:p>
        </w:tc>
      </w:tr>
      <w:tr w14:paraId="2533E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8742" w:type="dxa"/>
            <w:gridSpan w:val="12"/>
            <w:vAlign w:val="center"/>
          </w:tcPr>
          <w:p w14:paraId="2CDBDD64">
            <w:pPr>
              <w:jc w:val="left"/>
              <w:rPr>
                <w:rFonts w:ascii="宋体" w:hAnsi="宋体"/>
                <w:color w:val="auto"/>
                <w:szCs w:val="44"/>
              </w:rPr>
            </w:pPr>
            <w:r>
              <w:rPr>
                <w:rFonts w:hint="eastAsia"/>
                <w:color w:val="auto"/>
              </w:rPr>
              <w:t xml:space="preserve">评标委员会全体成员签名： </w:t>
            </w:r>
            <w:r>
              <w:rPr>
                <w:rFonts w:hint="eastAsia" w:ascii="宋体" w:hAnsi="宋体"/>
                <w:color w:val="auto"/>
                <w:szCs w:val="44"/>
              </w:rPr>
              <w:t xml:space="preserve"> </w:t>
            </w:r>
          </w:p>
          <w:p w14:paraId="733607D3">
            <w:pPr>
              <w:jc w:val="left"/>
              <w:rPr>
                <w:rFonts w:ascii="宋体" w:hAnsi="宋体"/>
                <w:color w:val="auto"/>
                <w:szCs w:val="44"/>
              </w:rPr>
            </w:pPr>
          </w:p>
          <w:p w14:paraId="3984FB8F">
            <w:pPr>
              <w:jc w:val="left"/>
              <w:rPr>
                <w:rFonts w:ascii="宋体" w:hAnsi="宋体"/>
                <w:color w:val="auto"/>
                <w:szCs w:val="44"/>
              </w:rPr>
            </w:pPr>
          </w:p>
          <w:p w14:paraId="76BFCCAD">
            <w:pPr>
              <w:jc w:val="left"/>
              <w:rPr>
                <w:rFonts w:ascii="宋体" w:hAnsi="宋体"/>
                <w:color w:val="auto"/>
                <w:szCs w:val="44"/>
              </w:rPr>
            </w:pPr>
          </w:p>
          <w:p w14:paraId="60A20E1D">
            <w:pPr>
              <w:jc w:val="left"/>
              <w:rPr>
                <w:rFonts w:ascii="宋体" w:hAnsi="宋体"/>
                <w:color w:val="auto"/>
                <w:szCs w:val="44"/>
              </w:rPr>
            </w:pPr>
          </w:p>
          <w:p w14:paraId="32BFB79B">
            <w:pPr>
              <w:jc w:val="center"/>
              <w:rPr>
                <w:rFonts w:ascii="宋体" w:hAnsi="宋体"/>
                <w:color w:val="auto"/>
                <w:szCs w:val="44"/>
              </w:rPr>
            </w:pPr>
          </w:p>
        </w:tc>
      </w:tr>
    </w:tbl>
    <w:p w14:paraId="090C667A">
      <w:pPr>
        <w:spacing w:line="400" w:lineRule="exact"/>
        <w:ind w:left="840" w:leftChars="400" w:firstLine="3780" w:firstLineChars="1800"/>
        <w:rPr>
          <w:rFonts w:ascii="宋体" w:hAnsi="宋体"/>
          <w:color w:val="auto"/>
          <w:szCs w:val="44"/>
        </w:rPr>
      </w:pPr>
      <w:r>
        <w:rPr>
          <w:rFonts w:hint="eastAsia" w:ascii="宋体" w:hAnsi="宋体"/>
          <w:color w:val="auto"/>
          <w:szCs w:val="44"/>
        </w:rPr>
        <w:t xml:space="preserve">          日期：    年    月    日</w:t>
      </w:r>
    </w:p>
    <w:p w14:paraId="15D5F2C9">
      <w:pPr>
        <w:rPr>
          <w:rFonts w:ascii="宋体" w:hAnsi="宋体"/>
          <w:color w:val="auto"/>
          <w:szCs w:val="44"/>
        </w:rPr>
      </w:pPr>
    </w:p>
    <w:p w14:paraId="40B3CDE1">
      <w:pPr>
        <w:rPr>
          <w:rFonts w:ascii="宋体" w:hAnsi="宋体"/>
          <w:color w:val="auto"/>
          <w:szCs w:val="44"/>
        </w:rPr>
      </w:pPr>
      <w:r>
        <w:rPr>
          <w:rFonts w:ascii="宋体" w:hAnsi="宋体"/>
          <w:color w:val="auto"/>
          <w:szCs w:val="44"/>
        </w:rPr>
        <w:br w:type="page"/>
      </w:r>
    </w:p>
    <w:p w14:paraId="2D803678">
      <w:pPr>
        <w:pStyle w:val="27"/>
        <w:rPr>
          <w:rFonts w:ascii="黑体" w:hAnsi="宋体"/>
          <w:color w:val="auto"/>
        </w:rPr>
      </w:pPr>
      <w:bookmarkStart w:id="672" w:name="_Toc165804451"/>
      <w:bookmarkStart w:id="673" w:name="_Toc564"/>
      <w:r>
        <w:rPr>
          <w:rFonts w:hint="eastAsia"/>
          <w:color w:val="auto"/>
        </w:rPr>
        <w:t>附表A-5：资格评审记录表</w:t>
      </w:r>
      <w:bookmarkEnd w:id="672"/>
      <w:bookmarkEnd w:id="673"/>
    </w:p>
    <w:p w14:paraId="2D39B541">
      <w:pPr>
        <w:spacing w:after="240" w:afterLines="100"/>
        <w:jc w:val="center"/>
        <w:rPr>
          <w:rFonts w:ascii="黑体" w:hAnsi="宋体" w:eastAsia="黑体"/>
          <w:color w:val="auto"/>
          <w:sz w:val="36"/>
          <w:szCs w:val="36"/>
        </w:rPr>
      </w:pPr>
    </w:p>
    <w:p w14:paraId="59F9E264">
      <w:pPr>
        <w:adjustRightInd w:val="0"/>
        <w:snapToGrid w:val="0"/>
        <w:spacing w:before="240" w:beforeLines="100" w:after="240" w:afterLines="100" w:line="440" w:lineRule="exact"/>
        <w:jc w:val="center"/>
        <w:rPr>
          <w:rFonts w:ascii="黑体" w:hAnsi="黑体" w:eastAsia="黑体"/>
          <w:color w:val="auto"/>
          <w:sz w:val="36"/>
          <w:szCs w:val="36"/>
        </w:rPr>
      </w:pPr>
      <w:bookmarkStart w:id="674" w:name="_Toc21096"/>
      <w:bookmarkStart w:id="675" w:name="_Toc148976156"/>
      <w:bookmarkStart w:id="676" w:name="_Toc148971948"/>
      <w:r>
        <w:rPr>
          <w:rFonts w:hint="eastAsia" w:ascii="黑体" w:hAnsi="黑体" w:eastAsia="黑体"/>
          <w:color w:val="auto"/>
          <w:sz w:val="36"/>
          <w:szCs w:val="36"/>
        </w:rPr>
        <w:t>资格评审记录表</w:t>
      </w:r>
      <w:bookmarkEnd w:id="674"/>
      <w:bookmarkEnd w:id="675"/>
      <w:bookmarkEnd w:id="676"/>
    </w:p>
    <w:p w14:paraId="792DF9FA">
      <w:pPr>
        <w:rPr>
          <w:rFonts w:ascii="宋体" w:hAnsi="宋体"/>
          <w:color w:val="auto"/>
          <w:szCs w:val="44"/>
        </w:rPr>
      </w:pPr>
      <w:r>
        <w:rPr>
          <w:rFonts w:hint="eastAsia" w:ascii="宋体" w:hAnsi="宋体"/>
          <w:color w:val="auto"/>
          <w:szCs w:val="44"/>
        </w:rPr>
        <w:t>标段名称：</w:t>
      </w:r>
    </w:p>
    <w:p w14:paraId="07806125">
      <w:pPr>
        <w:rPr>
          <w:rFonts w:ascii="宋体" w:hAnsi="宋体"/>
          <w:color w:val="auto"/>
          <w:szCs w:val="44"/>
        </w:rPr>
      </w:pPr>
      <w:r>
        <w:rPr>
          <w:rFonts w:hint="eastAsia"/>
          <w:color w:val="auto"/>
          <w:szCs w:val="44"/>
        </w:rPr>
        <w:t>标段唯一标识码：</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3"/>
        <w:gridCol w:w="1393"/>
        <w:gridCol w:w="633"/>
        <w:gridCol w:w="633"/>
        <w:gridCol w:w="633"/>
        <w:gridCol w:w="633"/>
        <w:gridCol w:w="633"/>
        <w:gridCol w:w="633"/>
        <w:gridCol w:w="633"/>
        <w:gridCol w:w="633"/>
        <w:gridCol w:w="634"/>
        <w:gridCol w:w="804"/>
      </w:tblGrid>
      <w:tr w14:paraId="44DFA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41" w:type="dxa"/>
            <w:vMerge w:val="restart"/>
            <w:vAlign w:val="center"/>
          </w:tcPr>
          <w:p w14:paraId="2785C99C">
            <w:pPr>
              <w:jc w:val="center"/>
              <w:rPr>
                <w:rFonts w:ascii="宋体" w:hAnsi="宋体"/>
                <w:b/>
                <w:bCs/>
                <w:color w:val="auto"/>
                <w:szCs w:val="44"/>
              </w:rPr>
            </w:pPr>
            <w:r>
              <w:rPr>
                <w:rFonts w:hint="eastAsia" w:ascii="宋体" w:hAnsi="宋体"/>
                <w:b/>
                <w:bCs/>
                <w:color w:val="auto"/>
                <w:szCs w:val="44"/>
              </w:rPr>
              <w:t>序号</w:t>
            </w:r>
          </w:p>
        </w:tc>
        <w:tc>
          <w:tcPr>
            <w:tcW w:w="1432" w:type="dxa"/>
            <w:vMerge w:val="restart"/>
            <w:vAlign w:val="center"/>
          </w:tcPr>
          <w:p w14:paraId="41D68B8C">
            <w:pPr>
              <w:jc w:val="center"/>
              <w:rPr>
                <w:rFonts w:ascii="宋体" w:hAnsi="宋体"/>
                <w:b/>
                <w:bCs/>
                <w:color w:val="auto"/>
                <w:szCs w:val="44"/>
              </w:rPr>
            </w:pPr>
            <w:r>
              <w:rPr>
                <w:rFonts w:hint="eastAsia" w:ascii="宋体" w:hAnsi="宋体"/>
                <w:b/>
                <w:bCs/>
                <w:color w:val="auto"/>
                <w:szCs w:val="44"/>
              </w:rPr>
              <w:t>投标人名称</w:t>
            </w:r>
          </w:p>
        </w:tc>
        <w:tc>
          <w:tcPr>
            <w:tcW w:w="5851" w:type="dxa"/>
            <w:gridSpan w:val="9"/>
            <w:vAlign w:val="center"/>
          </w:tcPr>
          <w:p w14:paraId="2C2C764E">
            <w:pPr>
              <w:jc w:val="center"/>
              <w:rPr>
                <w:rFonts w:ascii="宋体" w:hAnsi="宋体"/>
                <w:b/>
                <w:bCs/>
                <w:color w:val="auto"/>
                <w:szCs w:val="44"/>
              </w:rPr>
            </w:pPr>
            <w:r>
              <w:rPr>
                <w:rFonts w:hint="eastAsia" w:ascii="宋体" w:hAnsi="宋体"/>
                <w:b/>
                <w:bCs/>
                <w:color w:val="auto"/>
                <w:szCs w:val="44"/>
              </w:rPr>
              <w:t>评审标准及评审意见</w:t>
            </w:r>
          </w:p>
        </w:tc>
        <w:tc>
          <w:tcPr>
            <w:tcW w:w="818" w:type="dxa"/>
            <w:vMerge w:val="restart"/>
            <w:vAlign w:val="center"/>
          </w:tcPr>
          <w:p w14:paraId="4E26F605">
            <w:pPr>
              <w:jc w:val="center"/>
              <w:rPr>
                <w:rFonts w:ascii="宋体" w:hAnsi="宋体"/>
                <w:b/>
                <w:bCs/>
                <w:color w:val="auto"/>
                <w:szCs w:val="44"/>
              </w:rPr>
            </w:pPr>
            <w:r>
              <w:rPr>
                <w:rFonts w:ascii="宋体" w:hAnsi="宋体"/>
                <w:b/>
                <w:bCs/>
                <w:color w:val="auto"/>
                <w:szCs w:val="21"/>
              </w:rPr>
              <w:t>评审结论</w:t>
            </w:r>
          </w:p>
        </w:tc>
      </w:tr>
      <w:tr w14:paraId="4ADCD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41" w:type="dxa"/>
            <w:vMerge w:val="continue"/>
            <w:vAlign w:val="center"/>
          </w:tcPr>
          <w:p w14:paraId="0F39C834">
            <w:pPr>
              <w:jc w:val="center"/>
              <w:rPr>
                <w:rFonts w:ascii="宋体" w:hAnsi="宋体"/>
                <w:color w:val="auto"/>
                <w:szCs w:val="44"/>
              </w:rPr>
            </w:pPr>
          </w:p>
        </w:tc>
        <w:tc>
          <w:tcPr>
            <w:tcW w:w="1432" w:type="dxa"/>
            <w:vMerge w:val="continue"/>
          </w:tcPr>
          <w:p w14:paraId="402B5FD9">
            <w:pPr>
              <w:jc w:val="center"/>
              <w:rPr>
                <w:rFonts w:ascii="宋体" w:hAnsi="宋体"/>
                <w:color w:val="auto"/>
                <w:szCs w:val="44"/>
              </w:rPr>
            </w:pPr>
          </w:p>
        </w:tc>
        <w:tc>
          <w:tcPr>
            <w:tcW w:w="650" w:type="dxa"/>
            <w:vAlign w:val="center"/>
          </w:tcPr>
          <w:p w14:paraId="6BC7A681">
            <w:pPr>
              <w:jc w:val="center"/>
              <w:rPr>
                <w:rFonts w:ascii="宋体" w:hAnsi="宋体"/>
                <w:color w:val="auto"/>
                <w:szCs w:val="44"/>
              </w:rPr>
            </w:pPr>
          </w:p>
        </w:tc>
        <w:tc>
          <w:tcPr>
            <w:tcW w:w="650" w:type="dxa"/>
            <w:vAlign w:val="center"/>
          </w:tcPr>
          <w:p w14:paraId="4333AA94">
            <w:pPr>
              <w:jc w:val="center"/>
              <w:rPr>
                <w:rFonts w:ascii="宋体" w:hAnsi="宋体"/>
                <w:color w:val="auto"/>
                <w:szCs w:val="44"/>
              </w:rPr>
            </w:pPr>
          </w:p>
        </w:tc>
        <w:tc>
          <w:tcPr>
            <w:tcW w:w="650" w:type="dxa"/>
            <w:vAlign w:val="center"/>
          </w:tcPr>
          <w:p w14:paraId="346D9FA7">
            <w:pPr>
              <w:jc w:val="center"/>
              <w:rPr>
                <w:rFonts w:ascii="宋体" w:hAnsi="宋体"/>
                <w:color w:val="auto"/>
                <w:szCs w:val="44"/>
              </w:rPr>
            </w:pPr>
          </w:p>
        </w:tc>
        <w:tc>
          <w:tcPr>
            <w:tcW w:w="650" w:type="dxa"/>
            <w:vAlign w:val="center"/>
          </w:tcPr>
          <w:p w14:paraId="3AD59DDA">
            <w:pPr>
              <w:jc w:val="center"/>
              <w:rPr>
                <w:rFonts w:ascii="宋体" w:hAnsi="宋体"/>
                <w:color w:val="auto"/>
                <w:szCs w:val="44"/>
              </w:rPr>
            </w:pPr>
          </w:p>
        </w:tc>
        <w:tc>
          <w:tcPr>
            <w:tcW w:w="650" w:type="dxa"/>
            <w:vAlign w:val="center"/>
          </w:tcPr>
          <w:p w14:paraId="4805505C">
            <w:pPr>
              <w:jc w:val="center"/>
              <w:rPr>
                <w:rFonts w:ascii="宋体" w:hAnsi="宋体"/>
                <w:color w:val="auto"/>
                <w:szCs w:val="44"/>
              </w:rPr>
            </w:pPr>
          </w:p>
        </w:tc>
        <w:tc>
          <w:tcPr>
            <w:tcW w:w="650" w:type="dxa"/>
            <w:vAlign w:val="center"/>
          </w:tcPr>
          <w:p w14:paraId="258F3A15">
            <w:pPr>
              <w:jc w:val="center"/>
              <w:rPr>
                <w:rFonts w:ascii="宋体" w:hAnsi="宋体"/>
                <w:color w:val="auto"/>
                <w:szCs w:val="44"/>
              </w:rPr>
            </w:pPr>
          </w:p>
        </w:tc>
        <w:tc>
          <w:tcPr>
            <w:tcW w:w="650" w:type="dxa"/>
            <w:vAlign w:val="center"/>
          </w:tcPr>
          <w:p w14:paraId="70238454">
            <w:pPr>
              <w:jc w:val="center"/>
              <w:rPr>
                <w:rFonts w:ascii="宋体" w:hAnsi="宋体"/>
                <w:color w:val="auto"/>
                <w:szCs w:val="44"/>
              </w:rPr>
            </w:pPr>
          </w:p>
        </w:tc>
        <w:tc>
          <w:tcPr>
            <w:tcW w:w="650" w:type="dxa"/>
            <w:vAlign w:val="center"/>
          </w:tcPr>
          <w:p w14:paraId="16A49E29">
            <w:pPr>
              <w:jc w:val="center"/>
              <w:rPr>
                <w:rFonts w:ascii="宋体" w:hAnsi="宋体"/>
                <w:color w:val="auto"/>
                <w:szCs w:val="44"/>
              </w:rPr>
            </w:pPr>
          </w:p>
        </w:tc>
        <w:tc>
          <w:tcPr>
            <w:tcW w:w="651" w:type="dxa"/>
            <w:vAlign w:val="center"/>
          </w:tcPr>
          <w:p w14:paraId="093838E0">
            <w:pPr>
              <w:jc w:val="center"/>
              <w:rPr>
                <w:rFonts w:ascii="宋体" w:hAnsi="宋体"/>
                <w:color w:val="auto"/>
                <w:szCs w:val="44"/>
              </w:rPr>
            </w:pPr>
          </w:p>
        </w:tc>
        <w:tc>
          <w:tcPr>
            <w:tcW w:w="818" w:type="dxa"/>
            <w:vMerge w:val="continue"/>
            <w:vAlign w:val="center"/>
          </w:tcPr>
          <w:p w14:paraId="057738E9">
            <w:pPr>
              <w:jc w:val="center"/>
              <w:rPr>
                <w:rFonts w:ascii="宋体" w:hAnsi="宋体"/>
                <w:color w:val="auto"/>
                <w:szCs w:val="44"/>
              </w:rPr>
            </w:pPr>
          </w:p>
        </w:tc>
      </w:tr>
      <w:tr w14:paraId="69990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45E2F9AB">
            <w:pPr>
              <w:jc w:val="center"/>
              <w:rPr>
                <w:rFonts w:ascii="宋体" w:hAnsi="宋体"/>
                <w:color w:val="auto"/>
                <w:szCs w:val="44"/>
              </w:rPr>
            </w:pPr>
            <w:r>
              <w:rPr>
                <w:rFonts w:hint="eastAsia" w:ascii="宋体" w:hAnsi="宋体"/>
                <w:color w:val="auto"/>
                <w:szCs w:val="44"/>
              </w:rPr>
              <w:t>1</w:t>
            </w:r>
          </w:p>
        </w:tc>
        <w:tc>
          <w:tcPr>
            <w:tcW w:w="1432" w:type="dxa"/>
            <w:vAlign w:val="center"/>
          </w:tcPr>
          <w:p w14:paraId="5559F609">
            <w:pPr>
              <w:jc w:val="center"/>
              <w:rPr>
                <w:rFonts w:ascii="宋体" w:hAnsi="宋体"/>
                <w:color w:val="auto"/>
                <w:szCs w:val="21"/>
              </w:rPr>
            </w:pPr>
          </w:p>
        </w:tc>
        <w:tc>
          <w:tcPr>
            <w:tcW w:w="650" w:type="dxa"/>
            <w:vAlign w:val="center"/>
          </w:tcPr>
          <w:p w14:paraId="7BE68209">
            <w:pPr>
              <w:jc w:val="center"/>
              <w:rPr>
                <w:rFonts w:ascii="宋体" w:hAnsi="宋体"/>
                <w:color w:val="auto"/>
                <w:szCs w:val="21"/>
              </w:rPr>
            </w:pPr>
          </w:p>
        </w:tc>
        <w:tc>
          <w:tcPr>
            <w:tcW w:w="650" w:type="dxa"/>
            <w:vAlign w:val="center"/>
          </w:tcPr>
          <w:p w14:paraId="51014253">
            <w:pPr>
              <w:jc w:val="center"/>
              <w:rPr>
                <w:rFonts w:ascii="宋体" w:hAnsi="宋体"/>
                <w:color w:val="auto"/>
                <w:szCs w:val="44"/>
              </w:rPr>
            </w:pPr>
          </w:p>
        </w:tc>
        <w:tc>
          <w:tcPr>
            <w:tcW w:w="650" w:type="dxa"/>
            <w:vAlign w:val="center"/>
          </w:tcPr>
          <w:p w14:paraId="043EA241">
            <w:pPr>
              <w:jc w:val="center"/>
              <w:rPr>
                <w:rFonts w:ascii="宋体" w:hAnsi="宋体"/>
                <w:color w:val="auto"/>
                <w:szCs w:val="44"/>
              </w:rPr>
            </w:pPr>
          </w:p>
        </w:tc>
        <w:tc>
          <w:tcPr>
            <w:tcW w:w="650" w:type="dxa"/>
            <w:vAlign w:val="center"/>
          </w:tcPr>
          <w:p w14:paraId="0E28EABE">
            <w:pPr>
              <w:jc w:val="center"/>
              <w:rPr>
                <w:rFonts w:ascii="宋体" w:hAnsi="宋体"/>
                <w:color w:val="auto"/>
                <w:szCs w:val="44"/>
              </w:rPr>
            </w:pPr>
          </w:p>
        </w:tc>
        <w:tc>
          <w:tcPr>
            <w:tcW w:w="650" w:type="dxa"/>
            <w:vAlign w:val="center"/>
          </w:tcPr>
          <w:p w14:paraId="0C7710BC">
            <w:pPr>
              <w:jc w:val="center"/>
              <w:rPr>
                <w:rFonts w:ascii="宋体" w:hAnsi="宋体"/>
                <w:color w:val="auto"/>
                <w:szCs w:val="44"/>
              </w:rPr>
            </w:pPr>
          </w:p>
        </w:tc>
        <w:tc>
          <w:tcPr>
            <w:tcW w:w="650" w:type="dxa"/>
            <w:vAlign w:val="center"/>
          </w:tcPr>
          <w:p w14:paraId="021835CB">
            <w:pPr>
              <w:jc w:val="center"/>
              <w:rPr>
                <w:rFonts w:ascii="宋体" w:hAnsi="宋体"/>
                <w:color w:val="auto"/>
                <w:szCs w:val="44"/>
              </w:rPr>
            </w:pPr>
          </w:p>
        </w:tc>
        <w:tc>
          <w:tcPr>
            <w:tcW w:w="650" w:type="dxa"/>
            <w:vAlign w:val="center"/>
          </w:tcPr>
          <w:p w14:paraId="565FEAB4">
            <w:pPr>
              <w:jc w:val="center"/>
              <w:rPr>
                <w:rFonts w:ascii="宋体" w:hAnsi="宋体"/>
                <w:color w:val="auto"/>
                <w:szCs w:val="44"/>
              </w:rPr>
            </w:pPr>
          </w:p>
        </w:tc>
        <w:tc>
          <w:tcPr>
            <w:tcW w:w="650" w:type="dxa"/>
            <w:vAlign w:val="center"/>
          </w:tcPr>
          <w:p w14:paraId="0CEDC80F">
            <w:pPr>
              <w:jc w:val="center"/>
              <w:rPr>
                <w:rFonts w:ascii="宋体" w:hAnsi="宋体"/>
                <w:color w:val="auto"/>
                <w:szCs w:val="44"/>
              </w:rPr>
            </w:pPr>
          </w:p>
        </w:tc>
        <w:tc>
          <w:tcPr>
            <w:tcW w:w="651" w:type="dxa"/>
            <w:vAlign w:val="center"/>
          </w:tcPr>
          <w:p w14:paraId="1B4AF21B">
            <w:pPr>
              <w:jc w:val="center"/>
              <w:rPr>
                <w:rFonts w:ascii="宋体" w:hAnsi="宋体"/>
                <w:color w:val="auto"/>
                <w:szCs w:val="44"/>
              </w:rPr>
            </w:pPr>
          </w:p>
        </w:tc>
        <w:tc>
          <w:tcPr>
            <w:tcW w:w="818" w:type="dxa"/>
            <w:vAlign w:val="center"/>
          </w:tcPr>
          <w:p w14:paraId="419CB93A">
            <w:pPr>
              <w:jc w:val="center"/>
              <w:rPr>
                <w:rFonts w:ascii="宋体" w:hAnsi="宋体"/>
                <w:color w:val="auto"/>
                <w:szCs w:val="44"/>
              </w:rPr>
            </w:pPr>
          </w:p>
        </w:tc>
      </w:tr>
      <w:tr w14:paraId="54FFF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25FF4854">
            <w:pPr>
              <w:jc w:val="center"/>
              <w:rPr>
                <w:rFonts w:ascii="宋体" w:hAnsi="宋体"/>
                <w:color w:val="auto"/>
                <w:szCs w:val="44"/>
              </w:rPr>
            </w:pPr>
            <w:r>
              <w:rPr>
                <w:rFonts w:hint="eastAsia" w:ascii="宋体" w:hAnsi="宋体"/>
                <w:color w:val="auto"/>
                <w:szCs w:val="44"/>
              </w:rPr>
              <w:t>2</w:t>
            </w:r>
          </w:p>
        </w:tc>
        <w:tc>
          <w:tcPr>
            <w:tcW w:w="1432" w:type="dxa"/>
            <w:vAlign w:val="center"/>
          </w:tcPr>
          <w:p w14:paraId="43286F34">
            <w:pPr>
              <w:jc w:val="center"/>
              <w:rPr>
                <w:rFonts w:ascii="宋体" w:hAnsi="宋体"/>
                <w:color w:val="auto"/>
                <w:szCs w:val="44"/>
              </w:rPr>
            </w:pPr>
          </w:p>
        </w:tc>
        <w:tc>
          <w:tcPr>
            <w:tcW w:w="650" w:type="dxa"/>
            <w:vAlign w:val="center"/>
          </w:tcPr>
          <w:p w14:paraId="3BBF4A71">
            <w:pPr>
              <w:jc w:val="center"/>
              <w:rPr>
                <w:color w:val="auto"/>
              </w:rPr>
            </w:pPr>
          </w:p>
        </w:tc>
        <w:tc>
          <w:tcPr>
            <w:tcW w:w="650" w:type="dxa"/>
            <w:vAlign w:val="center"/>
          </w:tcPr>
          <w:p w14:paraId="2681885F">
            <w:pPr>
              <w:jc w:val="center"/>
              <w:rPr>
                <w:rFonts w:ascii="宋体" w:hAnsi="宋体"/>
                <w:color w:val="auto"/>
                <w:szCs w:val="44"/>
              </w:rPr>
            </w:pPr>
          </w:p>
        </w:tc>
        <w:tc>
          <w:tcPr>
            <w:tcW w:w="650" w:type="dxa"/>
            <w:vAlign w:val="center"/>
          </w:tcPr>
          <w:p w14:paraId="54E4625F">
            <w:pPr>
              <w:jc w:val="center"/>
              <w:rPr>
                <w:rFonts w:ascii="宋体" w:hAnsi="宋体"/>
                <w:color w:val="auto"/>
                <w:szCs w:val="44"/>
              </w:rPr>
            </w:pPr>
          </w:p>
        </w:tc>
        <w:tc>
          <w:tcPr>
            <w:tcW w:w="650" w:type="dxa"/>
            <w:vAlign w:val="center"/>
          </w:tcPr>
          <w:p w14:paraId="7DB29AA4">
            <w:pPr>
              <w:jc w:val="center"/>
              <w:rPr>
                <w:rFonts w:ascii="宋体" w:hAnsi="宋体"/>
                <w:color w:val="auto"/>
                <w:szCs w:val="44"/>
              </w:rPr>
            </w:pPr>
          </w:p>
        </w:tc>
        <w:tc>
          <w:tcPr>
            <w:tcW w:w="650" w:type="dxa"/>
            <w:vAlign w:val="center"/>
          </w:tcPr>
          <w:p w14:paraId="341A01DA">
            <w:pPr>
              <w:jc w:val="center"/>
              <w:rPr>
                <w:rFonts w:ascii="宋体" w:hAnsi="宋体"/>
                <w:color w:val="auto"/>
                <w:szCs w:val="44"/>
              </w:rPr>
            </w:pPr>
          </w:p>
        </w:tc>
        <w:tc>
          <w:tcPr>
            <w:tcW w:w="650" w:type="dxa"/>
            <w:vAlign w:val="center"/>
          </w:tcPr>
          <w:p w14:paraId="6003EF0E">
            <w:pPr>
              <w:jc w:val="center"/>
              <w:rPr>
                <w:rFonts w:ascii="宋体" w:hAnsi="宋体"/>
                <w:color w:val="auto"/>
                <w:szCs w:val="44"/>
              </w:rPr>
            </w:pPr>
          </w:p>
        </w:tc>
        <w:tc>
          <w:tcPr>
            <w:tcW w:w="650" w:type="dxa"/>
            <w:vAlign w:val="center"/>
          </w:tcPr>
          <w:p w14:paraId="1E37849F">
            <w:pPr>
              <w:jc w:val="center"/>
              <w:rPr>
                <w:rFonts w:ascii="宋体" w:hAnsi="宋体"/>
                <w:color w:val="auto"/>
                <w:szCs w:val="44"/>
              </w:rPr>
            </w:pPr>
          </w:p>
        </w:tc>
        <w:tc>
          <w:tcPr>
            <w:tcW w:w="650" w:type="dxa"/>
            <w:vAlign w:val="center"/>
          </w:tcPr>
          <w:p w14:paraId="19B06EB4">
            <w:pPr>
              <w:jc w:val="center"/>
              <w:rPr>
                <w:rFonts w:ascii="宋体" w:hAnsi="宋体"/>
                <w:color w:val="auto"/>
                <w:szCs w:val="44"/>
              </w:rPr>
            </w:pPr>
          </w:p>
        </w:tc>
        <w:tc>
          <w:tcPr>
            <w:tcW w:w="651" w:type="dxa"/>
            <w:vAlign w:val="center"/>
          </w:tcPr>
          <w:p w14:paraId="7FCCB63F">
            <w:pPr>
              <w:jc w:val="center"/>
              <w:rPr>
                <w:rFonts w:ascii="宋体" w:hAnsi="宋体"/>
                <w:color w:val="auto"/>
                <w:szCs w:val="44"/>
              </w:rPr>
            </w:pPr>
          </w:p>
        </w:tc>
        <w:tc>
          <w:tcPr>
            <w:tcW w:w="818" w:type="dxa"/>
            <w:vAlign w:val="center"/>
          </w:tcPr>
          <w:p w14:paraId="1709125F">
            <w:pPr>
              <w:jc w:val="center"/>
              <w:rPr>
                <w:rFonts w:ascii="宋体" w:hAnsi="宋体"/>
                <w:color w:val="auto"/>
                <w:szCs w:val="44"/>
              </w:rPr>
            </w:pPr>
          </w:p>
        </w:tc>
      </w:tr>
      <w:tr w14:paraId="29A35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73E736DE">
            <w:pPr>
              <w:jc w:val="center"/>
              <w:rPr>
                <w:rFonts w:ascii="宋体" w:hAnsi="宋体"/>
                <w:color w:val="auto"/>
                <w:szCs w:val="44"/>
              </w:rPr>
            </w:pPr>
            <w:r>
              <w:rPr>
                <w:rFonts w:hint="eastAsia" w:ascii="宋体" w:hAnsi="宋体"/>
                <w:color w:val="auto"/>
                <w:szCs w:val="44"/>
              </w:rPr>
              <w:t>3</w:t>
            </w:r>
          </w:p>
        </w:tc>
        <w:tc>
          <w:tcPr>
            <w:tcW w:w="1432" w:type="dxa"/>
            <w:vAlign w:val="center"/>
          </w:tcPr>
          <w:p w14:paraId="7C4D59B7">
            <w:pPr>
              <w:jc w:val="center"/>
              <w:rPr>
                <w:rFonts w:ascii="宋体" w:hAnsi="宋体"/>
                <w:color w:val="auto"/>
                <w:szCs w:val="44"/>
              </w:rPr>
            </w:pPr>
          </w:p>
        </w:tc>
        <w:tc>
          <w:tcPr>
            <w:tcW w:w="650" w:type="dxa"/>
            <w:vAlign w:val="center"/>
          </w:tcPr>
          <w:p w14:paraId="13550230">
            <w:pPr>
              <w:jc w:val="center"/>
              <w:rPr>
                <w:color w:val="auto"/>
              </w:rPr>
            </w:pPr>
          </w:p>
        </w:tc>
        <w:tc>
          <w:tcPr>
            <w:tcW w:w="650" w:type="dxa"/>
            <w:vAlign w:val="center"/>
          </w:tcPr>
          <w:p w14:paraId="1B4F8774">
            <w:pPr>
              <w:jc w:val="center"/>
              <w:rPr>
                <w:rFonts w:ascii="宋体" w:hAnsi="宋体"/>
                <w:color w:val="auto"/>
                <w:szCs w:val="44"/>
              </w:rPr>
            </w:pPr>
          </w:p>
        </w:tc>
        <w:tc>
          <w:tcPr>
            <w:tcW w:w="650" w:type="dxa"/>
            <w:vAlign w:val="center"/>
          </w:tcPr>
          <w:p w14:paraId="7EAC9BA2">
            <w:pPr>
              <w:jc w:val="center"/>
              <w:rPr>
                <w:rFonts w:ascii="宋体" w:hAnsi="宋体"/>
                <w:color w:val="auto"/>
                <w:szCs w:val="44"/>
              </w:rPr>
            </w:pPr>
          </w:p>
        </w:tc>
        <w:tc>
          <w:tcPr>
            <w:tcW w:w="650" w:type="dxa"/>
            <w:vAlign w:val="center"/>
          </w:tcPr>
          <w:p w14:paraId="00782781">
            <w:pPr>
              <w:jc w:val="center"/>
              <w:rPr>
                <w:rFonts w:ascii="宋体" w:hAnsi="宋体"/>
                <w:color w:val="auto"/>
                <w:szCs w:val="44"/>
              </w:rPr>
            </w:pPr>
          </w:p>
        </w:tc>
        <w:tc>
          <w:tcPr>
            <w:tcW w:w="650" w:type="dxa"/>
            <w:vAlign w:val="center"/>
          </w:tcPr>
          <w:p w14:paraId="693B7647">
            <w:pPr>
              <w:jc w:val="center"/>
              <w:rPr>
                <w:rFonts w:ascii="宋体" w:hAnsi="宋体"/>
                <w:color w:val="auto"/>
                <w:szCs w:val="44"/>
              </w:rPr>
            </w:pPr>
          </w:p>
        </w:tc>
        <w:tc>
          <w:tcPr>
            <w:tcW w:w="650" w:type="dxa"/>
            <w:vAlign w:val="center"/>
          </w:tcPr>
          <w:p w14:paraId="1B1FBE8A">
            <w:pPr>
              <w:jc w:val="center"/>
              <w:rPr>
                <w:rFonts w:ascii="宋体" w:hAnsi="宋体"/>
                <w:color w:val="auto"/>
                <w:szCs w:val="44"/>
              </w:rPr>
            </w:pPr>
          </w:p>
        </w:tc>
        <w:tc>
          <w:tcPr>
            <w:tcW w:w="650" w:type="dxa"/>
            <w:vAlign w:val="center"/>
          </w:tcPr>
          <w:p w14:paraId="6AD1D7F8">
            <w:pPr>
              <w:jc w:val="center"/>
              <w:rPr>
                <w:rFonts w:ascii="宋体" w:hAnsi="宋体"/>
                <w:color w:val="auto"/>
                <w:szCs w:val="44"/>
              </w:rPr>
            </w:pPr>
          </w:p>
        </w:tc>
        <w:tc>
          <w:tcPr>
            <w:tcW w:w="650" w:type="dxa"/>
            <w:vAlign w:val="center"/>
          </w:tcPr>
          <w:p w14:paraId="50051872">
            <w:pPr>
              <w:jc w:val="center"/>
              <w:rPr>
                <w:rFonts w:ascii="宋体" w:hAnsi="宋体"/>
                <w:color w:val="auto"/>
                <w:szCs w:val="44"/>
              </w:rPr>
            </w:pPr>
          </w:p>
        </w:tc>
        <w:tc>
          <w:tcPr>
            <w:tcW w:w="651" w:type="dxa"/>
            <w:vAlign w:val="center"/>
          </w:tcPr>
          <w:p w14:paraId="3E199B0C">
            <w:pPr>
              <w:jc w:val="center"/>
              <w:rPr>
                <w:rFonts w:ascii="宋体" w:hAnsi="宋体"/>
                <w:color w:val="auto"/>
                <w:szCs w:val="44"/>
              </w:rPr>
            </w:pPr>
          </w:p>
        </w:tc>
        <w:tc>
          <w:tcPr>
            <w:tcW w:w="818" w:type="dxa"/>
            <w:vAlign w:val="center"/>
          </w:tcPr>
          <w:p w14:paraId="1616F44D">
            <w:pPr>
              <w:jc w:val="center"/>
              <w:rPr>
                <w:rFonts w:ascii="宋体" w:hAnsi="宋体"/>
                <w:color w:val="auto"/>
                <w:szCs w:val="44"/>
              </w:rPr>
            </w:pPr>
          </w:p>
        </w:tc>
      </w:tr>
      <w:tr w14:paraId="30336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72B456D7">
            <w:pPr>
              <w:jc w:val="center"/>
              <w:rPr>
                <w:rFonts w:ascii="宋体" w:hAnsi="宋体"/>
                <w:color w:val="auto"/>
                <w:szCs w:val="44"/>
              </w:rPr>
            </w:pPr>
            <w:r>
              <w:rPr>
                <w:rFonts w:hint="eastAsia" w:ascii="宋体" w:hAnsi="宋体"/>
                <w:color w:val="auto"/>
                <w:szCs w:val="44"/>
              </w:rPr>
              <w:t>4</w:t>
            </w:r>
          </w:p>
        </w:tc>
        <w:tc>
          <w:tcPr>
            <w:tcW w:w="1432" w:type="dxa"/>
            <w:vAlign w:val="center"/>
          </w:tcPr>
          <w:p w14:paraId="53177215">
            <w:pPr>
              <w:jc w:val="center"/>
              <w:rPr>
                <w:rFonts w:ascii="宋体" w:hAnsi="宋体"/>
                <w:color w:val="auto"/>
                <w:szCs w:val="44"/>
              </w:rPr>
            </w:pPr>
          </w:p>
        </w:tc>
        <w:tc>
          <w:tcPr>
            <w:tcW w:w="650" w:type="dxa"/>
            <w:vAlign w:val="center"/>
          </w:tcPr>
          <w:p w14:paraId="6A331FC0">
            <w:pPr>
              <w:jc w:val="center"/>
              <w:rPr>
                <w:color w:val="auto"/>
              </w:rPr>
            </w:pPr>
          </w:p>
        </w:tc>
        <w:tc>
          <w:tcPr>
            <w:tcW w:w="650" w:type="dxa"/>
            <w:vAlign w:val="center"/>
          </w:tcPr>
          <w:p w14:paraId="4DE69419">
            <w:pPr>
              <w:jc w:val="center"/>
              <w:rPr>
                <w:rFonts w:ascii="宋体" w:hAnsi="宋体"/>
                <w:color w:val="auto"/>
                <w:szCs w:val="44"/>
              </w:rPr>
            </w:pPr>
          </w:p>
        </w:tc>
        <w:tc>
          <w:tcPr>
            <w:tcW w:w="650" w:type="dxa"/>
            <w:vAlign w:val="center"/>
          </w:tcPr>
          <w:p w14:paraId="29BF1F10">
            <w:pPr>
              <w:jc w:val="center"/>
              <w:rPr>
                <w:rFonts w:ascii="宋体" w:hAnsi="宋体"/>
                <w:color w:val="auto"/>
                <w:szCs w:val="44"/>
              </w:rPr>
            </w:pPr>
          </w:p>
        </w:tc>
        <w:tc>
          <w:tcPr>
            <w:tcW w:w="650" w:type="dxa"/>
            <w:vAlign w:val="center"/>
          </w:tcPr>
          <w:p w14:paraId="5E6DF635">
            <w:pPr>
              <w:jc w:val="center"/>
              <w:rPr>
                <w:rFonts w:ascii="宋体" w:hAnsi="宋体"/>
                <w:color w:val="auto"/>
                <w:szCs w:val="44"/>
              </w:rPr>
            </w:pPr>
          </w:p>
        </w:tc>
        <w:tc>
          <w:tcPr>
            <w:tcW w:w="650" w:type="dxa"/>
            <w:vAlign w:val="center"/>
          </w:tcPr>
          <w:p w14:paraId="3D060548">
            <w:pPr>
              <w:jc w:val="center"/>
              <w:rPr>
                <w:rFonts w:ascii="宋体" w:hAnsi="宋体"/>
                <w:color w:val="auto"/>
                <w:szCs w:val="44"/>
              </w:rPr>
            </w:pPr>
          </w:p>
        </w:tc>
        <w:tc>
          <w:tcPr>
            <w:tcW w:w="650" w:type="dxa"/>
            <w:vAlign w:val="center"/>
          </w:tcPr>
          <w:p w14:paraId="24595741">
            <w:pPr>
              <w:jc w:val="center"/>
              <w:rPr>
                <w:rFonts w:ascii="宋体" w:hAnsi="宋体"/>
                <w:color w:val="auto"/>
                <w:szCs w:val="44"/>
              </w:rPr>
            </w:pPr>
          </w:p>
        </w:tc>
        <w:tc>
          <w:tcPr>
            <w:tcW w:w="650" w:type="dxa"/>
            <w:vAlign w:val="center"/>
          </w:tcPr>
          <w:p w14:paraId="0CA34E84">
            <w:pPr>
              <w:jc w:val="center"/>
              <w:rPr>
                <w:rFonts w:ascii="宋体" w:hAnsi="宋体"/>
                <w:color w:val="auto"/>
                <w:szCs w:val="44"/>
              </w:rPr>
            </w:pPr>
          </w:p>
        </w:tc>
        <w:tc>
          <w:tcPr>
            <w:tcW w:w="650" w:type="dxa"/>
            <w:vAlign w:val="center"/>
          </w:tcPr>
          <w:p w14:paraId="33F72043">
            <w:pPr>
              <w:jc w:val="center"/>
              <w:rPr>
                <w:rFonts w:ascii="宋体" w:hAnsi="宋体"/>
                <w:color w:val="auto"/>
                <w:szCs w:val="44"/>
              </w:rPr>
            </w:pPr>
          </w:p>
        </w:tc>
        <w:tc>
          <w:tcPr>
            <w:tcW w:w="651" w:type="dxa"/>
            <w:vAlign w:val="center"/>
          </w:tcPr>
          <w:p w14:paraId="563C2452">
            <w:pPr>
              <w:jc w:val="center"/>
              <w:rPr>
                <w:rFonts w:ascii="宋体" w:hAnsi="宋体"/>
                <w:color w:val="auto"/>
                <w:szCs w:val="44"/>
              </w:rPr>
            </w:pPr>
          </w:p>
        </w:tc>
        <w:tc>
          <w:tcPr>
            <w:tcW w:w="818" w:type="dxa"/>
            <w:vAlign w:val="center"/>
          </w:tcPr>
          <w:p w14:paraId="6AAD5EF1">
            <w:pPr>
              <w:jc w:val="center"/>
              <w:rPr>
                <w:rFonts w:ascii="宋体" w:hAnsi="宋体"/>
                <w:color w:val="auto"/>
                <w:szCs w:val="44"/>
              </w:rPr>
            </w:pPr>
          </w:p>
        </w:tc>
      </w:tr>
      <w:tr w14:paraId="49952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580B215D">
            <w:pPr>
              <w:jc w:val="center"/>
              <w:rPr>
                <w:rFonts w:ascii="宋体" w:hAnsi="宋体"/>
                <w:color w:val="auto"/>
                <w:szCs w:val="44"/>
              </w:rPr>
            </w:pPr>
            <w:r>
              <w:rPr>
                <w:rFonts w:hint="eastAsia" w:ascii="宋体" w:hAnsi="宋体"/>
                <w:color w:val="auto"/>
                <w:szCs w:val="44"/>
              </w:rPr>
              <w:t>5</w:t>
            </w:r>
          </w:p>
        </w:tc>
        <w:tc>
          <w:tcPr>
            <w:tcW w:w="1432" w:type="dxa"/>
            <w:vAlign w:val="center"/>
          </w:tcPr>
          <w:p w14:paraId="0D5D6C57">
            <w:pPr>
              <w:jc w:val="center"/>
              <w:rPr>
                <w:rFonts w:ascii="宋体" w:hAnsi="宋体"/>
                <w:color w:val="auto"/>
                <w:szCs w:val="44"/>
              </w:rPr>
            </w:pPr>
          </w:p>
        </w:tc>
        <w:tc>
          <w:tcPr>
            <w:tcW w:w="650" w:type="dxa"/>
            <w:vAlign w:val="center"/>
          </w:tcPr>
          <w:p w14:paraId="7C44FB8F">
            <w:pPr>
              <w:jc w:val="center"/>
              <w:rPr>
                <w:color w:val="auto"/>
              </w:rPr>
            </w:pPr>
          </w:p>
        </w:tc>
        <w:tc>
          <w:tcPr>
            <w:tcW w:w="650" w:type="dxa"/>
            <w:vAlign w:val="center"/>
          </w:tcPr>
          <w:p w14:paraId="4F590BD5">
            <w:pPr>
              <w:jc w:val="center"/>
              <w:rPr>
                <w:rFonts w:ascii="宋体" w:hAnsi="宋体"/>
                <w:color w:val="auto"/>
                <w:szCs w:val="44"/>
              </w:rPr>
            </w:pPr>
          </w:p>
        </w:tc>
        <w:tc>
          <w:tcPr>
            <w:tcW w:w="650" w:type="dxa"/>
            <w:vAlign w:val="center"/>
          </w:tcPr>
          <w:p w14:paraId="79742336">
            <w:pPr>
              <w:jc w:val="center"/>
              <w:rPr>
                <w:rFonts w:ascii="宋体" w:hAnsi="宋体"/>
                <w:color w:val="auto"/>
                <w:szCs w:val="44"/>
              </w:rPr>
            </w:pPr>
          </w:p>
        </w:tc>
        <w:tc>
          <w:tcPr>
            <w:tcW w:w="650" w:type="dxa"/>
            <w:vAlign w:val="center"/>
          </w:tcPr>
          <w:p w14:paraId="35FB82BE">
            <w:pPr>
              <w:jc w:val="center"/>
              <w:rPr>
                <w:rFonts w:ascii="宋体" w:hAnsi="宋体"/>
                <w:color w:val="auto"/>
                <w:szCs w:val="44"/>
              </w:rPr>
            </w:pPr>
          </w:p>
        </w:tc>
        <w:tc>
          <w:tcPr>
            <w:tcW w:w="650" w:type="dxa"/>
            <w:vAlign w:val="center"/>
          </w:tcPr>
          <w:p w14:paraId="226AEBB0">
            <w:pPr>
              <w:jc w:val="center"/>
              <w:rPr>
                <w:rFonts w:ascii="宋体" w:hAnsi="宋体"/>
                <w:color w:val="auto"/>
                <w:szCs w:val="44"/>
              </w:rPr>
            </w:pPr>
          </w:p>
        </w:tc>
        <w:tc>
          <w:tcPr>
            <w:tcW w:w="650" w:type="dxa"/>
            <w:vAlign w:val="center"/>
          </w:tcPr>
          <w:p w14:paraId="00BAF565">
            <w:pPr>
              <w:jc w:val="center"/>
              <w:rPr>
                <w:rFonts w:ascii="宋体" w:hAnsi="宋体"/>
                <w:color w:val="auto"/>
                <w:szCs w:val="44"/>
              </w:rPr>
            </w:pPr>
          </w:p>
        </w:tc>
        <w:tc>
          <w:tcPr>
            <w:tcW w:w="650" w:type="dxa"/>
            <w:vAlign w:val="center"/>
          </w:tcPr>
          <w:p w14:paraId="13B728A1">
            <w:pPr>
              <w:jc w:val="center"/>
              <w:rPr>
                <w:rFonts w:ascii="宋体" w:hAnsi="宋体"/>
                <w:color w:val="auto"/>
                <w:szCs w:val="44"/>
              </w:rPr>
            </w:pPr>
          </w:p>
        </w:tc>
        <w:tc>
          <w:tcPr>
            <w:tcW w:w="650" w:type="dxa"/>
            <w:vAlign w:val="center"/>
          </w:tcPr>
          <w:p w14:paraId="5CDF44CA">
            <w:pPr>
              <w:jc w:val="center"/>
              <w:rPr>
                <w:rFonts w:ascii="宋体" w:hAnsi="宋体"/>
                <w:color w:val="auto"/>
                <w:szCs w:val="44"/>
              </w:rPr>
            </w:pPr>
          </w:p>
        </w:tc>
        <w:tc>
          <w:tcPr>
            <w:tcW w:w="651" w:type="dxa"/>
            <w:vAlign w:val="center"/>
          </w:tcPr>
          <w:p w14:paraId="1BC413AF">
            <w:pPr>
              <w:jc w:val="center"/>
              <w:rPr>
                <w:rFonts w:ascii="宋体" w:hAnsi="宋体"/>
                <w:color w:val="auto"/>
                <w:szCs w:val="44"/>
              </w:rPr>
            </w:pPr>
          </w:p>
        </w:tc>
        <w:tc>
          <w:tcPr>
            <w:tcW w:w="818" w:type="dxa"/>
            <w:vAlign w:val="center"/>
          </w:tcPr>
          <w:p w14:paraId="7A99DD3C">
            <w:pPr>
              <w:jc w:val="center"/>
              <w:rPr>
                <w:rFonts w:ascii="宋体" w:hAnsi="宋体"/>
                <w:color w:val="auto"/>
                <w:szCs w:val="44"/>
              </w:rPr>
            </w:pPr>
          </w:p>
        </w:tc>
      </w:tr>
      <w:tr w14:paraId="0A6AE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1478773B">
            <w:pPr>
              <w:jc w:val="center"/>
              <w:rPr>
                <w:rFonts w:ascii="宋体" w:hAnsi="宋体"/>
                <w:color w:val="auto"/>
                <w:szCs w:val="44"/>
              </w:rPr>
            </w:pPr>
            <w:r>
              <w:rPr>
                <w:rFonts w:hint="eastAsia" w:ascii="宋体" w:hAnsi="宋体"/>
                <w:color w:val="auto"/>
                <w:szCs w:val="44"/>
              </w:rPr>
              <w:t>6</w:t>
            </w:r>
          </w:p>
        </w:tc>
        <w:tc>
          <w:tcPr>
            <w:tcW w:w="1432" w:type="dxa"/>
            <w:vAlign w:val="center"/>
          </w:tcPr>
          <w:p w14:paraId="3B9AD822">
            <w:pPr>
              <w:jc w:val="center"/>
              <w:rPr>
                <w:rFonts w:ascii="宋体" w:hAnsi="宋体"/>
                <w:color w:val="auto"/>
                <w:szCs w:val="44"/>
              </w:rPr>
            </w:pPr>
          </w:p>
        </w:tc>
        <w:tc>
          <w:tcPr>
            <w:tcW w:w="650" w:type="dxa"/>
            <w:vAlign w:val="center"/>
          </w:tcPr>
          <w:p w14:paraId="085C51B5">
            <w:pPr>
              <w:jc w:val="center"/>
              <w:rPr>
                <w:color w:val="auto"/>
              </w:rPr>
            </w:pPr>
          </w:p>
        </w:tc>
        <w:tc>
          <w:tcPr>
            <w:tcW w:w="650" w:type="dxa"/>
            <w:vAlign w:val="center"/>
          </w:tcPr>
          <w:p w14:paraId="3948101B">
            <w:pPr>
              <w:jc w:val="center"/>
              <w:rPr>
                <w:rFonts w:ascii="宋体" w:hAnsi="宋体"/>
                <w:color w:val="auto"/>
                <w:szCs w:val="44"/>
              </w:rPr>
            </w:pPr>
          </w:p>
        </w:tc>
        <w:tc>
          <w:tcPr>
            <w:tcW w:w="650" w:type="dxa"/>
            <w:vAlign w:val="center"/>
          </w:tcPr>
          <w:p w14:paraId="4502D120">
            <w:pPr>
              <w:jc w:val="center"/>
              <w:rPr>
                <w:rFonts w:ascii="宋体" w:hAnsi="宋体"/>
                <w:color w:val="auto"/>
                <w:szCs w:val="44"/>
              </w:rPr>
            </w:pPr>
          </w:p>
        </w:tc>
        <w:tc>
          <w:tcPr>
            <w:tcW w:w="650" w:type="dxa"/>
            <w:vAlign w:val="center"/>
          </w:tcPr>
          <w:p w14:paraId="6173121F">
            <w:pPr>
              <w:jc w:val="center"/>
              <w:rPr>
                <w:rFonts w:ascii="宋体" w:hAnsi="宋体"/>
                <w:color w:val="auto"/>
                <w:szCs w:val="44"/>
              </w:rPr>
            </w:pPr>
          </w:p>
        </w:tc>
        <w:tc>
          <w:tcPr>
            <w:tcW w:w="650" w:type="dxa"/>
            <w:vAlign w:val="center"/>
          </w:tcPr>
          <w:p w14:paraId="6C7D8953">
            <w:pPr>
              <w:jc w:val="center"/>
              <w:rPr>
                <w:rFonts w:ascii="宋体" w:hAnsi="宋体"/>
                <w:color w:val="auto"/>
                <w:szCs w:val="44"/>
              </w:rPr>
            </w:pPr>
          </w:p>
        </w:tc>
        <w:tc>
          <w:tcPr>
            <w:tcW w:w="650" w:type="dxa"/>
            <w:vAlign w:val="center"/>
          </w:tcPr>
          <w:p w14:paraId="0448BF0E">
            <w:pPr>
              <w:jc w:val="center"/>
              <w:rPr>
                <w:rFonts w:ascii="宋体" w:hAnsi="宋体"/>
                <w:color w:val="auto"/>
                <w:szCs w:val="44"/>
              </w:rPr>
            </w:pPr>
          </w:p>
        </w:tc>
        <w:tc>
          <w:tcPr>
            <w:tcW w:w="650" w:type="dxa"/>
            <w:vAlign w:val="center"/>
          </w:tcPr>
          <w:p w14:paraId="6365F66A">
            <w:pPr>
              <w:jc w:val="center"/>
              <w:rPr>
                <w:rFonts w:ascii="宋体" w:hAnsi="宋体"/>
                <w:color w:val="auto"/>
                <w:szCs w:val="44"/>
              </w:rPr>
            </w:pPr>
          </w:p>
        </w:tc>
        <w:tc>
          <w:tcPr>
            <w:tcW w:w="650" w:type="dxa"/>
            <w:vAlign w:val="center"/>
          </w:tcPr>
          <w:p w14:paraId="16C93DD8">
            <w:pPr>
              <w:jc w:val="center"/>
              <w:rPr>
                <w:rFonts w:ascii="宋体" w:hAnsi="宋体"/>
                <w:color w:val="auto"/>
                <w:szCs w:val="44"/>
              </w:rPr>
            </w:pPr>
          </w:p>
        </w:tc>
        <w:tc>
          <w:tcPr>
            <w:tcW w:w="651" w:type="dxa"/>
            <w:vAlign w:val="center"/>
          </w:tcPr>
          <w:p w14:paraId="1BBCD12D">
            <w:pPr>
              <w:jc w:val="center"/>
              <w:rPr>
                <w:rFonts w:ascii="宋体" w:hAnsi="宋体"/>
                <w:color w:val="auto"/>
                <w:szCs w:val="44"/>
              </w:rPr>
            </w:pPr>
          </w:p>
        </w:tc>
        <w:tc>
          <w:tcPr>
            <w:tcW w:w="818" w:type="dxa"/>
            <w:vAlign w:val="center"/>
          </w:tcPr>
          <w:p w14:paraId="6523A104">
            <w:pPr>
              <w:jc w:val="center"/>
              <w:rPr>
                <w:rFonts w:ascii="宋体" w:hAnsi="宋体"/>
                <w:color w:val="auto"/>
                <w:szCs w:val="44"/>
              </w:rPr>
            </w:pPr>
          </w:p>
        </w:tc>
      </w:tr>
      <w:tr w14:paraId="3D943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61140FD1">
            <w:pPr>
              <w:jc w:val="center"/>
              <w:rPr>
                <w:rFonts w:ascii="宋体" w:hAnsi="宋体"/>
                <w:color w:val="auto"/>
                <w:szCs w:val="44"/>
              </w:rPr>
            </w:pPr>
            <w:r>
              <w:rPr>
                <w:rFonts w:hint="eastAsia" w:ascii="宋体" w:hAnsi="宋体"/>
                <w:color w:val="auto"/>
                <w:szCs w:val="44"/>
              </w:rPr>
              <w:t>…</w:t>
            </w:r>
          </w:p>
        </w:tc>
        <w:tc>
          <w:tcPr>
            <w:tcW w:w="1432" w:type="dxa"/>
            <w:vAlign w:val="center"/>
          </w:tcPr>
          <w:p w14:paraId="66E80894">
            <w:pPr>
              <w:rPr>
                <w:rFonts w:ascii="宋体" w:hAnsi="宋体"/>
                <w:color w:val="auto"/>
                <w:szCs w:val="21"/>
              </w:rPr>
            </w:pPr>
          </w:p>
        </w:tc>
        <w:tc>
          <w:tcPr>
            <w:tcW w:w="650" w:type="dxa"/>
            <w:vAlign w:val="center"/>
          </w:tcPr>
          <w:p w14:paraId="47337EAF">
            <w:pPr>
              <w:jc w:val="center"/>
              <w:rPr>
                <w:color w:val="auto"/>
              </w:rPr>
            </w:pPr>
          </w:p>
        </w:tc>
        <w:tc>
          <w:tcPr>
            <w:tcW w:w="650" w:type="dxa"/>
            <w:vAlign w:val="center"/>
          </w:tcPr>
          <w:p w14:paraId="3B47D4CD">
            <w:pPr>
              <w:jc w:val="center"/>
              <w:rPr>
                <w:rFonts w:ascii="宋体" w:hAnsi="宋体"/>
                <w:color w:val="auto"/>
                <w:szCs w:val="44"/>
              </w:rPr>
            </w:pPr>
          </w:p>
        </w:tc>
        <w:tc>
          <w:tcPr>
            <w:tcW w:w="650" w:type="dxa"/>
            <w:vAlign w:val="center"/>
          </w:tcPr>
          <w:p w14:paraId="7A14B1F9">
            <w:pPr>
              <w:jc w:val="center"/>
              <w:rPr>
                <w:rFonts w:ascii="宋体" w:hAnsi="宋体"/>
                <w:color w:val="auto"/>
                <w:szCs w:val="44"/>
              </w:rPr>
            </w:pPr>
          </w:p>
        </w:tc>
        <w:tc>
          <w:tcPr>
            <w:tcW w:w="650" w:type="dxa"/>
            <w:vAlign w:val="center"/>
          </w:tcPr>
          <w:p w14:paraId="6C738439">
            <w:pPr>
              <w:jc w:val="center"/>
              <w:rPr>
                <w:rFonts w:ascii="宋体" w:hAnsi="宋体"/>
                <w:color w:val="auto"/>
                <w:szCs w:val="44"/>
              </w:rPr>
            </w:pPr>
          </w:p>
        </w:tc>
        <w:tc>
          <w:tcPr>
            <w:tcW w:w="650" w:type="dxa"/>
            <w:vAlign w:val="center"/>
          </w:tcPr>
          <w:p w14:paraId="68B1B2BF">
            <w:pPr>
              <w:jc w:val="center"/>
              <w:rPr>
                <w:rFonts w:ascii="宋体" w:hAnsi="宋体"/>
                <w:color w:val="auto"/>
                <w:szCs w:val="44"/>
              </w:rPr>
            </w:pPr>
          </w:p>
        </w:tc>
        <w:tc>
          <w:tcPr>
            <w:tcW w:w="650" w:type="dxa"/>
            <w:vAlign w:val="center"/>
          </w:tcPr>
          <w:p w14:paraId="705AEE4D">
            <w:pPr>
              <w:jc w:val="center"/>
              <w:rPr>
                <w:rFonts w:ascii="宋体" w:hAnsi="宋体"/>
                <w:color w:val="auto"/>
                <w:szCs w:val="44"/>
              </w:rPr>
            </w:pPr>
          </w:p>
        </w:tc>
        <w:tc>
          <w:tcPr>
            <w:tcW w:w="650" w:type="dxa"/>
            <w:vAlign w:val="center"/>
          </w:tcPr>
          <w:p w14:paraId="1B36E32F">
            <w:pPr>
              <w:jc w:val="center"/>
              <w:rPr>
                <w:rFonts w:ascii="宋体" w:hAnsi="宋体"/>
                <w:color w:val="auto"/>
                <w:szCs w:val="44"/>
              </w:rPr>
            </w:pPr>
          </w:p>
        </w:tc>
        <w:tc>
          <w:tcPr>
            <w:tcW w:w="650" w:type="dxa"/>
            <w:vAlign w:val="center"/>
          </w:tcPr>
          <w:p w14:paraId="53D28E55">
            <w:pPr>
              <w:jc w:val="center"/>
              <w:rPr>
                <w:rFonts w:ascii="宋体" w:hAnsi="宋体"/>
                <w:color w:val="auto"/>
                <w:szCs w:val="44"/>
              </w:rPr>
            </w:pPr>
          </w:p>
        </w:tc>
        <w:tc>
          <w:tcPr>
            <w:tcW w:w="651" w:type="dxa"/>
            <w:vAlign w:val="center"/>
          </w:tcPr>
          <w:p w14:paraId="0324EC87">
            <w:pPr>
              <w:jc w:val="center"/>
              <w:rPr>
                <w:rFonts w:ascii="宋体" w:hAnsi="宋体"/>
                <w:color w:val="auto"/>
                <w:szCs w:val="44"/>
              </w:rPr>
            </w:pPr>
          </w:p>
        </w:tc>
        <w:tc>
          <w:tcPr>
            <w:tcW w:w="818" w:type="dxa"/>
            <w:vAlign w:val="center"/>
          </w:tcPr>
          <w:p w14:paraId="62D8216B">
            <w:pPr>
              <w:jc w:val="center"/>
              <w:rPr>
                <w:rFonts w:ascii="宋体" w:hAnsi="宋体"/>
                <w:color w:val="auto"/>
                <w:szCs w:val="44"/>
              </w:rPr>
            </w:pPr>
          </w:p>
        </w:tc>
      </w:tr>
      <w:tr w14:paraId="5F15B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2" w:hRule="atLeast"/>
          <w:jc w:val="center"/>
        </w:trPr>
        <w:tc>
          <w:tcPr>
            <w:tcW w:w="8742" w:type="dxa"/>
            <w:gridSpan w:val="12"/>
            <w:vAlign w:val="center"/>
          </w:tcPr>
          <w:p w14:paraId="401E2E52">
            <w:pPr>
              <w:jc w:val="left"/>
              <w:rPr>
                <w:rFonts w:ascii="宋体" w:hAnsi="宋体"/>
                <w:color w:val="auto"/>
                <w:szCs w:val="44"/>
              </w:rPr>
            </w:pPr>
            <w:r>
              <w:rPr>
                <w:rFonts w:hint="eastAsia"/>
                <w:color w:val="auto"/>
              </w:rPr>
              <w:t xml:space="preserve">评标委员会全体成员签名： </w:t>
            </w:r>
            <w:r>
              <w:rPr>
                <w:rFonts w:hint="eastAsia" w:ascii="宋体" w:hAnsi="宋体"/>
                <w:color w:val="auto"/>
                <w:szCs w:val="44"/>
              </w:rPr>
              <w:t xml:space="preserve"> </w:t>
            </w:r>
          </w:p>
          <w:p w14:paraId="08A5CED3">
            <w:pPr>
              <w:jc w:val="left"/>
              <w:rPr>
                <w:rFonts w:ascii="宋体" w:hAnsi="宋体"/>
                <w:color w:val="auto"/>
                <w:szCs w:val="44"/>
              </w:rPr>
            </w:pPr>
          </w:p>
          <w:p w14:paraId="2BD3C8CE">
            <w:pPr>
              <w:jc w:val="left"/>
              <w:rPr>
                <w:rFonts w:ascii="宋体" w:hAnsi="宋体"/>
                <w:color w:val="auto"/>
                <w:szCs w:val="44"/>
              </w:rPr>
            </w:pPr>
          </w:p>
          <w:p w14:paraId="52C4D1F0">
            <w:pPr>
              <w:jc w:val="left"/>
              <w:rPr>
                <w:rFonts w:ascii="宋体" w:hAnsi="宋体"/>
                <w:color w:val="auto"/>
                <w:szCs w:val="44"/>
              </w:rPr>
            </w:pPr>
          </w:p>
          <w:p w14:paraId="6D2328D3">
            <w:pPr>
              <w:jc w:val="center"/>
              <w:rPr>
                <w:rFonts w:ascii="宋体" w:hAnsi="宋体"/>
                <w:color w:val="auto"/>
                <w:szCs w:val="44"/>
              </w:rPr>
            </w:pPr>
          </w:p>
        </w:tc>
      </w:tr>
    </w:tbl>
    <w:p w14:paraId="33280494">
      <w:pPr>
        <w:rPr>
          <w:rFonts w:ascii="宋体" w:hAnsi="宋体"/>
          <w:color w:val="auto"/>
          <w:szCs w:val="44"/>
        </w:rPr>
      </w:pPr>
      <w:r>
        <w:rPr>
          <w:rFonts w:hint="eastAsia" w:ascii="宋体" w:hAnsi="宋体"/>
          <w:color w:val="auto"/>
          <w:szCs w:val="44"/>
        </w:rPr>
        <w:t xml:space="preserve">             </w:t>
      </w:r>
      <w:r>
        <w:rPr>
          <w:rFonts w:ascii="宋体" w:hAnsi="宋体"/>
          <w:color w:val="auto"/>
          <w:szCs w:val="44"/>
        </w:rPr>
        <w:t xml:space="preserve">                                        </w:t>
      </w:r>
      <w:r>
        <w:rPr>
          <w:rFonts w:hint="eastAsia" w:ascii="宋体" w:hAnsi="宋体"/>
          <w:color w:val="auto"/>
          <w:szCs w:val="44"/>
        </w:rPr>
        <w:t xml:space="preserve"> 日期：    年    月    日</w:t>
      </w:r>
    </w:p>
    <w:p w14:paraId="04A5DC59">
      <w:pPr>
        <w:spacing w:after="240" w:afterLines="100"/>
        <w:rPr>
          <w:rFonts w:ascii="宋体" w:hAnsi="宋体"/>
          <w:color w:val="auto"/>
          <w:szCs w:val="44"/>
        </w:rPr>
      </w:pPr>
      <w:r>
        <w:rPr>
          <w:rFonts w:ascii="宋体" w:hAnsi="宋体"/>
          <w:color w:val="auto"/>
          <w:szCs w:val="44"/>
        </w:rPr>
        <w:br w:type="page"/>
      </w:r>
    </w:p>
    <w:p w14:paraId="08ECD748">
      <w:pPr>
        <w:pStyle w:val="27"/>
        <w:rPr>
          <w:color w:val="auto"/>
        </w:rPr>
      </w:pPr>
      <w:bookmarkStart w:id="677" w:name="_Toc165804452"/>
      <w:bookmarkStart w:id="678" w:name="_Toc11538"/>
      <w:r>
        <w:rPr>
          <w:rFonts w:hint="eastAsia"/>
          <w:color w:val="auto"/>
        </w:rPr>
        <w:t>附表A-6：响应性评审记录表</w:t>
      </w:r>
      <w:bookmarkEnd w:id="677"/>
      <w:bookmarkEnd w:id="678"/>
    </w:p>
    <w:p w14:paraId="65105EE9">
      <w:pPr>
        <w:spacing w:after="240" w:afterLines="100"/>
        <w:jc w:val="center"/>
        <w:rPr>
          <w:rFonts w:ascii="黑体" w:hAnsi="宋体" w:eastAsia="黑体"/>
          <w:color w:val="auto"/>
          <w:sz w:val="36"/>
          <w:szCs w:val="36"/>
        </w:rPr>
      </w:pPr>
    </w:p>
    <w:p w14:paraId="073200FE">
      <w:pPr>
        <w:adjustRightInd w:val="0"/>
        <w:snapToGrid w:val="0"/>
        <w:spacing w:before="240" w:beforeLines="100" w:after="240" w:afterLines="100" w:line="440" w:lineRule="exact"/>
        <w:jc w:val="center"/>
        <w:rPr>
          <w:rFonts w:ascii="黑体" w:hAnsi="黑体" w:eastAsia="黑体"/>
          <w:color w:val="auto"/>
          <w:sz w:val="36"/>
          <w:szCs w:val="36"/>
        </w:rPr>
      </w:pPr>
      <w:bookmarkStart w:id="679" w:name="_Toc9622"/>
      <w:bookmarkStart w:id="680" w:name="_Toc148971950"/>
      <w:bookmarkStart w:id="681" w:name="_Toc148976158"/>
      <w:r>
        <w:rPr>
          <w:rFonts w:hint="eastAsia" w:ascii="黑体" w:hAnsi="黑体" w:eastAsia="黑体"/>
          <w:color w:val="auto"/>
          <w:sz w:val="36"/>
          <w:szCs w:val="36"/>
        </w:rPr>
        <w:t>响应性评审记录表</w:t>
      </w:r>
      <w:bookmarkEnd w:id="679"/>
      <w:bookmarkEnd w:id="680"/>
      <w:bookmarkEnd w:id="681"/>
    </w:p>
    <w:p w14:paraId="65C4E280">
      <w:pPr>
        <w:rPr>
          <w:rFonts w:ascii="宋体" w:hAnsi="宋体"/>
          <w:color w:val="auto"/>
          <w:szCs w:val="44"/>
        </w:rPr>
      </w:pPr>
      <w:r>
        <w:rPr>
          <w:rFonts w:hint="eastAsia" w:ascii="宋体" w:hAnsi="宋体"/>
          <w:color w:val="auto"/>
          <w:szCs w:val="44"/>
        </w:rPr>
        <w:t>标段名称：</w:t>
      </w:r>
    </w:p>
    <w:p w14:paraId="4EEE4EE8">
      <w:pPr>
        <w:rPr>
          <w:rFonts w:ascii="宋体" w:hAnsi="宋体"/>
          <w:color w:val="auto"/>
          <w:szCs w:val="44"/>
        </w:rPr>
      </w:pPr>
      <w:r>
        <w:rPr>
          <w:rFonts w:hint="eastAsia"/>
          <w:color w:val="auto"/>
          <w:szCs w:val="44"/>
        </w:rPr>
        <w:t>标段唯一标识码：</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0"/>
        <w:gridCol w:w="1258"/>
        <w:gridCol w:w="633"/>
        <w:gridCol w:w="633"/>
        <w:gridCol w:w="633"/>
        <w:gridCol w:w="633"/>
        <w:gridCol w:w="633"/>
        <w:gridCol w:w="633"/>
        <w:gridCol w:w="633"/>
        <w:gridCol w:w="633"/>
        <w:gridCol w:w="634"/>
        <w:gridCol w:w="802"/>
      </w:tblGrid>
      <w:tr w14:paraId="1CB1E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85" w:type="dxa"/>
            <w:vMerge w:val="restart"/>
            <w:vAlign w:val="center"/>
          </w:tcPr>
          <w:p w14:paraId="19CBB9A4">
            <w:pPr>
              <w:jc w:val="center"/>
              <w:rPr>
                <w:rFonts w:ascii="宋体" w:hAnsi="宋体"/>
                <w:b/>
                <w:bCs/>
                <w:color w:val="auto"/>
                <w:szCs w:val="44"/>
              </w:rPr>
            </w:pPr>
            <w:r>
              <w:rPr>
                <w:rFonts w:hint="eastAsia" w:ascii="宋体" w:hAnsi="宋体"/>
                <w:b/>
                <w:bCs/>
                <w:color w:val="auto"/>
                <w:szCs w:val="44"/>
              </w:rPr>
              <w:t>序号</w:t>
            </w:r>
          </w:p>
        </w:tc>
        <w:tc>
          <w:tcPr>
            <w:tcW w:w="1293" w:type="dxa"/>
            <w:vMerge w:val="restart"/>
            <w:vAlign w:val="center"/>
          </w:tcPr>
          <w:p w14:paraId="1893B033">
            <w:pPr>
              <w:jc w:val="center"/>
              <w:rPr>
                <w:rFonts w:ascii="宋体" w:hAnsi="宋体"/>
                <w:b/>
                <w:bCs/>
                <w:color w:val="auto"/>
                <w:szCs w:val="44"/>
              </w:rPr>
            </w:pPr>
            <w:r>
              <w:rPr>
                <w:rFonts w:hint="eastAsia" w:ascii="宋体" w:hAnsi="宋体"/>
                <w:b/>
                <w:bCs/>
                <w:color w:val="auto"/>
                <w:szCs w:val="44"/>
              </w:rPr>
              <w:t>投标人名称</w:t>
            </w:r>
          </w:p>
        </w:tc>
        <w:tc>
          <w:tcPr>
            <w:tcW w:w="5851" w:type="dxa"/>
            <w:gridSpan w:val="9"/>
            <w:vAlign w:val="center"/>
          </w:tcPr>
          <w:p w14:paraId="10E50FA3">
            <w:pPr>
              <w:jc w:val="center"/>
              <w:rPr>
                <w:rFonts w:ascii="宋体" w:hAnsi="宋体"/>
                <w:b/>
                <w:bCs/>
                <w:color w:val="auto"/>
                <w:szCs w:val="44"/>
              </w:rPr>
            </w:pPr>
            <w:r>
              <w:rPr>
                <w:rFonts w:hint="eastAsia" w:ascii="宋体" w:hAnsi="宋体"/>
                <w:b/>
                <w:bCs/>
                <w:color w:val="auto"/>
                <w:szCs w:val="44"/>
              </w:rPr>
              <w:t>评审标准及评审意见</w:t>
            </w:r>
          </w:p>
        </w:tc>
        <w:tc>
          <w:tcPr>
            <w:tcW w:w="818" w:type="dxa"/>
            <w:vMerge w:val="restart"/>
            <w:vAlign w:val="center"/>
          </w:tcPr>
          <w:p w14:paraId="7377A8C8">
            <w:pPr>
              <w:jc w:val="center"/>
              <w:rPr>
                <w:rFonts w:ascii="宋体" w:hAnsi="宋体"/>
                <w:b/>
                <w:bCs/>
                <w:color w:val="auto"/>
                <w:szCs w:val="44"/>
              </w:rPr>
            </w:pPr>
            <w:r>
              <w:rPr>
                <w:rFonts w:ascii="宋体" w:hAnsi="宋体"/>
                <w:b/>
                <w:bCs/>
                <w:color w:val="auto"/>
                <w:szCs w:val="21"/>
              </w:rPr>
              <w:t>评审结论</w:t>
            </w:r>
          </w:p>
        </w:tc>
      </w:tr>
      <w:tr w14:paraId="37A43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85" w:type="dxa"/>
            <w:vMerge w:val="continue"/>
            <w:vAlign w:val="center"/>
          </w:tcPr>
          <w:p w14:paraId="7190DDFB">
            <w:pPr>
              <w:jc w:val="center"/>
              <w:rPr>
                <w:rFonts w:ascii="宋体" w:hAnsi="宋体"/>
                <w:color w:val="auto"/>
                <w:szCs w:val="44"/>
              </w:rPr>
            </w:pPr>
          </w:p>
        </w:tc>
        <w:tc>
          <w:tcPr>
            <w:tcW w:w="1293" w:type="dxa"/>
            <w:vMerge w:val="continue"/>
          </w:tcPr>
          <w:p w14:paraId="651FD402">
            <w:pPr>
              <w:jc w:val="center"/>
              <w:rPr>
                <w:rFonts w:ascii="宋体" w:hAnsi="宋体"/>
                <w:color w:val="auto"/>
                <w:szCs w:val="44"/>
              </w:rPr>
            </w:pPr>
          </w:p>
        </w:tc>
        <w:tc>
          <w:tcPr>
            <w:tcW w:w="650" w:type="dxa"/>
            <w:vAlign w:val="center"/>
          </w:tcPr>
          <w:p w14:paraId="15C845B2">
            <w:pPr>
              <w:jc w:val="center"/>
              <w:rPr>
                <w:rFonts w:ascii="宋体" w:hAnsi="宋体"/>
                <w:color w:val="auto"/>
                <w:szCs w:val="44"/>
              </w:rPr>
            </w:pPr>
          </w:p>
        </w:tc>
        <w:tc>
          <w:tcPr>
            <w:tcW w:w="650" w:type="dxa"/>
            <w:vAlign w:val="center"/>
          </w:tcPr>
          <w:p w14:paraId="3FDC6FE4">
            <w:pPr>
              <w:jc w:val="center"/>
              <w:rPr>
                <w:rFonts w:ascii="宋体" w:hAnsi="宋体"/>
                <w:color w:val="auto"/>
                <w:szCs w:val="44"/>
              </w:rPr>
            </w:pPr>
          </w:p>
        </w:tc>
        <w:tc>
          <w:tcPr>
            <w:tcW w:w="650" w:type="dxa"/>
            <w:vAlign w:val="center"/>
          </w:tcPr>
          <w:p w14:paraId="29561BE7">
            <w:pPr>
              <w:jc w:val="center"/>
              <w:rPr>
                <w:rFonts w:ascii="宋体" w:hAnsi="宋体"/>
                <w:color w:val="auto"/>
                <w:szCs w:val="44"/>
              </w:rPr>
            </w:pPr>
          </w:p>
        </w:tc>
        <w:tc>
          <w:tcPr>
            <w:tcW w:w="650" w:type="dxa"/>
            <w:vAlign w:val="center"/>
          </w:tcPr>
          <w:p w14:paraId="4434D1A2">
            <w:pPr>
              <w:jc w:val="center"/>
              <w:rPr>
                <w:rFonts w:ascii="宋体" w:hAnsi="宋体"/>
                <w:color w:val="auto"/>
                <w:szCs w:val="44"/>
              </w:rPr>
            </w:pPr>
          </w:p>
        </w:tc>
        <w:tc>
          <w:tcPr>
            <w:tcW w:w="650" w:type="dxa"/>
            <w:vAlign w:val="center"/>
          </w:tcPr>
          <w:p w14:paraId="6DFE6733">
            <w:pPr>
              <w:jc w:val="center"/>
              <w:rPr>
                <w:rFonts w:ascii="宋体" w:hAnsi="宋体"/>
                <w:color w:val="auto"/>
                <w:szCs w:val="44"/>
              </w:rPr>
            </w:pPr>
          </w:p>
        </w:tc>
        <w:tc>
          <w:tcPr>
            <w:tcW w:w="650" w:type="dxa"/>
            <w:vAlign w:val="center"/>
          </w:tcPr>
          <w:p w14:paraId="01DC8342">
            <w:pPr>
              <w:jc w:val="center"/>
              <w:rPr>
                <w:rFonts w:ascii="宋体" w:hAnsi="宋体"/>
                <w:color w:val="auto"/>
                <w:szCs w:val="44"/>
              </w:rPr>
            </w:pPr>
          </w:p>
        </w:tc>
        <w:tc>
          <w:tcPr>
            <w:tcW w:w="650" w:type="dxa"/>
            <w:vAlign w:val="center"/>
          </w:tcPr>
          <w:p w14:paraId="23A5398D">
            <w:pPr>
              <w:jc w:val="center"/>
              <w:rPr>
                <w:rFonts w:ascii="宋体" w:hAnsi="宋体"/>
                <w:color w:val="auto"/>
                <w:szCs w:val="44"/>
              </w:rPr>
            </w:pPr>
          </w:p>
        </w:tc>
        <w:tc>
          <w:tcPr>
            <w:tcW w:w="650" w:type="dxa"/>
            <w:vAlign w:val="center"/>
          </w:tcPr>
          <w:p w14:paraId="1F9F1EE2">
            <w:pPr>
              <w:jc w:val="center"/>
              <w:rPr>
                <w:rFonts w:ascii="宋体" w:hAnsi="宋体"/>
                <w:color w:val="auto"/>
                <w:szCs w:val="44"/>
              </w:rPr>
            </w:pPr>
          </w:p>
        </w:tc>
        <w:tc>
          <w:tcPr>
            <w:tcW w:w="651" w:type="dxa"/>
            <w:vAlign w:val="center"/>
          </w:tcPr>
          <w:p w14:paraId="7F7CBA9C">
            <w:pPr>
              <w:jc w:val="center"/>
              <w:rPr>
                <w:rFonts w:ascii="宋体" w:hAnsi="宋体"/>
                <w:color w:val="auto"/>
                <w:szCs w:val="44"/>
              </w:rPr>
            </w:pPr>
          </w:p>
        </w:tc>
        <w:tc>
          <w:tcPr>
            <w:tcW w:w="818" w:type="dxa"/>
            <w:vMerge w:val="continue"/>
            <w:vAlign w:val="center"/>
          </w:tcPr>
          <w:p w14:paraId="4556268F">
            <w:pPr>
              <w:jc w:val="center"/>
              <w:rPr>
                <w:rFonts w:ascii="宋体" w:hAnsi="宋体"/>
                <w:color w:val="auto"/>
                <w:szCs w:val="44"/>
              </w:rPr>
            </w:pPr>
          </w:p>
        </w:tc>
      </w:tr>
      <w:tr w14:paraId="493D0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0185AC72">
            <w:pPr>
              <w:jc w:val="center"/>
              <w:rPr>
                <w:rFonts w:ascii="宋体" w:hAnsi="宋体"/>
                <w:color w:val="auto"/>
                <w:szCs w:val="44"/>
              </w:rPr>
            </w:pPr>
            <w:r>
              <w:rPr>
                <w:rFonts w:hint="eastAsia" w:ascii="宋体" w:hAnsi="宋体"/>
                <w:color w:val="auto"/>
                <w:szCs w:val="44"/>
              </w:rPr>
              <w:t>1</w:t>
            </w:r>
          </w:p>
        </w:tc>
        <w:tc>
          <w:tcPr>
            <w:tcW w:w="1293" w:type="dxa"/>
            <w:vAlign w:val="center"/>
          </w:tcPr>
          <w:p w14:paraId="256ECE81">
            <w:pPr>
              <w:jc w:val="center"/>
              <w:rPr>
                <w:rFonts w:ascii="宋体" w:hAnsi="宋体"/>
                <w:color w:val="auto"/>
                <w:szCs w:val="21"/>
              </w:rPr>
            </w:pPr>
          </w:p>
        </w:tc>
        <w:tc>
          <w:tcPr>
            <w:tcW w:w="650" w:type="dxa"/>
            <w:vAlign w:val="center"/>
          </w:tcPr>
          <w:p w14:paraId="3ECE6122">
            <w:pPr>
              <w:jc w:val="center"/>
              <w:rPr>
                <w:rFonts w:ascii="宋体" w:hAnsi="宋体"/>
                <w:color w:val="auto"/>
                <w:szCs w:val="21"/>
              </w:rPr>
            </w:pPr>
          </w:p>
        </w:tc>
        <w:tc>
          <w:tcPr>
            <w:tcW w:w="650" w:type="dxa"/>
            <w:vAlign w:val="center"/>
          </w:tcPr>
          <w:p w14:paraId="05A08834">
            <w:pPr>
              <w:jc w:val="center"/>
              <w:rPr>
                <w:rFonts w:ascii="宋体" w:hAnsi="宋体"/>
                <w:color w:val="auto"/>
                <w:szCs w:val="44"/>
              </w:rPr>
            </w:pPr>
          </w:p>
        </w:tc>
        <w:tc>
          <w:tcPr>
            <w:tcW w:w="650" w:type="dxa"/>
            <w:vAlign w:val="center"/>
          </w:tcPr>
          <w:p w14:paraId="24BF81C0">
            <w:pPr>
              <w:jc w:val="center"/>
              <w:rPr>
                <w:rFonts w:ascii="宋体" w:hAnsi="宋体"/>
                <w:color w:val="auto"/>
                <w:szCs w:val="44"/>
              </w:rPr>
            </w:pPr>
          </w:p>
        </w:tc>
        <w:tc>
          <w:tcPr>
            <w:tcW w:w="650" w:type="dxa"/>
            <w:vAlign w:val="center"/>
          </w:tcPr>
          <w:p w14:paraId="124D3286">
            <w:pPr>
              <w:jc w:val="center"/>
              <w:rPr>
                <w:rFonts w:ascii="宋体" w:hAnsi="宋体"/>
                <w:color w:val="auto"/>
                <w:szCs w:val="44"/>
              </w:rPr>
            </w:pPr>
          </w:p>
        </w:tc>
        <w:tc>
          <w:tcPr>
            <w:tcW w:w="650" w:type="dxa"/>
            <w:vAlign w:val="center"/>
          </w:tcPr>
          <w:p w14:paraId="31FFE917">
            <w:pPr>
              <w:jc w:val="center"/>
              <w:rPr>
                <w:rFonts w:ascii="宋体" w:hAnsi="宋体"/>
                <w:color w:val="auto"/>
                <w:szCs w:val="44"/>
              </w:rPr>
            </w:pPr>
          </w:p>
        </w:tc>
        <w:tc>
          <w:tcPr>
            <w:tcW w:w="650" w:type="dxa"/>
            <w:vAlign w:val="center"/>
          </w:tcPr>
          <w:p w14:paraId="19820CFB">
            <w:pPr>
              <w:jc w:val="center"/>
              <w:rPr>
                <w:rFonts w:ascii="宋体" w:hAnsi="宋体"/>
                <w:color w:val="auto"/>
                <w:szCs w:val="44"/>
              </w:rPr>
            </w:pPr>
          </w:p>
        </w:tc>
        <w:tc>
          <w:tcPr>
            <w:tcW w:w="650" w:type="dxa"/>
            <w:vAlign w:val="center"/>
          </w:tcPr>
          <w:p w14:paraId="07D92091">
            <w:pPr>
              <w:jc w:val="center"/>
              <w:rPr>
                <w:rFonts w:ascii="宋体" w:hAnsi="宋体"/>
                <w:color w:val="auto"/>
                <w:szCs w:val="44"/>
              </w:rPr>
            </w:pPr>
          </w:p>
        </w:tc>
        <w:tc>
          <w:tcPr>
            <w:tcW w:w="650" w:type="dxa"/>
            <w:vAlign w:val="center"/>
          </w:tcPr>
          <w:p w14:paraId="0F41DF84">
            <w:pPr>
              <w:jc w:val="center"/>
              <w:rPr>
                <w:rFonts w:ascii="宋体" w:hAnsi="宋体"/>
                <w:color w:val="auto"/>
                <w:szCs w:val="44"/>
              </w:rPr>
            </w:pPr>
          </w:p>
        </w:tc>
        <w:tc>
          <w:tcPr>
            <w:tcW w:w="651" w:type="dxa"/>
            <w:vAlign w:val="center"/>
          </w:tcPr>
          <w:p w14:paraId="4AC10EE8">
            <w:pPr>
              <w:jc w:val="center"/>
              <w:rPr>
                <w:rFonts w:ascii="宋体" w:hAnsi="宋体"/>
                <w:color w:val="auto"/>
                <w:szCs w:val="44"/>
              </w:rPr>
            </w:pPr>
          </w:p>
        </w:tc>
        <w:tc>
          <w:tcPr>
            <w:tcW w:w="818" w:type="dxa"/>
            <w:vAlign w:val="center"/>
          </w:tcPr>
          <w:p w14:paraId="47BDF976">
            <w:pPr>
              <w:jc w:val="center"/>
              <w:rPr>
                <w:rFonts w:ascii="宋体" w:hAnsi="宋体"/>
                <w:color w:val="auto"/>
                <w:szCs w:val="44"/>
              </w:rPr>
            </w:pPr>
          </w:p>
        </w:tc>
      </w:tr>
      <w:tr w14:paraId="5A7EA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7CF348D7">
            <w:pPr>
              <w:jc w:val="center"/>
              <w:rPr>
                <w:rFonts w:ascii="宋体" w:hAnsi="宋体"/>
                <w:color w:val="auto"/>
                <w:szCs w:val="44"/>
              </w:rPr>
            </w:pPr>
            <w:r>
              <w:rPr>
                <w:rFonts w:hint="eastAsia" w:ascii="宋体" w:hAnsi="宋体"/>
                <w:color w:val="auto"/>
                <w:szCs w:val="44"/>
              </w:rPr>
              <w:t>2</w:t>
            </w:r>
          </w:p>
        </w:tc>
        <w:tc>
          <w:tcPr>
            <w:tcW w:w="1293" w:type="dxa"/>
            <w:vAlign w:val="center"/>
          </w:tcPr>
          <w:p w14:paraId="665DD4F8">
            <w:pPr>
              <w:jc w:val="center"/>
              <w:rPr>
                <w:rFonts w:ascii="宋体" w:hAnsi="宋体"/>
                <w:color w:val="auto"/>
                <w:szCs w:val="44"/>
              </w:rPr>
            </w:pPr>
          </w:p>
        </w:tc>
        <w:tc>
          <w:tcPr>
            <w:tcW w:w="650" w:type="dxa"/>
            <w:vAlign w:val="center"/>
          </w:tcPr>
          <w:p w14:paraId="3BB94881">
            <w:pPr>
              <w:jc w:val="center"/>
              <w:rPr>
                <w:color w:val="auto"/>
              </w:rPr>
            </w:pPr>
          </w:p>
        </w:tc>
        <w:tc>
          <w:tcPr>
            <w:tcW w:w="650" w:type="dxa"/>
            <w:vAlign w:val="center"/>
          </w:tcPr>
          <w:p w14:paraId="29F9474B">
            <w:pPr>
              <w:jc w:val="center"/>
              <w:rPr>
                <w:rFonts w:ascii="宋体" w:hAnsi="宋体"/>
                <w:color w:val="auto"/>
                <w:szCs w:val="44"/>
              </w:rPr>
            </w:pPr>
          </w:p>
        </w:tc>
        <w:tc>
          <w:tcPr>
            <w:tcW w:w="650" w:type="dxa"/>
            <w:vAlign w:val="center"/>
          </w:tcPr>
          <w:p w14:paraId="70815D5B">
            <w:pPr>
              <w:jc w:val="center"/>
              <w:rPr>
                <w:rFonts w:ascii="宋体" w:hAnsi="宋体"/>
                <w:color w:val="auto"/>
                <w:szCs w:val="44"/>
              </w:rPr>
            </w:pPr>
          </w:p>
        </w:tc>
        <w:tc>
          <w:tcPr>
            <w:tcW w:w="650" w:type="dxa"/>
            <w:vAlign w:val="center"/>
          </w:tcPr>
          <w:p w14:paraId="000E14F5">
            <w:pPr>
              <w:jc w:val="center"/>
              <w:rPr>
                <w:rFonts w:ascii="宋体" w:hAnsi="宋体"/>
                <w:color w:val="auto"/>
                <w:szCs w:val="44"/>
              </w:rPr>
            </w:pPr>
          </w:p>
        </w:tc>
        <w:tc>
          <w:tcPr>
            <w:tcW w:w="650" w:type="dxa"/>
            <w:vAlign w:val="center"/>
          </w:tcPr>
          <w:p w14:paraId="13A231E5">
            <w:pPr>
              <w:jc w:val="center"/>
              <w:rPr>
                <w:rFonts w:ascii="宋体" w:hAnsi="宋体"/>
                <w:color w:val="auto"/>
                <w:szCs w:val="44"/>
              </w:rPr>
            </w:pPr>
          </w:p>
        </w:tc>
        <w:tc>
          <w:tcPr>
            <w:tcW w:w="650" w:type="dxa"/>
            <w:vAlign w:val="center"/>
          </w:tcPr>
          <w:p w14:paraId="1C8F805A">
            <w:pPr>
              <w:jc w:val="center"/>
              <w:rPr>
                <w:rFonts w:ascii="宋体" w:hAnsi="宋体"/>
                <w:color w:val="auto"/>
                <w:szCs w:val="44"/>
              </w:rPr>
            </w:pPr>
          </w:p>
        </w:tc>
        <w:tc>
          <w:tcPr>
            <w:tcW w:w="650" w:type="dxa"/>
            <w:vAlign w:val="center"/>
          </w:tcPr>
          <w:p w14:paraId="47A23F92">
            <w:pPr>
              <w:jc w:val="center"/>
              <w:rPr>
                <w:rFonts w:ascii="宋体" w:hAnsi="宋体"/>
                <w:color w:val="auto"/>
                <w:szCs w:val="44"/>
              </w:rPr>
            </w:pPr>
          </w:p>
        </w:tc>
        <w:tc>
          <w:tcPr>
            <w:tcW w:w="650" w:type="dxa"/>
            <w:vAlign w:val="center"/>
          </w:tcPr>
          <w:p w14:paraId="57C4B542">
            <w:pPr>
              <w:jc w:val="center"/>
              <w:rPr>
                <w:rFonts w:ascii="宋体" w:hAnsi="宋体"/>
                <w:color w:val="auto"/>
                <w:szCs w:val="44"/>
              </w:rPr>
            </w:pPr>
          </w:p>
        </w:tc>
        <w:tc>
          <w:tcPr>
            <w:tcW w:w="651" w:type="dxa"/>
            <w:vAlign w:val="center"/>
          </w:tcPr>
          <w:p w14:paraId="7F654E20">
            <w:pPr>
              <w:jc w:val="center"/>
              <w:rPr>
                <w:rFonts w:ascii="宋体" w:hAnsi="宋体"/>
                <w:color w:val="auto"/>
                <w:szCs w:val="44"/>
              </w:rPr>
            </w:pPr>
          </w:p>
        </w:tc>
        <w:tc>
          <w:tcPr>
            <w:tcW w:w="818" w:type="dxa"/>
            <w:vAlign w:val="center"/>
          </w:tcPr>
          <w:p w14:paraId="541DB2A4">
            <w:pPr>
              <w:jc w:val="center"/>
              <w:rPr>
                <w:rFonts w:ascii="宋体" w:hAnsi="宋体"/>
                <w:color w:val="auto"/>
                <w:szCs w:val="44"/>
              </w:rPr>
            </w:pPr>
          </w:p>
        </w:tc>
      </w:tr>
      <w:tr w14:paraId="5D161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5DE9DB8A">
            <w:pPr>
              <w:jc w:val="center"/>
              <w:rPr>
                <w:rFonts w:ascii="宋体" w:hAnsi="宋体"/>
                <w:color w:val="auto"/>
                <w:szCs w:val="44"/>
              </w:rPr>
            </w:pPr>
            <w:r>
              <w:rPr>
                <w:rFonts w:hint="eastAsia" w:ascii="宋体" w:hAnsi="宋体"/>
                <w:color w:val="auto"/>
                <w:szCs w:val="44"/>
              </w:rPr>
              <w:t>3</w:t>
            </w:r>
          </w:p>
        </w:tc>
        <w:tc>
          <w:tcPr>
            <w:tcW w:w="1293" w:type="dxa"/>
            <w:vAlign w:val="center"/>
          </w:tcPr>
          <w:p w14:paraId="033BD472">
            <w:pPr>
              <w:jc w:val="center"/>
              <w:rPr>
                <w:rFonts w:ascii="宋体" w:hAnsi="宋体"/>
                <w:color w:val="auto"/>
                <w:szCs w:val="44"/>
              </w:rPr>
            </w:pPr>
          </w:p>
        </w:tc>
        <w:tc>
          <w:tcPr>
            <w:tcW w:w="650" w:type="dxa"/>
            <w:vAlign w:val="center"/>
          </w:tcPr>
          <w:p w14:paraId="0238DE51">
            <w:pPr>
              <w:jc w:val="center"/>
              <w:rPr>
                <w:color w:val="auto"/>
              </w:rPr>
            </w:pPr>
          </w:p>
        </w:tc>
        <w:tc>
          <w:tcPr>
            <w:tcW w:w="650" w:type="dxa"/>
            <w:vAlign w:val="center"/>
          </w:tcPr>
          <w:p w14:paraId="0E85CA24">
            <w:pPr>
              <w:jc w:val="center"/>
              <w:rPr>
                <w:rFonts w:ascii="宋体" w:hAnsi="宋体"/>
                <w:color w:val="auto"/>
                <w:szCs w:val="44"/>
              </w:rPr>
            </w:pPr>
          </w:p>
        </w:tc>
        <w:tc>
          <w:tcPr>
            <w:tcW w:w="650" w:type="dxa"/>
            <w:vAlign w:val="center"/>
          </w:tcPr>
          <w:p w14:paraId="20BECC4D">
            <w:pPr>
              <w:jc w:val="center"/>
              <w:rPr>
                <w:rFonts w:ascii="宋体" w:hAnsi="宋体"/>
                <w:color w:val="auto"/>
                <w:szCs w:val="44"/>
              </w:rPr>
            </w:pPr>
          </w:p>
        </w:tc>
        <w:tc>
          <w:tcPr>
            <w:tcW w:w="650" w:type="dxa"/>
            <w:vAlign w:val="center"/>
          </w:tcPr>
          <w:p w14:paraId="5722CC43">
            <w:pPr>
              <w:jc w:val="center"/>
              <w:rPr>
                <w:rFonts w:ascii="宋体" w:hAnsi="宋体"/>
                <w:color w:val="auto"/>
                <w:szCs w:val="44"/>
              </w:rPr>
            </w:pPr>
          </w:p>
        </w:tc>
        <w:tc>
          <w:tcPr>
            <w:tcW w:w="650" w:type="dxa"/>
            <w:vAlign w:val="center"/>
          </w:tcPr>
          <w:p w14:paraId="637E8A22">
            <w:pPr>
              <w:jc w:val="center"/>
              <w:rPr>
                <w:rFonts w:ascii="宋体" w:hAnsi="宋体"/>
                <w:color w:val="auto"/>
                <w:szCs w:val="44"/>
              </w:rPr>
            </w:pPr>
          </w:p>
        </w:tc>
        <w:tc>
          <w:tcPr>
            <w:tcW w:w="650" w:type="dxa"/>
            <w:vAlign w:val="center"/>
          </w:tcPr>
          <w:p w14:paraId="62C1C1E6">
            <w:pPr>
              <w:jc w:val="center"/>
              <w:rPr>
                <w:rFonts w:ascii="宋体" w:hAnsi="宋体"/>
                <w:color w:val="auto"/>
                <w:szCs w:val="44"/>
              </w:rPr>
            </w:pPr>
          </w:p>
        </w:tc>
        <w:tc>
          <w:tcPr>
            <w:tcW w:w="650" w:type="dxa"/>
            <w:vAlign w:val="center"/>
          </w:tcPr>
          <w:p w14:paraId="42A0FC18">
            <w:pPr>
              <w:jc w:val="center"/>
              <w:rPr>
                <w:rFonts w:ascii="宋体" w:hAnsi="宋体"/>
                <w:color w:val="auto"/>
                <w:szCs w:val="44"/>
              </w:rPr>
            </w:pPr>
          </w:p>
        </w:tc>
        <w:tc>
          <w:tcPr>
            <w:tcW w:w="650" w:type="dxa"/>
            <w:vAlign w:val="center"/>
          </w:tcPr>
          <w:p w14:paraId="27000E83">
            <w:pPr>
              <w:jc w:val="center"/>
              <w:rPr>
                <w:rFonts w:ascii="宋体" w:hAnsi="宋体"/>
                <w:color w:val="auto"/>
                <w:szCs w:val="44"/>
              </w:rPr>
            </w:pPr>
          </w:p>
        </w:tc>
        <w:tc>
          <w:tcPr>
            <w:tcW w:w="651" w:type="dxa"/>
            <w:vAlign w:val="center"/>
          </w:tcPr>
          <w:p w14:paraId="29DE4BBB">
            <w:pPr>
              <w:jc w:val="center"/>
              <w:rPr>
                <w:rFonts w:ascii="宋体" w:hAnsi="宋体"/>
                <w:color w:val="auto"/>
                <w:szCs w:val="44"/>
              </w:rPr>
            </w:pPr>
          </w:p>
        </w:tc>
        <w:tc>
          <w:tcPr>
            <w:tcW w:w="818" w:type="dxa"/>
            <w:vAlign w:val="center"/>
          </w:tcPr>
          <w:p w14:paraId="478A5000">
            <w:pPr>
              <w:jc w:val="center"/>
              <w:rPr>
                <w:rFonts w:ascii="宋体" w:hAnsi="宋体"/>
                <w:color w:val="auto"/>
                <w:szCs w:val="44"/>
              </w:rPr>
            </w:pPr>
          </w:p>
        </w:tc>
      </w:tr>
      <w:tr w14:paraId="31ECB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4B04C776">
            <w:pPr>
              <w:jc w:val="center"/>
              <w:rPr>
                <w:rFonts w:ascii="宋体" w:hAnsi="宋体"/>
                <w:color w:val="auto"/>
                <w:szCs w:val="44"/>
              </w:rPr>
            </w:pPr>
            <w:r>
              <w:rPr>
                <w:rFonts w:hint="eastAsia" w:ascii="宋体" w:hAnsi="宋体"/>
                <w:color w:val="auto"/>
                <w:szCs w:val="44"/>
              </w:rPr>
              <w:t>4</w:t>
            </w:r>
          </w:p>
        </w:tc>
        <w:tc>
          <w:tcPr>
            <w:tcW w:w="1293" w:type="dxa"/>
            <w:vAlign w:val="center"/>
          </w:tcPr>
          <w:p w14:paraId="410CC015">
            <w:pPr>
              <w:jc w:val="center"/>
              <w:rPr>
                <w:rFonts w:ascii="宋体" w:hAnsi="宋体"/>
                <w:color w:val="auto"/>
                <w:szCs w:val="44"/>
              </w:rPr>
            </w:pPr>
          </w:p>
        </w:tc>
        <w:tc>
          <w:tcPr>
            <w:tcW w:w="650" w:type="dxa"/>
            <w:vAlign w:val="center"/>
          </w:tcPr>
          <w:p w14:paraId="1DADFFF7">
            <w:pPr>
              <w:jc w:val="center"/>
              <w:rPr>
                <w:color w:val="auto"/>
              </w:rPr>
            </w:pPr>
          </w:p>
        </w:tc>
        <w:tc>
          <w:tcPr>
            <w:tcW w:w="650" w:type="dxa"/>
            <w:vAlign w:val="center"/>
          </w:tcPr>
          <w:p w14:paraId="63B10C29">
            <w:pPr>
              <w:jc w:val="center"/>
              <w:rPr>
                <w:rFonts w:ascii="宋体" w:hAnsi="宋体"/>
                <w:color w:val="auto"/>
                <w:szCs w:val="44"/>
              </w:rPr>
            </w:pPr>
          </w:p>
        </w:tc>
        <w:tc>
          <w:tcPr>
            <w:tcW w:w="650" w:type="dxa"/>
            <w:vAlign w:val="center"/>
          </w:tcPr>
          <w:p w14:paraId="011F1A0A">
            <w:pPr>
              <w:jc w:val="center"/>
              <w:rPr>
                <w:rFonts w:ascii="宋体" w:hAnsi="宋体"/>
                <w:color w:val="auto"/>
                <w:szCs w:val="44"/>
              </w:rPr>
            </w:pPr>
          </w:p>
        </w:tc>
        <w:tc>
          <w:tcPr>
            <w:tcW w:w="650" w:type="dxa"/>
            <w:vAlign w:val="center"/>
          </w:tcPr>
          <w:p w14:paraId="45B985AC">
            <w:pPr>
              <w:jc w:val="center"/>
              <w:rPr>
                <w:rFonts w:ascii="宋体" w:hAnsi="宋体"/>
                <w:color w:val="auto"/>
                <w:szCs w:val="44"/>
              </w:rPr>
            </w:pPr>
          </w:p>
        </w:tc>
        <w:tc>
          <w:tcPr>
            <w:tcW w:w="650" w:type="dxa"/>
            <w:vAlign w:val="center"/>
          </w:tcPr>
          <w:p w14:paraId="155CC020">
            <w:pPr>
              <w:jc w:val="center"/>
              <w:rPr>
                <w:rFonts w:ascii="宋体" w:hAnsi="宋体"/>
                <w:color w:val="auto"/>
                <w:szCs w:val="44"/>
              </w:rPr>
            </w:pPr>
          </w:p>
        </w:tc>
        <w:tc>
          <w:tcPr>
            <w:tcW w:w="650" w:type="dxa"/>
            <w:vAlign w:val="center"/>
          </w:tcPr>
          <w:p w14:paraId="6573C214">
            <w:pPr>
              <w:jc w:val="center"/>
              <w:rPr>
                <w:rFonts w:ascii="宋体" w:hAnsi="宋体"/>
                <w:color w:val="auto"/>
                <w:szCs w:val="44"/>
              </w:rPr>
            </w:pPr>
          </w:p>
        </w:tc>
        <w:tc>
          <w:tcPr>
            <w:tcW w:w="650" w:type="dxa"/>
            <w:vAlign w:val="center"/>
          </w:tcPr>
          <w:p w14:paraId="5ECB4FD8">
            <w:pPr>
              <w:jc w:val="center"/>
              <w:rPr>
                <w:rFonts w:ascii="宋体" w:hAnsi="宋体"/>
                <w:color w:val="auto"/>
                <w:szCs w:val="44"/>
              </w:rPr>
            </w:pPr>
          </w:p>
        </w:tc>
        <w:tc>
          <w:tcPr>
            <w:tcW w:w="650" w:type="dxa"/>
            <w:vAlign w:val="center"/>
          </w:tcPr>
          <w:p w14:paraId="3622E1E8">
            <w:pPr>
              <w:jc w:val="center"/>
              <w:rPr>
                <w:rFonts w:ascii="宋体" w:hAnsi="宋体"/>
                <w:color w:val="auto"/>
                <w:szCs w:val="44"/>
              </w:rPr>
            </w:pPr>
          </w:p>
        </w:tc>
        <w:tc>
          <w:tcPr>
            <w:tcW w:w="651" w:type="dxa"/>
            <w:vAlign w:val="center"/>
          </w:tcPr>
          <w:p w14:paraId="39324D60">
            <w:pPr>
              <w:jc w:val="center"/>
              <w:rPr>
                <w:rFonts w:ascii="宋体" w:hAnsi="宋体"/>
                <w:color w:val="auto"/>
                <w:szCs w:val="44"/>
              </w:rPr>
            </w:pPr>
          </w:p>
        </w:tc>
        <w:tc>
          <w:tcPr>
            <w:tcW w:w="818" w:type="dxa"/>
            <w:vAlign w:val="center"/>
          </w:tcPr>
          <w:p w14:paraId="7EAF72D6">
            <w:pPr>
              <w:jc w:val="center"/>
              <w:rPr>
                <w:rFonts w:ascii="宋体" w:hAnsi="宋体"/>
                <w:color w:val="auto"/>
                <w:szCs w:val="44"/>
              </w:rPr>
            </w:pPr>
          </w:p>
        </w:tc>
      </w:tr>
      <w:tr w14:paraId="526AE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4E0BA162">
            <w:pPr>
              <w:jc w:val="center"/>
              <w:rPr>
                <w:rFonts w:ascii="宋体" w:hAnsi="宋体"/>
                <w:color w:val="auto"/>
                <w:szCs w:val="44"/>
              </w:rPr>
            </w:pPr>
            <w:r>
              <w:rPr>
                <w:rFonts w:hint="eastAsia" w:ascii="宋体" w:hAnsi="宋体"/>
                <w:color w:val="auto"/>
                <w:szCs w:val="44"/>
              </w:rPr>
              <w:t>5</w:t>
            </w:r>
          </w:p>
        </w:tc>
        <w:tc>
          <w:tcPr>
            <w:tcW w:w="1293" w:type="dxa"/>
            <w:vAlign w:val="center"/>
          </w:tcPr>
          <w:p w14:paraId="4CD23F2B">
            <w:pPr>
              <w:jc w:val="center"/>
              <w:rPr>
                <w:rFonts w:ascii="宋体" w:hAnsi="宋体"/>
                <w:color w:val="auto"/>
                <w:szCs w:val="44"/>
              </w:rPr>
            </w:pPr>
          </w:p>
        </w:tc>
        <w:tc>
          <w:tcPr>
            <w:tcW w:w="650" w:type="dxa"/>
            <w:vAlign w:val="center"/>
          </w:tcPr>
          <w:p w14:paraId="3D68C762">
            <w:pPr>
              <w:jc w:val="center"/>
              <w:rPr>
                <w:color w:val="auto"/>
              </w:rPr>
            </w:pPr>
          </w:p>
        </w:tc>
        <w:tc>
          <w:tcPr>
            <w:tcW w:w="650" w:type="dxa"/>
            <w:vAlign w:val="center"/>
          </w:tcPr>
          <w:p w14:paraId="040C318C">
            <w:pPr>
              <w:jc w:val="center"/>
              <w:rPr>
                <w:rFonts w:ascii="宋体" w:hAnsi="宋体"/>
                <w:color w:val="auto"/>
                <w:szCs w:val="44"/>
              </w:rPr>
            </w:pPr>
          </w:p>
        </w:tc>
        <w:tc>
          <w:tcPr>
            <w:tcW w:w="650" w:type="dxa"/>
            <w:vAlign w:val="center"/>
          </w:tcPr>
          <w:p w14:paraId="45561F2A">
            <w:pPr>
              <w:jc w:val="center"/>
              <w:rPr>
                <w:rFonts w:ascii="宋体" w:hAnsi="宋体"/>
                <w:color w:val="auto"/>
                <w:szCs w:val="44"/>
              </w:rPr>
            </w:pPr>
          </w:p>
        </w:tc>
        <w:tc>
          <w:tcPr>
            <w:tcW w:w="650" w:type="dxa"/>
            <w:vAlign w:val="center"/>
          </w:tcPr>
          <w:p w14:paraId="08005EF2">
            <w:pPr>
              <w:jc w:val="center"/>
              <w:rPr>
                <w:rFonts w:ascii="宋体" w:hAnsi="宋体"/>
                <w:color w:val="auto"/>
                <w:szCs w:val="44"/>
              </w:rPr>
            </w:pPr>
          </w:p>
        </w:tc>
        <w:tc>
          <w:tcPr>
            <w:tcW w:w="650" w:type="dxa"/>
            <w:vAlign w:val="center"/>
          </w:tcPr>
          <w:p w14:paraId="24A69457">
            <w:pPr>
              <w:jc w:val="center"/>
              <w:rPr>
                <w:rFonts w:ascii="宋体" w:hAnsi="宋体"/>
                <w:color w:val="auto"/>
                <w:szCs w:val="44"/>
              </w:rPr>
            </w:pPr>
          </w:p>
        </w:tc>
        <w:tc>
          <w:tcPr>
            <w:tcW w:w="650" w:type="dxa"/>
            <w:vAlign w:val="center"/>
          </w:tcPr>
          <w:p w14:paraId="5FF7386A">
            <w:pPr>
              <w:jc w:val="center"/>
              <w:rPr>
                <w:rFonts w:ascii="宋体" w:hAnsi="宋体"/>
                <w:color w:val="auto"/>
                <w:szCs w:val="44"/>
              </w:rPr>
            </w:pPr>
          </w:p>
        </w:tc>
        <w:tc>
          <w:tcPr>
            <w:tcW w:w="650" w:type="dxa"/>
            <w:vAlign w:val="center"/>
          </w:tcPr>
          <w:p w14:paraId="5A25CA77">
            <w:pPr>
              <w:jc w:val="center"/>
              <w:rPr>
                <w:rFonts w:ascii="宋体" w:hAnsi="宋体"/>
                <w:color w:val="auto"/>
                <w:szCs w:val="44"/>
              </w:rPr>
            </w:pPr>
          </w:p>
        </w:tc>
        <w:tc>
          <w:tcPr>
            <w:tcW w:w="650" w:type="dxa"/>
            <w:vAlign w:val="center"/>
          </w:tcPr>
          <w:p w14:paraId="7470325C">
            <w:pPr>
              <w:jc w:val="center"/>
              <w:rPr>
                <w:rFonts w:ascii="宋体" w:hAnsi="宋体"/>
                <w:color w:val="auto"/>
                <w:szCs w:val="44"/>
              </w:rPr>
            </w:pPr>
          </w:p>
        </w:tc>
        <w:tc>
          <w:tcPr>
            <w:tcW w:w="651" w:type="dxa"/>
            <w:vAlign w:val="center"/>
          </w:tcPr>
          <w:p w14:paraId="1B2FEA20">
            <w:pPr>
              <w:jc w:val="center"/>
              <w:rPr>
                <w:rFonts w:ascii="宋体" w:hAnsi="宋体"/>
                <w:color w:val="auto"/>
                <w:szCs w:val="44"/>
              </w:rPr>
            </w:pPr>
          </w:p>
        </w:tc>
        <w:tc>
          <w:tcPr>
            <w:tcW w:w="818" w:type="dxa"/>
            <w:vAlign w:val="center"/>
          </w:tcPr>
          <w:p w14:paraId="72CF9ABD">
            <w:pPr>
              <w:jc w:val="center"/>
              <w:rPr>
                <w:rFonts w:ascii="宋体" w:hAnsi="宋体"/>
                <w:color w:val="auto"/>
                <w:szCs w:val="44"/>
              </w:rPr>
            </w:pPr>
          </w:p>
        </w:tc>
      </w:tr>
      <w:tr w14:paraId="4B5FF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2100C7C0">
            <w:pPr>
              <w:jc w:val="center"/>
              <w:rPr>
                <w:rFonts w:ascii="宋体" w:hAnsi="宋体"/>
                <w:color w:val="auto"/>
                <w:szCs w:val="44"/>
              </w:rPr>
            </w:pPr>
            <w:r>
              <w:rPr>
                <w:rFonts w:hint="eastAsia" w:ascii="宋体" w:hAnsi="宋体"/>
                <w:color w:val="auto"/>
                <w:szCs w:val="44"/>
              </w:rPr>
              <w:t>6</w:t>
            </w:r>
          </w:p>
        </w:tc>
        <w:tc>
          <w:tcPr>
            <w:tcW w:w="1293" w:type="dxa"/>
            <w:vAlign w:val="center"/>
          </w:tcPr>
          <w:p w14:paraId="66F4E456">
            <w:pPr>
              <w:jc w:val="center"/>
              <w:rPr>
                <w:rFonts w:ascii="宋体" w:hAnsi="宋体"/>
                <w:color w:val="auto"/>
                <w:szCs w:val="44"/>
              </w:rPr>
            </w:pPr>
          </w:p>
        </w:tc>
        <w:tc>
          <w:tcPr>
            <w:tcW w:w="650" w:type="dxa"/>
            <w:vAlign w:val="center"/>
          </w:tcPr>
          <w:p w14:paraId="092E53E3">
            <w:pPr>
              <w:jc w:val="center"/>
              <w:rPr>
                <w:color w:val="auto"/>
              </w:rPr>
            </w:pPr>
          </w:p>
        </w:tc>
        <w:tc>
          <w:tcPr>
            <w:tcW w:w="650" w:type="dxa"/>
            <w:vAlign w:val="center"/>
          </w:tcPr>
          <w:p w14:paraId="69D2E40C">
            <w:pPr>
              <w:jc w:val="center"/>
              <w:rPr>
                <w:rFonts w:ascii="宋体" w:hAnsi="宋体"/>
                <w:color w:val="auto"/>
                <w:szCs w:val="44"/>
              </w:rPr>
            </w:pPr>
          </w:p>
        </w:tc>
        <w:tc>
          <w:tcPr>
            <w:tcW w:w="650" w:type="dxa"/>
            <w:vAlign w:val="center"/>
          </w:tcPr>
          <w:p w14:paraId="1D05367D">
            <w:pPr>
              <w:jc w:val="center"/>
              <w:rPr>
                <w:rFonts w:ascii="宋体" w:hAnsi="宋体"/>
                <w:color w:val="auto"/>
                <w:szCs w:val="44"/>
              </w:rPr>
            </w:pPr>
          </w:p>
        </w:tc>
        <w:tc>
          <w:tcPr>
            <w:tcW w:w="650" w:type="dxa"/>
            <w:vAlign w:val="center"/>
          </w:tcPr>
          <w:p w14:paraId="2C621009">
            <w:pPr>
              <w:jc w:val="center"/>
              <w:rPr>
                <w:rFonts w:ascii="宋体" w:hAnsi="宋体"/>
                <w:color w:val="auto"/>
                <w:szCs w:val="44"/>
              </w:rPr>
            </w:pPr>
          </w:p>
        </w:tc>
        <w:tc>
          <w:tcPr>
            <w:tcW w:w="650" w:type="dxa"/>
            <w:vAlign w:val="center"/>
          </w:tcPr>
          <w:p w14:paraId="50D8128C">
            <w:pPr>
              <w:jc w:val="center"/>
              <w:rPr>
                <w:rFonts w:ascii="宋体" w:hAnsi="宋体"/>
                <w:color w:val="auto"/>
                <w:szCs w:val="44"/>
              </w:rPr>
            </w:pPr>
          </w:p>
        </w:tc>
        <w:tc>
          <w:tcPr>
            <w:tcW w:w="650" w:type="dxa"/>
            <w:vAlign w:val="center"/>
          </w:tcPr>
          <w:p w14:paraId="7C9AAC45">
            <w:pPr>
              <w:jc w:val="center"/>
              <w:rPr>
                <w:rFonts w:ascii="宋体" w:hAnsi="宋体"/>
                <w:color w:val="auto"/>
                <w:szCs w:val="44"/>
              </w:rPr>
            </w:pPr>
          </w:p>
        </w:tc>
        <w:tc>
          <w:tcPr>
            <w:tcW w:w="650" w:type="dxa"/>
            <w:vAlign w:val="center"/>
          </w:tcPr>
          <w:p w14:paraId="73319C59">
            <w:pPr>
              <w:jc w:val="center"/>
              <w:rPr>
                <w:rFonts w:ascii="宋体" w:hAnsi="宋体"/>
                <w:color w:val="auto"/>
                <w:szCs w:val="44"/>
              </w:rPr>
            </w:pPr>
          </w:p>
        </w:tc>
        <w:tc>
          <w:tcPr>
            <w:tcW w:w="650" w:type="dxa"/>
            <w:vAlign w:val="center"/>
          </w:tcPr>
          <w:p w14:paraId="0C769CB4">
            <w:pPr>
              <w:jc w:val="center"/>
              <w:rPr>
                <w:rFonts w:ascii="宋体" w:hAnsi="宋体"/>
                <w:color w:val="auto"/>
                <w:szCs w:val="44"/>
              </w:rPr>
            </w:pPr>
          </w:p>
        </w:tc>
        <w:tc>
          <w:tcPr>
            <w:tcW w:w="651" w:type="dxa"/>
            <w:vAlign w:val="center"/>
          </w:tcPr>
          <w:p w14:paraId="2EB4693D">
            <w:pPr>
              <w:jc w:val="center"/>
              <w:rPr>
                <w:rFonts w:ascii="宋体" w:hAnsi="宋体"/>
                <w:color w:val="auto"/>
                <w:szCs w:val="44"/>
              </w:rPr>
            </w:pPr>
          </w:p>
        </w:tc>
        <w:tc>
          <w:tcPr>
            <w:tcW w:w="818" w:type="dxa"/>
            <w:vAlign w:val="center"/>
          </w:tcPr>
          <w:p w14:paraId="57F9F2BD">
            <w:pPr>
              <w:jc w:val="center"/>
              <w:rPr>
                <w:rFonts w:ascii="宋体" w:hAnsi="宋体"/>
                <w:color w:val="auto"/>
                <w:szCs w:val="44"/>
              </w:rPr>
            </w:pPr>
          </w:p>
        </w:tc>
      </w:tr>
      <w:tr w14:paraId="07489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2B9F06E9">
            <w:pPr>
              <w:jc w:val="center"/>
              <w:rPr>
                <w:rFonts w:ascii="宋体" w:hAnsi="宋体"/>
                <w:color w:val="auto"/>
                <w:szCs w:val="44"/>
              </w:rPr>
            </w:pPr>
            <w:r>
              <w:rPr>
                <w:rFonts w:hint="eastAsia" w:ascii="宋体" w:hAnsi="宋体"/>
                <w:color w:val="auto"/>
                <w:szCs w:val="44"/>
              </w:rPr>
              <w:t>…</w:t>
            </w:r>
          </w:p>
        </w:tc>
        <w:tc>
          <w:tcPr>
            <w:tcW w:w="1293" w:type="dxa"/>
            <w:vAlign w:val="center"/>
          </w:tcPr>
          <w:p w14:paraId="7D52BA6F">
            <w:pPr>
              <w:rPr>
                <w:rFonts w:ascii="宋体" w:hAnsi="宋体"/>
                <w:color w:val="auto"/>
                <w:szCs w:val="21"/>
              </w:rPr>
            </w:pPr>
          </w:p>
        </w:tc>
        <w:tc>
          <w:tcPr>
            <w:tcW w:w="650" w:type="dxa"/>
            <w:vAlign w:val="center"/>
          </w:tcPr>
          <w:p w14:paraId="50EF50F7">
            <w:pPr>
              <w:jc w:val="center"/>
              <w:rPr>
                <w:color w:val="auto"/>
              </w:rPr>
            </w:pPr>
          </w:p>
        </w:tc>
        <w:tc>
          <w:tcPr>
            <w:tcW w:w="650" w:type="dxa"/>
            <w:vAlign w:val="center"/>
          </w:tcPr>
          <w:p w14:paraId="3C5F33E3">
            <w:pPr>
              <w:jc w:val="center"/>
              <w:rPr>
                <w:rFonts w:ascii="宋体" w:hAnsi="宋体"/>
                <w:color w:val="auto"/>
                <w:szCs w:val="44"/>
              </w:rPr>
            </w:pPr>
          </w:p>
        </w:tc>
        <w:tc>
          <w:tcPr>
            <w:tcW w:w="650" w:type="dxa"/>
            <w:vAlign w:val="center"/>
          </w:tcPr>
          <w:p w14:paraId="337CACC7">
            <w:pPr>
              <w:jc w:val="center"/>
              <w:rPr>
                <w:rFonts w:ascii="宋体" w:hAnsi="宋体"/>
                <w:color w:val="auto"/>
                <w:szCs w:val="44"/>
              </w:rPr>
            </w:pPr>
          </w:p>
        </w:tc>
        <w:tc>
          <w:tcPr>
            <w:tcW w:w="650" w:type="dxa"/>
            <w:vAlign w:val="center"/>
          </w:tcPr>
          <w:p w14:paraId="20B2C59C">
            <w:pPr>
              <w:jc w:val="center"/>
              <w:rPr>
                <w:rFonts w:ascii="宋体" w:hAnsi="宋体"/>
                <w:color w:val="auto"/>
                <w:szCs w:val="44"/>
              </w:rPr>
            </w:pPr>
          </w:p>
        </w:tc>
        <w:tc>
          <w:tcPr>
            <w:tcW w:w="650" w:type="dxa"/>
            <w:vAlign w:val="center"/>
          </w:tcPr>
          <w:p w14:paraId="73E379E1">
            <w:pPr>
              <w:jc w:val="center"/>
              <w:rPr>
                <w:rFonts w:ascii="宋体" w:hAnsi="宋体"/>
                <w:color w:val="auto"/>
                <w:szCs w:val="44"/>
              </w:rPr>
            </w:pPr>
          </w:p>
        </w:tc>
        <w:tc>
          <w:tcPr>
            <w:tcW w:w="650" w:type="dxa"/>
            <w:vAlign w:val="center"/>
          </w:tcPr>
          <w:p w14:paraId="4AB685D3">
            <w:pPr>
              <w:jc w:val="center"/>
              <w:rPr>
                <w:rFonts w:ascii="宋体" w:hAnsi="宋体"/>
                <w:color w:val="auto"/>
                <w:szCs w:val="44"/>
              </w:rPr>
            </w:pPr>
          </w:p>
        </w:tc>
        <w:tc>
          <w:tcPr>
            <w:tcW w:w="650" w:type="dxa"/>
            <w:vAlign w:val="center"/>
          </w:tcPr>
          <w:p w14:paraId="2A7340AC">
            <w:pPr>
              <w:jc w:val="center"/>
              <w:rPr>
                <w:rFonts w:ascii="宋体" w:hAnsi="宋体"/>
                <w:color w:val="auto"/>
                <w:szCs w:val="44"/>
              </w:rPr>
            </w:pPr>
          </w:p>
        </w:tc>
        <w:tc>
          <w:tcPr>
            <w:tcW w:w="650" w:type="dxa"/>
            <w:vAlign w:val="center"/>
          </w:tcPr>
          <w:p w14:paraId="393CD2DE">
            <w:pPr>
              <w:jc w:val="center"/>
              <w:rPr>
                <w:rFonts w:ascii="宋体" w:hAnsi="宋体"/>
                <w:color w:val="auto"/>
                <w:szCs w:val="44"/>
              </w:rPr>
            </w:pPr>
          </w:p>
        </w:tc>
        <w:tc>
          <w:tcPr>
            <w:tcW w:w="651" w:type="dxa"/>
            <w:vAlign w:val="center"/>
          </w:tcPr>
          <w:p w14:paraId="2EA97133">
            <w:pPr>
              <w:jc w:val="center"/>
              <w:rPr>
                <w:rFonts w:ascii="宋体" w:hAnsi="宋体"/>
                <w:color w:val="auto"/>
                <w:szCs w:val="44"/>
              </w:rPr>
            </w:pPr>
          </w:p>
        </w:tc>
        <w:tc>
          <w:tcPr>
            <w:tcW w:w="818" w:type="dxa"/>
            <w:vAlign w:val="center"/>
          </w:tcPr>
          <w:p w14:paraId="6196C1FD">
            <w:pPr>
              <w:jc w:val="center"/>
              <w:rPr>
                <w:rFonts w:ascii="宋体" w:hAnsi="宋体"/>
                <w:color w:val="auto"/>
                <w:szCs w:val="44"/>
              </w:rPr>
            </w:pPr>
          </w:p>
        </w:tc>
      </w:tr>
      <w:tr w14:paraId="16A29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47" w:type="dxa"/>
            <w:gridSpan w:val="12"/>
            <w:vAlign w:val="center"/>
          </w:tcPr>
          <w:p w14:paraId="2C54DFC6">
            <w:pPr>
              <w:jc w:val="left"/>
              <w:rPr>
                <w:rFonts w:ascii="宋体" w:hAnsi="宋体"/>
                <w:color w:val="auto"/>
                <w:szCs w:val="44"/>
              </w:rPr>
            </w:pPr>
            <w:r>
              <w:rPr>
                <w:rFonts w:hint="eastAsia"/>
                <w:color w:val="auto"/>
              </w:rPr>
              <w:t xml:space="preserve">评标委员会全体成员签名： </w:t>
            </w:r>
            <w:r>
              <w:rPr>
                <w:rFonts w:hint="eastAsia" w:ascii="宋体" w:hAnsi="宋体"/>
                <w:color w:val="auto"/>
                <w:szCs w:val="44"/>
              </w:rPr>
              <w:t xml:space="preserve"> </w:t>
            </w:r>
          </w:p>
          <w:p w14:paraId="0408200B">
            <w:pPr>
              <w:jc w:val="left"/>
              <w:rPr>
                <w:rFonts w:ascii="宋体" w:hAnsi="宋体"/>
                <w:color w:val="auto"/>
                <w:szCs w:val="44"/>
              </w:rPr>
            </w:pPr>
          </w:p>
          <w:p w14:paraId="216EDF87">
            <w:pPr>
              <w:jc w:val="left"/>
              <w:rPr>
                <w:rFonts w:ascii="宋体" w:hAnsi="宋体"/>
                <w:color w:val="auto"/>
                <w:szCs w:val="44"/>
              </w:rPr>
            </w:pPr>
          </w:p>
          <w:p w14:paraId="0A2FB243">
            <w:pPr>
              <w:jc w:val="left"/>
              <w:rPr>
                <w:rFonts w:ascii="宋体" w:hAnsi="宋体"/>
                <w:color w:val="auto"/>
                <w:szCs w:val="44"/>
              </w:rPr>
            </w:pPr>
          </w:p>
          <w:p w14:paraId="146D896A">
            <w:pPr>
              <w:jc w:val="left"/>
              <w:rPr>
                <w:rFonts w:ascii="宋体" w:hAnsi="宋体"/>
                <w:color w:val="auto"/>
                <w:szCs w:val="44"/>
              </w:rPr>
            </w:pPr>
          </w:p>
          <w:p w14:paraId="70E19BC6">
            <w:pPr>
              <w:jc w:val="left"/>
              <w:rPr>
                <w:rFonts w:ascii="宋体" w:hAnsi="宋体"/>
                <w:color w:val="auto"/>
                <w:szCs w:val="44"/>
              </w:rPr>
            </w:pPr>
          </w:p>
          <w:p w14:paraId="7CBA13C9">
            <w:pPr>
              <w:jc w:val="left"/>
              <w:rPr>
                <w:rFonts w:ascii="宋体" w:hAnsi="宋体"/>
                <w:color w:val="auto"/>
                <w:szCs w:val="44"/>
              </w:rPr>
            </w:pPr>
          </w:p>
          <w:p w14:paraId="0103FA2E">
            <w:pPr>
              <w:jc w:val="center"/>
              <w:rPr>
                <w:rFonts w:ascii="宋体" w:hAnsi="宋体"/>
                <w:color w:val="auto"/>
                <w:szCs w:val="44"/>
              </w:rPr>
            </w:pPr>
          </w:p>
        </w:tc>
      </w:tr>
    </w:tbl>
    <w:p w14:paraId="327925E1">
      <w:pPr>
        <w:rPr>
          <w:rFonts w:ascii="宋体" w:hAnsi="宋体"/>
          <w:color w:val="auto"/>
          <w:szCs w:val="44"/>
        </w:rPr>
      </w:pPr>
      <w:r>
        <w:rPr>
          <w:rFonts w:hint="eastAsia" w:ascii="宋体" w:hAnsi="宋体"/>
          <w:color w:val="auto"/>
          <w:szCs w:val="44"/>
        </w:rPr>
        <w:t xml:space="preserve">         </w:t>
      </w:r>
      <w:r>
        <w:rPr>
          <w:rFonts w:ascii="宋体" w:hAnsi="宋体"/>
          <w:color w:val="auto"/>
          <w:szCs w:val="44"/>
        </w:rPr>
        <w:t xml:space="preserve">                                             </w:t>
      </w:r>
      <w:r>
        <w:rPr>
          <w:rFonts w:hint="eastAsia" w:ascii="宋体" w:hAnsi="宋体"/>
          <w:color w:val="auto"/>
          <w:szCs w:val="44"/>
        </w:rPr>
        <w:t>日期：    年    月    日</w:t>
      </w:r>
    </w:p>
    <w:p w14:paraId="0EDEBA1F">
      <w:pPr>
        <w:spacing w:after="240" w:afterLines="100"/>
        <w:rPr>
          <w:rFonts w:ascii="宋体" w:hAnsi="宋体"/>
          <w:color w:val="auto"/>
          <w:szCs w:val="44"/>
        </w:rPr>
      </w:pPr>
    </w:p>
    <w:p w14:paraId="36B8366C">
      <w:pPr>
        <w:rPr>
          <w:rFonts w:ascii="宋体" w:hAnsi="宋体"/>
          <w:color w:val="auto"/>
          <w:szCs w:val="44"/>
        </w:rPr>
      </w:pPr>
      <w:r>
        <w:rPr>
          <w:rFonts w:ascii="宋体" w:hAnsi="宋体"/>
          <w:color w:val="auto"/>
          <w:szCs w:val="44"/>
        </w:rPr>
        <w:br w:type="page"/>
      </w:r>
    </w:p>
    <w:p w14:paraId="1E8C13B7">
      <w:pPr>
        <w:pStyle w:val="27"/>
        <w:rPr>
          <w:color w:val="auto"/>
        </w:rPr>
      </w:pPr>
      <w:bookmarkStart w:id="682" w:name="_Toc165804453"/>
      <w:bookmarkStart w:id="683" w:name="_Toc22789"/>
      <w:r>
        <w:rPr>
          <w:rFonts w:hint="eastAsia"/>
          <w:color w:val="auto"/>
        </w:rPr>
        <w:t>附表A-7：技术标评审记录表（合格性）</w:t>
      </w:r>
      <w:bookmarkEnd w:id="682"/>
      <w:bookmarkEnd w:id="683"/>
    </w:p>
    <w:p w14:paraId="78AE6434">
      <w:pPr>
        <w:spacing w:after="240" w:afterLines="100"/>
        <w:jc w:val="center"/>
        <w:rPr>
          <w:rFonts w:ascii="黑体" w:hAnsi="宋体" w:eastAsia="黑体"/>
          <w:color w:val="auto"/>
          <w:sz w:val="36"/>
          <w:szCs w:val="36"/>
        </w:rPr>
      </w:pPr>
    </w:p>
    <w:p w14:paraId="7FB67B69">
      <w:pPr>
        <w:adjustRightInd w:val="0"/>
        <w:snapToGrid w:val="0"/>
        <w:spacing w:before="240" w:beforeLines="100" w:after="240" w:afterLines="100" w:line="440" w:lineRule="exact"/>
        <w:jc w:val="center"/>
        <w:rPr>
          <w:rFonts w:ascii="黑体" w:hAnsi="黑体" w:eastAsia="黑体"/>
          <w:color w:val="auto"/>
          <w:sz w:val="36"/>
          <w:szCs w:val="36"/>
        </w:rPr>
      </w:pPr>
      <w:r>
        <w:rPr>
          <w:rFonts w:hint="eastAsia" w:ascii="黑体" w:hAnsi="黑体" w:eastAsia="黑体"/>
          <w:color w:val="auto"/>
          <w:sz w:val="36"/>
          <w:szCs w:val="36"/>
        </w:rPr>
        <w:t>技术标评审记录表</w:t>
      </w:r>
    </w:p>
    <w:p w14:paraId="4BA2BF00">
      <w:pPr>
        <w:spacing w:line="400" w:lineRule="exact"/>
        <w:jc w:val="center"/>
        <w:rPr>
          <w:rFonts w:ascii="宋体" w:hAnsi="宋体"/>
          <w:color w:val="auto"/>
          <w:szCs w:val="44"/>
        </w:rPr>
      </w:pPr>
      <w:r>
        <w:rPr>
          <w:rFonts w:hint="eastAsia" w:ascii="黑体" w:hAnsi="宋体" w:eastAsia="黑体"/>
          <w:color w:val="auto"/>
          <w:sz w:val="36"/>
          <w:szCs w:val="36"/>
        </w:rPr>
        <w:t>（适用于经评审的最低投标价法）</w:t>
      </w:r>
    </w:p>
    <w:p w14:paraId="479B2163">
      <w:pPr>
        <w:rPr>
          <w:rFonts w:ascii="宋体" w:hAnsi="宋体"/>
          <w:color w:val="auto"/>
          <w:szCs w:val="44"/>
        </w:rPr>
      </w:pPr>
      <w:r>
        <w:rPr>
          <w:rFonts w:hint="eastAsia" w:ascii="宋体" w:hAnsi="宋体"/>
          <w:color w:val="auto"/>
          <w:szCs w:val="44"/>
        </w:rPr>
        <w:t>标段名称：</w:t>
      </w:r>
    </w:p>
    <w:p w14:paraId="0A478D53">
      <w:pPr>
        <w:rPr>
          <w:rFonts w:ascii="宋体" w:hAnsi="宋体"/>
          <w:color w:val="auto"/>
          <w:szCs w:val="44"/>
        </w:rPr>
      </w:pPr>
      <w:r>
        <w:rPr>
          <w:rFonts w:hint="eastAsia"/>
          <w:color w:val="auto"/>
          <w:szCs w:val="44"/>
        </w:rPr>
        <w:t>标段唯一标识码：</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1289"/>
        <w:gridCol w:w="626"/>
        <w:gridCol w:w="626"/>
        <w:gridCol w:w="626"/>
        <w:gridCol w:w="626"/>
        <w:gridCol w:w="626"/>
        <w:gridCol w:w="626"/>
        <w:gridCol w:w="626"/>
        <w:gridCol w:w="626"/>
        <w:gridCol w:w="627"/>
        <w:gridCol w:w="796"/>
      </w:tblGrid>
      <w:tr w14:paraId="710E2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32" w:type="dxa"/>
            <w:vMerge w:val="restart"/>
            <w:vAlign w:val="center"/>
          </w:tcPr>
          <w:p w14:paraId="1C421E8B">
            <w:pPr>
              <w:jc w:val="center"/>
              <w:rPr>
                <w:rFonts w:ascii="宋体" w:hAnsi="宋体"/>
                <w:b/>
                <w:bCs/>
                <w:color w:val="auto"/>
                <w:szCs w:val="44"/>
              </w:rPr>
            </w:pPr>
            <w:r>
              <w:rPr>
                <w:rFonts w:hint="eastAsia" w:ascii="宋体" w:hAnsi="宋体"/>
                <w:b/>
                <w:bCs/>
                <w:color w:val="auto"/>
                <w:szCs w:val="44"/>
              </w:rPr>
              <w:t>序号</w:t>
            </w:r>
          </w:p>
        </w:tc>
        <w:tc>
          <w:tcPr>
            <w:tcW w:w="1340" w:type="dxa"/>
            <w:vMerge w:val="restart"/>
            <w:vAlign w:val="center"/>
          </w:tcPr>
          <w:p w14:paraId="10F43820">
            <w:pPr>
              <w:jc w:val="center"/>
              <w:rPr>
                <w:rFonts w:ascii="宋体" w:hAnsi="宋体"/>
                <w:b/>
                <w:bCs/>
                <w:color w:val="auto"/>
                <w:szCs w:val="44"/>
              </w:rPr>
            </w:pPr>
            <w:r>
              <w:rPr>
                <w:rFonts w:hint="eastAsia" w:ascii="宋体" w:hAnsi="宋体"/>
                <w:b/>
                <w:bCs/>
                <w:color w:val="auto"/>
                <w:szCs w:val="44"/>
              </w:rPr>
              <w:t>投标人名称</w:t>
            </w:r>
          </w:p>
        </w:tc>
        <w:tc>
          <w:tcPr>
            <w:tcW w:w="5851" w:type="dxa"/>
            <w:gridSpan w:val="9"/>
            <w:vAlign w:val="center"/>
          </w:tcPr>
          <w:p w14:paraId="59D07E88">
            <w:pPr>
              <w:jc w:val="center"/>
              <w:rPr>
                <w:rFonts w:ascii="宋体" w:hAnsi="宋体"/>
                <w:b/>
                <w:bCs/>
                <w:color w:val="auto"/>
                <w:szCs w:val="44"/>
              </w:rPr>
            </w:pPr>
            <w:r>
              <w:rPr>
                <w:rFonts w:hint="eastAsia" w:ascii="宋体" w:hAnsi="宋体"/>
                <w:b/>
                <w:bCs/>
                <w:color w:val="auto"/>
                <w:szCs w:val="44"/>
              </w:rPr>
              <w:t>评审标准及评审意见</w:t>
            </w:r>
          </w:p>
        </w:tc>
        <w:tc>
          <w:tcPr>
            <w:tcW w:w="818" w:type="dxa"/>
            <w:vMerge w:val="restart"/>
            <w:vAlign w:val="center"/>
          </w:tcPr>
          <w:p w14:paraId="538364EC">
            <w:pPr>
              <w:jc w:val="center"/>
              <w:rPr>
                <w:rFonts w:ascii="宋体" w:hAnsi="宋体"/>
                <w:b/>
                <w:bCs/>
                <w:color w:val="auto"/>
                <w:szCs w:val="44"/>
              </w:rPr>
            </w:pPr>
            <w:r>
              <w:rPr>
                <w:rFonts w:ascii="宋体" w:hAnsi="宋体"/>
                <w:b/>
                <w:bCs/>
                <w:color w:val="auto"/>
                <w:szCs w:val="21"/>
              </w:rPr>
              <w:t>评审结论</w:t>
            </w:r>
          </w:p>
        </w:tc>
      </w:tr>
      <w:tr w14:paraId="374DB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32" w:type="dxa"/>
            <w:vMerge w:val="continue"/>
            <w:vAlign w:val="center"/>
          </w:tcPr>
          <w:p w14:paraId="3486A779">
            <w:pPr>
              <w:jc w:val="center"/>
              <w:rPr>
                <w:rFonts w:ascii="宋体" w:hAnsi="宋体"/>
                <w:color w:val="auto"/>
                <w:szCs w:val="44"/>
              </w:rPr>
            </w:pPr>
          </w:p>
        </w:tc>
        <w:tc>
          <w:tcPr>
            <w:tcW w:w="1340" w:type="dxa"/>
            <w:vMerge w:val="continue"/>
          </w:tcPr>
          <w:p w14:paraId="1B04E0A2">
            <w:pPr>
              <w:jc w:val="center"/>
              <w:rPr>
                <w:rFonts w:ascii="宋体" w:hAnsi="宋体"/>
                <w:color w:val="auto"/>
                <w:szCs w:val="44"/>
              </w:rPr>
            </w:pPr>
          </w:p>
        </w:tc>
        <w:tc>
          <w:tcPr>
            <w:tcW w:w="650" w:type="dxa"/>
            <w:vAlign w:val="center"/>
          </w:tcPr>
          <w:p w14:paraId="0CCC1B97">
            <w:pPr>
              <w:jc w:val="center"/>
              <w:rPr>
                <w:rFonts w:ascii="宋体" w:hAnsi="宋体"/>
                <w:color w:val="auto"/>
                <w:szCs w:val="44"/>
              </w:rPr>
            </w:pPr>
          </w:p>
        </w:tc>
        <w:tc>
          <w:tcPr>
            <w:tcW w:w="650" w:type="dxa"/>
            <w:vAlign w:val="center"/>
          </w:tcPr>
          <w:p w14:paraId="527068C6">
            <w:pPr>
              <w:jc w:val="center"/>
              <w:rPr>
                <w:rFonts w:ascii="宋体" w:hAnsi="宋体"/>
                <w:color w:val="auto"/>
                <w:szCs w:val="44"/>
              </w:rPr>
            </w:pPr>
          </w:p>
        </w:tc>
        <w:tc>
          <w:tcPr>
            <w:tcW w:w="650" w:type="dxa"/>
            <w:vAlign w:val="center"/>
          </w:tcPr>
          <w:p w14:paraId="585647AD">
            <w:pPr>
              <w:jc w:val="center"/>
              <w:rPr>
                <w:rFonts w:ascii="宋体" w:hAnsi="宋体"/>
                <w:color w:val="auto"/>
                <w:szCs w:val="44"/>
              </w:rPr>
            </w:pPr>
          </w:p>
        </w:tc>
        <w:tc>
          <w:tcPr>
            <w:tcW w:w="650" w:type="dxa"/>
            <w:vAlign w:val="center"/>
          </w:tcPr>
          <w:p w14:paraId="5BA27B42">
            <w:pPr>
              <w:jc w:val="center"/>
              <w:rPr>
                <w:rFonts w:ascii="宋体" w:hAnsi="宋体"/>
                <w:color w:val="auto"/>
                <w:szCs w:val="44"/>
              </w:rPr>
            </w:pPr>
          </w:p>
        </w:tc>
        <w:tc>
          <w:tcPr>
            <w:tcW w:w="650" w:type="dxa"/>
            <w:vAlign w:val="center"/>
          </w:tcPr>
          <w:p w14:paraId="343A7D8F">
            <w:pPr>
              <w:jc w:val="center"/>
              <w:rPr>
                <w:rFonts w:ascii="宋体" w:hAnsi="宋体"/>
                <w:color w:val="auto"/>
                <w:szCs w:val="44"/>
              </w:rPr>
            </w:pPr>
          </w:p>
        </w:tc>
        <w:tc>
          <w:tcPr>
            <w:tcW w:w="650" w:type="dxa"/>
            <w:vAlign w:val="center"/>
          </w:tcPr>
          <w:p w14:paraId="0182579C">
            <w:pPr>
              <w:jc w:val="center"/>
              <w:rPr>
                <w:rFonts w:ascii="宋体" w:hAnsi="宋体"/>
                <w:color w:val="auto"/>
                <w:szCs w:val="44"/>
              </w:rPr>
            </w:pPr>
          </w:p>
        </w:tc>
        <w:tc>
          <w:tcPr>
            <w:tcW w:w="650" w:type="dxa"/>
            <w:vAlign w:val="center"/>
          </w:tcPr>
          <w:p w14:paraId="0495902C">
            <w:pPr>
              <w:jc w:val="center"/>
              <w:rPr>
                <w:rFonts w:ascii="宋体" w:hAnsi="宋体"/>
                <w:color w:val="auto"/>
                <w:szCs w:val="44"/>
              </w:rPr>
            </w:pPr>
          </w:p>
        </w:tc>
        <w:tc>
          <w:tcPr>
            <w:tcW w:w="650" w:type="dxa"/>
            <w:vAlign w:val="center"/>
          </w:tcPr>
          <w:p w14:paraId="626775D2">
            <w:pPr>
              <w:jc w:val="center"/>
              <w:rPr>
                <w:rFonts w:ascii="宋体" w:hAnsi="宋体"/>
                <w:color w:val="auto"/>
                <w:szCs w:val="44"/>
              </w:rPr>
            </w:pPr>
          </w:p>
        </w:tc>
        <w:tc>
          <w:tcPr>
            <w:tcW w:w="651" w:type="dxa"/>
            <w:vAlign w:val="center"/>
          </w:tcPr>
          <w:p w14:paraId="64027C7E">
            <w:pPr>
              <w:jc w:val="center"/>
              <w:rPr>
                <w:rFonts w:ascii="宋体" w:hAnsi="宋体"/>
                <w:color w:val="auto"/>
                <w:szCs w:val="44"/>
              </w:rPr>
            </w:pPr>
          </w:p>
        </w:tc>
        <w:tc>
          <w:tcPr>
            <w:tcW w:w="818" w:type="dxa"/>
            <w:vMerge w:val="continue"/>
            <w:vAlign w:val="center"/>
          </w:tcPr>
          <w:p w14:paraId="4EF43C0D">
            <w:pPr>
              <w:jc w:val="center"/>
              <w:rPr>
                <w:rFonts w:ascii="宋体" w:hAnsi="宋体"/>
                <w:color w:val="auto"/>
                <w:szCs w:val="44"/>
              </w:rPr>
            </w:pPr>
          </w:p>
        </w:tc>
      </w:tr>
      <w:tr w14:paraId="24C33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61291902">
            <w:pPr>
              <w:jc w:val="center"/>
              <w:rPr>
                <w:rFonts w:ascii="宋体" w:hAnsi="宋体"/>
                <w:color w:val="auto"/>
                <w:szCs w:val="44"/>
              </w:rPr>
            </w:pPr>
            <w:r>
              <w:rPr>
                <w:rFonts w:hint="eastAsia" w:ascii="宋体" w:hAnsi="宋体"/>
                <w:color w:val="auto"/>
                <w:szCs w:val="44"/>
              </w:rPr>
              <w:t>1</w:t>
            </w:r>
          </w:p>
        </w:tc>
        <w:tc>
          <w:tcPr>
            <w:tcW w:w="1340" w:type="dxa"/>
            <w:vAlign w:val="center"/>
          </w:tcPr>
          <w:p w14:paraId="0AD04D1D">
            <w:pPr>
              <w:jc w:val="center"/>
              <w:rPr>
                <w:rFonts w:ascii="宋体" w:hAnsi="宋体"/>
                <w:color w:val="auto"/>
                <w:szCs w:val="21"/>
              </w:rPr>
            </w:pPr>
          </w:p>
        </w:tc>
        <w:tc>
          <w:tcPr>
            <w:tcW w:w="650" w:type="dxa"/>
            <w:vAlign w:val="center"/>
          </w:tcPr>
          <w:p w14:paraId="096DC526">
            <w:pPr>
              <w:jc w:val="center"/>
              <w:rPr>
                <w:rFonts w:ascii="宋体" w:hAnsi="宋体"/>
                <w:color w:val="auto"/>
                <w:szCs w:val="21"/>
              </w:rPr>
            </w:pPr>
          </w:p>
        </w:tc>
        <w:tc>
          <w:tcPr>
            <w:tcW w:w="650" w:type="dxa"/>
            <w:vAlign w:val="center"/>
          </w:tcPr>
          <w:p w14:paraId="0591ED42">
            <w:pPr>
              <w:jc w:val="center"/>
              <w:rPr>
                <w:rFonts w:ascii="宋体" w:hAnsi="宋体"/>
                <w:color w:val="auto"/>
                <w:szCs w:val="44"/>
              </w:rPr>
            </w:pPr>
          </w:p>
        </w:tc>
        <w:tc>
          <w:tcPr>
            <w:tcW w:w="650" w:type="dxa"/>
            <w:vAlign w:val="center"/>
          </w:tcPr>
          <w:p w14:paraId="2CE6ECB8">
            <w:pPr>
              <w:jc w:val="center"/>
              <w:rPr>
                <w:rFonts w:ascii="宋体" w:hAnsi="宋体"/>
                <w:color w:val="auto"/>
                <w:szCs w:val="44"/>
              </w:rPr>
            </w:pPr>
          </w:p>
        </w:tc>
        <w:tc>
          <w:tcPr>
            <w:tcW w:w="650" w:type="dxa"/>
            <w:vAlign w:val="center"/>
          </w:tcPr>
          <w:p w14:paraId="2B958D62">
            <w:pPr>
              <w:jc w:val="center"/>
              <w:rPr>
                <w:rFonts w:ascii="宋体" w:hAnsi="宋体"/>
                <w:color w:val="auto"/>
                <w:szCs w:val="44"/>
              </w:rPr>
            </w:pPr>
          </w:p>
        </w:tc>
        <w:tc>
          <w:tcPr>
            <w:tcW w:w="650" w:type="dxa"/>
            <w:vAlign w:val="center"/>
          </w:tcPr>
          <w:p w14:paraId="619B0D72">
            <w:pPr>
              <w:jc w:val="center"/>
              <w:rPr>
                <w:rFonts w:ascii="宋体" w:hAnsi="宋体"/>
                <w:color w:val="auto"/>
                <w:szCs w:val="44"/>
              </w:rPr>
            </w:pPr>
          </w:p>
        </w:tc>
        <w:tc>
          <w:tcPr>
            <w:tcW w:w="650" w:type="dxa"/>
            <w:vAlign w:val="center"/>
          </w:tcPr>
          <w:p w14:paraId="160CE54F">
            <w:pPr>
              <w:jc w:val="center"/>
              <w:rPr>
                <w:rFonts w:ascii="宋体" w:hAnsi="宋体"/>
                <w:color w:val="auto"/>
                <w:szCs w:val="44"/>
              </w:rPr>
            </w:pPr>
          </w:p>
        </w:tc>
        <w:tc>
          <w:tcPr>
            <w:tcW w:w="650" w:type="dxa"/>
            <w:vAlign w:val="center"/>
          </w:tcPr>
          <w:p w14:paraId="7EDFFD98">
            <w:pPr>
              <w:jc w:val="center"/>
              <w:rPr>
                <w:rFonts w:ascii="宋体" w:hAnsi="宋体"/>
                <w:color w:val="auto"/>
                <w:szCs w:val="44"/>
              </w:rPr>
            </w:pPr>
          </w:p>
        </w:tc>
        <w:tc>
          <w:tcPr>
            <w:tcW w:w="650" w:type="dxa"/>
            <w:vAlign w:val="center"/>
          </w:tcPr>
          <w:p w14:paraId="57E48272">
            <w:pPr>
              <w:jc w:val="center"/>
              <w:rPr>
                <w:rFonts w:ascii="宋体" w:hAnsi="宋体"/>
                <w:color w:val="auto"/>
                <w:szCs w:val="44"/>
              </w:rPr>
            </w:pPr>
          </w:p>
        </w:tc>
        <w:tc>
          <w:tcPr>
            <w:tcW w:w="651" w:type="dxa"/>
            <w:vAlign w:val="center"/>
          </w:tcPr>
          <w:p w14:paraId="177ABE43">
            <w:pPr>
              <w:jc w:val="center"/>
              <w:rPr>
                <w:rFonts w:ascii="宋体" w:hAnsi="宋体"/>
                <w:color w:val="auto"/>
                <w:szCs w:val="44"/>
              </w:rPr>
            </w:pPr>
          </w:p>
        </w:tc>
        <w:tc>
          <w:tcPr>
            <w:tcW w:w="818" w:type="dxa"/>
            <w:vAlign w:val="center"/>
          </w:tcPr>
          <w:p w14:paraId="6789E7F7">
            <w:pPr>
              <w:jc w:val="center"/>
              <w:rPr>
                <w:rFonts w:ascii="宋体" w:hAnsi="宋体"/>
                <w:color w:val="auto"/>
                <w:szCs w:val="44"/>
              </w:rPr>
            </w:pPr>
          </w:p>
        </w:tc>
      </w:tr>
      <w:tr w14:paraId="13BEA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2CC637DA">
            <w:pPr>
              <w:jc w:val="center"/>
              <w:rPr>
                <w:rFonts w:ascii="宋体" w:hAnsi="宋体"/>
                <w:color w:val="auto"/>
                <w:szCs w:val="44"/>
              </w:rPr>
            </w:pPr>
            <w:r>
              <w:rPr>
                <w:rFonts w:hint="eastAsia" w:ascii="宋体" w:hAnsi="宋体"/>
                <w:color w:val="auto"/>
                <w:szCs w:val="44"/>
              </w:rPr>
              <w:t>2</w:t>
            </w:r>
          </w:p>
        </w:tc>
        <w:tc>
          <w:tcPr>
            <w:tcW w:w="1340" w:type="dxa"/>
            <w:vAlign w:val="center"/>
          </w:tcPr>
          <w:p w14:paraId="452940C9">
            <w:pPr>
              <w:jc w:val="center"/>
              <w:rPr>
                <w:rFonts w:ascii="宋体" w:hAnsi="宋体"/>
                <w:color w:val="auto"/>
                <w:szCs w:val="44"/>
              </w:rPr>
            </w:pPr>
          </w:p>
        </w:tc>
        <w:tc>
          <w:tcPr>
            <w:tcW w:w="650" w:type="dxa"/>
            <w:vAlign w:val="center"/>
          </w:tcPr>
          <w:p w14:paraId="725E4672">
            <w:pPr>
              <w:jc w:val="center"/>
              <w:rPr>
                <w:color w:val="auto"/>
              </w:rPr>
            </w:pPr>
          </w:p>
        </w:tc>
        <w:tc>
          <w:tcPr>
            <w:tcW w:w="650" w:type="dxa"/>
            <w:vAlign w:val="center"/>
          </w:tcPr>
          <w:p w14:paraId="20E3BBF3">
            <w:pPr>
              <w:jc w:val="center"/>
              <w:rPr>
                <w:rFonts w:ascii="宋体" w:hAnsi="宋体"/>
                <w:color w:val="auto"/>
                <w:szCs w:val="44"/>
              </w:rPr>
            </w:pPr>
          </w:p>
        </w:tc>
        <w:tc>
          <w:tcPr>
            <w:tcW w:w="650" w:type="dxa"/>
            <w:vAlign w:val="center"/>
          </w:tcPr>
          <w:p w14:paraId="5E77086A">
            <w:pPr>
              <w:jc w:val="center"/>
              <w:rPr>
                <w:rFonts w:ascii="宋体" w:hAnsi="宋体"/>
                <w:color w:val="auto"/>
                <w:szCs w:val="44"/>
              </w:rPr>
            </w:pPr>
          </w:p>
        </w:tc>
        <w:tc>
          <w:tcPr>
            <w:tcW w:w="650" w:type="dxa"/>
            <w:vAlign w:val="center"/>
          </w:tcPr>
          <w:p w14:paraId="08704372">
            <w:pPr>
              <w:jc w:val="center"/>
              <w:rPr>
                <w:rFonts w:ascii="宋体" w:hAnsi="宋体"/>
                <w:color w:val="auto"/>
                <w:szCs w:val="44"/>
              </w:rPr>
            </w:pPr>
          </w:p>
        </w:tc>
        <w:tc>
          <w:tcPr>
            <w:tcW w:w="650" w:type="dxa"/>
            <w:vAlign w:val="center"/>
          </w:tcPr>
          <w:p w14:paraId="5AC6A22A">
            <w:pPr>
              <w:jc w:val="center"/>
              <w:rPr>
                <w:rFonts w:ascii="宋体" w:hAnsi="宋体"/>
                <w:color w:val="auto"/>
                <w:szCs w:val="44"/>
              </w:rPr>
            </w:pPr>
          </w:p>
        </w:tc>
        <w:tc>
          <w:tcPr>
            <w:tcW w:w="650" w:type="dxa"/>
            <w:vAlign w:val="center"/>
          </w:tcPr>
          <w:p w14:paraId="0F7AEDB3">
            <w:pPr>
              <w:jc w:val="center"/>
              <w:rPr>
                <w:rFonts w:ascii="宋体" w:hAnsi="宋体"/>
                <w:color w:val="auto"/>
                <w:szCs w:val="44"/>
              </w:rPr>
            </w:pPr>
          </w:p>
        </w:tc>
        <w:tc>
          <w:tcPr>
            <w:tcW w:w="650" w:type="dxa"/>
            <w:vAlign w:val="center"/>
          </w:tcPr>
          <w:p w14:paraId="4A944E73">
            <w:pPr>
              <w:jc w:val="center"/>
              <w:rPr>
                <w:rFonts w:ascii="宋体" w:hAnsi="宋体"/>
                <w:color w:val="auto"/>
                <w:szCs w:val="44"/>
              </w:rPr>
            </w:pPr>
          </w:p>
        </w:tc>
        <w:tc>
          <w:tcPr>
            <w:tcW w:w="650" w:type="dxa"/>
            <w:vAlign w:val="center"/>
          </w:tcPr>
          <w:p w14:paraId="350A6886">
            <w:pPr>
              <w:jc w:val="center"/>
              <w:rPr>
                <w:rFonts w:ascii="宋体" w:hAnsi="宋体"/>
                <w:color w:val="auto"/>
                <w:szCs w:val="44"/>
              </w:rPr>
            </w:pPr>
          </w:p>
        </w:tc>
        <w:tc>
          <w:tcPr>
            <w:tcW w:w="651" w:type="dxa"/>
            <w:vAlign w:val="center"/>
          </w:tcPr>
          <w:p w14:paraId="582B3E97">
            <w:pPr>
              <w:jc w:val="center"/>
              <w:rPr>
                <w:rFonts w:ascii="宋体" w:hAnsi="宋体"/>
                <w:color w:val="auto"/>
                <w:szCs w:val="44"/>
              </w:rPr>
            </w:pPr>
          </w:p>
        </w:tc>
        <w:tc>
          <w:tcPr>
            <w:tcW w:w="818" w:type="dxa"/>
            <w:vAlign w:val="center"/>
          </w:tcPr>
          <w:p w14:paraId="4B47466D">
            <w:pPr>
              <w:jc w:val="center"/>
              <w:rPr>
                <w:rFonts w:ascii="宋体" w:hAnsi="宋体"/>
                <w:color w:val="auto"/>
                <w:szCs w:val="44"/>
              </w:rPr>
            </w:pPr>
          </w:p>
        </w:tc>
      </w:tr>
      <w:tr w14:paraId="7669F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6B2A6CD8">
            <w:pPr>
              <w:jc w:val="center"/>
              <w:rPr>
                <w:rFonts w:ascii="宋体" w:hAnsi="宋体"/>
                <w:color w:val="auto"/>
                <w:szCs w:val="44"/>
              </w:rPr>
            </w:pPr>
            <w:r>
              <w:rPr>
                <w:rFonts w:hint="eastAsia" w:ascii="宋体" w:hAnsi="宋体"/>
                <w:color w:val="auto"/>
                <w:szCs w:val="44"/>
              </w:rPr>
              <w:t>3</w:t>
            </w:r>
          </w:p>
        </w:tc>
        <w:tc>
          <w:tcPr>
            <w:tcW w:w="1340" w:type="dxa"/>
            <w:vAlign w:val="center"/>
          </w:tcPr>
          <w:p w14:paraId="4050808B">
            <w:pPr>
              <w:jc w:val="center"/>
              <w:rPr>
                <w:rFonts w:ascii="宋体" w:hAnsi="宋体"/>
                <w:color w:val="auto"/>
                <w:szCs w:val="44"/>
              </w:rPr>
            </w:pPr>
          </w:p>
        </w:tc>
        <w:tc>
          <w:tcPr>
            <w:tcW w:w="650" w:type="dxa"/>
            <w:vAlign w:val="center"/>
          </w:tcPr>
          <w:p w14:paraId="4DF49703">
            <w:pPr>
              <w:jc w:val="center"/>
              <w:rPr>
                <w:color w:val="auto"/>
              </w:rPr>
            </w:pPr>
          </w:p>
        </w:tc>
        <w:tc>
          <w:tcPr>
            <w:tcW w:w="650" w:type="dxa"/>
            <w:vAlign w:val="center"/>
          </w:tcPr>
          <w:p w14:paraId="77BF6C59">
            <w:pPr>
              <w:jc w:val="center"/>
              <w:rPr>
                <w:rFonts w:ascii="宋体" w:hAnsi="宋体"/>
                <w:color w:val="auto"/>
                <w:szCs w:val="44"/>
              </w:rPr>
            </w:pPr>
          </w:p>
        </w:tc>
        <w:tc>
          <w:tcPr>
            <w:tcW w:w="650" w:type="dxa"/>
            <w:vAlign w:val="center"/>
          </w:tcPr>
          <w:p w14:paraId="356EA7F5">
            <w:pPr>
              <w:jc w:val="center"/>
              <w:rPr>
                <w:rFonts w:ascii="宋体" w:hAnsi="宋体"/>
                <w:color w:val="auto"/>
                <w:szCs w:val="44"/>
              </w:rPr>
            </w:pPr>
          </w:p>
        </w:tc>
        <w:tc>
          <w:tcPr>
            <w:tcW w:w="650" w:type="dxa"/>
            <w:vAlign w:val="center"/>
          </w:tcPr>
          <w:p w14:paraId="798E9DDB">
            <w:pPr>
              <w:jc w:val="center"/>
              <w:rPr>
                <w:rFonts w:ascii="宋体" w:hAnsi="宋体"/>
                <w:color w:val="auto"/>
                <w:szCs w:val="44"/>
              </w:rPr>
            </w:pPr>
          </w:p>
        </w:tc>
        <w:tc>
          <w:tcPr>
            <w:tcW w:w="650" w:type="dxa"/>
            <w:vAlign w:val="center"/>
          </w:tcPr>
          <w:p w14:paraId="25E1F05B">
            <w:pPr>
              <w:jc w:val="center"/>
              <w:rPr>
                <w:rFonts w:ascii="宋体" w:hAnsi="宋体"/>
                <w:color w:val="auto"/>
                <w:szCs w:val="44"/>
              </w:rPr>
            </w:pPr>
          </w:p>
        </w:tc>
        <w:tc>
          <w:tcPr>
            <w:tcW w:w="650" w:type="dxa"/>
            <w:vAlign w:val="center"/>
          </w:tcPr>
          <w:p w14:paraId="7C8510FE">
            <w:pPr>
              <w:jc w:val="center"/>
              <w:rPr>
                <w:rFonts w:ascii="宋体" w:hAnsi="宋体"/>
                <w:color w:val="auto"/>
                <w:szCs w:val="44"/>
              </w:rPr>
            </w:pPr>
          </w:p>
        </w:tc>
        <w:tc>
          <w:tcPr>
            <w:tcW w:w="650" w:type="dxa"/>
            <w:vAlign w:val="center"/>
          </w:tcPr>
          <w:p w14:paraId="190F74F5">
            <w:pPr>
              <w:jc w:val="center"/>
              <w:rPr>
                <w:rFonts w:ascii="宋体" w:hAnsi="宋体"/>
                <w:color w:val="auto"/>
                <w:szCs w:val="44"/>
              </w:rPr>
            </w:pPr>
          </w:p>
        </w:tc>
        <w:tc>
          <w:tcPr>
            <w:tcW w:w="650" w:type="dxa"/>
            <w:vAlign w:val="center"/>
          </w:tcPr>
          <w:p w14:paraId="58B605E5">
            <w:pPr>
              <w:jc w:val="center"/>
              <w:rPr>
                <w:rFonts w:ascii="宋体" w:hAnsi="宋体"/>
                <w:color w:val="auto"/>
                <w:szCs w:val="44"/>
              </w:rPr>
            </w:pPr>
          </w:p>
        </w:tc>
        <w:tc>
          <w:tcPr>
            <w:tcW w:w="651" w:type="dxa"/>
            <w:vAlign w:val="center"/>
          </w:tcPr>
          <w:p w14:paraId="04544331">
            <w:pPr>
              <w:jc w:val="center"/>
              <w:rPr>
                <w:rFonts w:ascii="宋体" w:hAnsi="宋体"/>
                <w:color w:val="auto"/>
                <w:szCs w:val="44"/>
              </w:rPr>
            </w:pPr>
          </w:p>
        </w:tc>
        <w:tc>
          <w:tcPr>
            <w:tcW w:w="818" w:type="dxa"/>
            <w:vAlign w:val="center"/>
          </w:tcPr>
          <w:p w14:paraId="623174B6">
            <w:pPr>
              <w:jc w:val="center"/>
              <w:rPr>
                <w:rFonts w:ascii="宋体" w:hAnsi="宋体"/>
                <w:color w:val="auto"/>
                <w:szCs w:val="44"/>
              </w:rPr>
            </w:pPr>
          </w:p>
        </w:tc>
      </w:tr>
      <w:tr w14:paraId="1AC62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2DD18D1C">
            <w:pPr>
              <w:jc w:val="center"/>
              <w:rPr>
                <w:rFonts w:ascii="宋体" w:hAnsi="宋体"/>
                <w:color w:val="auto"/>
                <w:szCs w:val="44"/>
              </w:rPr>
            </w:pPr>
            <w:r>
              <w:rPr>
                <w:rFonts w:hint="eastAsia" w:ascii="宋体" w:hAnsi="宋体"/>
                <w:color w:val="auto"/>
                <w:szCs w:val="44"/>
              </w:rPr>
              <w:t>4</w:t>
            </w:r>
          </w:p>
        </w:tc>
        <w:tc>
          <w:tcPr>
            <w:tcW w:w="1340" w:type="dxa"/>
            <w:vAlign w:val="center"/>
          </w:tcPr>
          <w:p w14:paraId="0E1A11C0">
            <w:pPr>
              <w:jc w:val="center"/>
              <w:rPr>
                <w:rFonts w:ascii="宋体" w:hAnsi="宋体"/>
                <w:color w:val="auto"/>
                <w:szCs w:val="44"/>
              </w:rPr>
            </w:pPr>
          </w:p>
        </w:tc>
        <w:tc>
          <w:tcPr>
            <w:tcW w:w="650" w:type="dxa"/>
            <w:vAlign w:val="center"/>
          </w:tcPr>
          <w:p w14:paraId="25FD7CA1">
            <w:pPr>
              <w:jc w:val="center"/>
              <w:rPr>
                <w:color w:val="auto"/>
              </w:rPr>
            </w:pPr>
          </w:p>
        </w:tc>
        <w:tc>
          <w:tcPr>
            <w:tcW w:w="650" w:type="dxa"/>
            <w:vAlign w:val="center"/>
          </w:tcPr>
          <w:p w14:paraId="117BCCF0">
            <w:pPr>
              <w:jc w:val="center"/>
              <w:rPr>
                <w:rFonts w:ascii="宋体" w:hAnsi="宋体"/>
                <w:color w:val="auto"/>
                <w:szCs w:val="44"/>
              </w:rPr>
            </w:pPr>
          </w:p>
        </w:tc>
        <w:tc>
          <w:tcPr>
            <w:tcW w:w="650" w:type="dxa"/>
            <w:vAlign w:val="center"/>
          </w:tcPr>
          <w:p w14:paraId="45886B76">
            <w:pPr>
              <w:jc w:val="center"/>
              <w:rPr>
                <w:rFonts w:ascii="宋体" w:hAnsi="宋体"/>
                <w:color w:val="auto"/>
                <w:szCs w:val="44"/>
              </w:rPr>
            </w:pPr>
          </w:p>
        </w:tc>
        <w:tc>
          <w:tcPr>
            <w:tcW w:w="650" w:type="dxa"/>
            <w:vAlign w:val="center"/>
          </w:tcPr>
          <w:p w14:paraId="50F3285B">
            <w:pPr>
              <w:jc w:val="center"/>
              <w:rPr>
                <w:rFonts w:ascii="宋体" w:hAnsi="宋体"/>
                <w:color w:val="auto"/>
                <w:szCs w:val="44"/>
              </w:rPr>
            </w:pPr>
          </w:p>
        </w:tc>
        <w:tc>
          <w:tcPr>
            <w:tcW w:w="650" w:type="dxa"/>
            <w:vAlign w:val="center"/>
          </w:tcPr>
          <w:p w14:paraId="4E9A1720">
            <w:pPr>
              <w:jc w:val="center"/>
              <w:rPr>
                <w:rFonts w:ascii="宋体" w:hAnsi="宋体"/>
                <w:color w:val="auto"/>
                <w:szCs w:val="44"/>
              </w:rPr>
            </w:pPr>
          </w:p>
        </w:tc>
        <w:tc>
          <w:tcPr>
            <w:tcW w:w="650" w:type="dxa"/>
            <w:vAlign w:val="center"/>
          </w:tcPr>
          <w:p w14:paraId="57255D38">
            <w:pPr>
              <w:jc w:val="center"/>
              <w:rPr>
                <w:rFonts w:ascii="宋体" w:hAnsi="宋体"/>
                <w:color w:val="auto"/>
                <w:szCs w:val="44"/>
              </w:rPr>
            </w:pPr>
          </w:p>
        </w:tc>
        <w:tc>
          <w:tcPr>
            <w:tcW w:w="650" w:type="dxa"/>
            <w:vAlign w:val="center"/>
          </w:tcPr>
          <w:p w14:paraId="4CAFA97A">
            <w:pPr>
              <w:jc w:val="center"/>
              <w:rPr>
                <w:rFonts w:ascii="宋体" w:hAnsi="宋体"/>
                <w:color w:val="auto"/>
                <w:szCs w:val="44"/>
              </w:rPr>
            </w:pPr>
          </w:p>
        </w:tc>
        <w:tc>
          <w:tcPr>
            <w:tcW w:w="650" w:type="dxa"/>
            <w:vAlign w:val="center"/>
          </w:tcPr>
          <w:p w14:paraId="05BF70E7">
            <w:pPr>
              <w:jc w:val="center"/>
              <w:rPr>
                <w:rFonts w:ascii="宋体" w:hAnsi="宋体"/>
                <w:color w:val="auto"/>
                <w:szCs w:val="44"/>
              </w:rPr>
            </w:pPr>
          </w:p>
        </w:tc>
        <w:tc>
          <w:tcPr>
            <w:tcW w:w="651" w:type="dxa"/>
            <w:vAlign w:val="center"/>
          </w:tcPr>
          <w:p w14:paraId="17EB4A65">
            <w:pPr>
              <w:jc w:val="center"/>
              <w:rPr>
                <w:rFonts w:ascii="宋体" w:hAnsi="宋体"/>
                <w:color w:val="auto"/>
                <w:szCs w:val="44"/>
              </w:rPr>
            </w:pPr>
          </w:p>
        </w:tc>
        <w:tc>
          <w:tcPr>
            <w:tcW w:w="818" w:type="dxa"/>
            <w:vAlign w:val="center"/>
          </w:tcPr>
          <w:p w14:paraId="4A408F22">
            <w:pPr>
              <w:jc w:val="center"/>
              <w:rPr>
                <w:rFonts w:ascii="宋体" w:hAnsi="宋体"/>
                <w:color w:val="auto"/>
                <w:szCs w:val="44"/>
              </w:rPr>
            </w:pPr>
          </w:p>
        </w:tc>
      </w:tr>
      <w:tr w14:paraId="795C5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1EE2EC86">
            <w:pPr>
              <w:jc w:val="center"/>
              <w:rPr>
                <w:rFonts w:ascii="宋体" w:hAnsi="宋体"/>
                <w:color w:val="auto"/>
                <w:szCs w:val="44"/>
              </w:rPr>
            </w:pPr>
            <w:r>
              <w:rPr>
                <w:rFonts w:hint="eastAsia" w:ascii="宋体" w:hAnsi="宋体"/>
                <w:color w:val="auto"/>
                <w:szCs w:val="44"/>
              </w:rPr>
              <w:t>5</w:t>
            </w:r>
          </w:p>
        </w:tc>
        <w:tc>
          <w:tcPr>
            <w:tcW w:w="1340" w:type="dxa"/>
            <w:vAlign w:val="center"/>
          </w:tcPr>
          <w:p w14:paraId="265E18E2">
            <w:pPr>
              <w:jc w:val="center"/>
              <w:rPr>
                <w:rFonts w:ascii="宋体" w:hAnsi="宋体"/>
                <w:color w:val="auto"/>
                <w:szCs w:val="44"/>
              </w:rPr>
            </w:pPr>
          </w:p>
        </w:tc>
        <w:tc>
          <w:tcPr>
            <w:tcW w:w="650" w:type="dxa"/>
            <w:vAlign w:val="center"/>
          </w:tcPr>
          <w:p w14:paraId="2D35259B">
            <w:pPr>
              <w:jc w:val="center"/>
              <w:rPr>
                <w:color w:val="auto"/>
              </w:rPr>
            </w:pPr>
          </w:p>
        </w:tc>
        <w:tc>
          <w:tcPr>
            <w:tcW w:w="650" w:type="dxa"/>
            <w:vAlign w:val="center"/>
          </w:tcPr>
          <w:p w14:paraId="56B2A82F">
            <w:pPr>
              <w:jc w:val="center"/>
              <w:rPr>
                <w:rFonts w:ascii="宋体" w:hAnsi="宋体"/>
                <w:color w:val="auto"/>
                <w:szCs w:val="44"/>
              </w:rPr>
            </w:pPr>
          </w:p>
        </w:tc>
        <w:tc>
          <w:tcPr>
            <w:tcW w:w="650" w:type="dxa"/>
            <w:vAlign w:val="center"/>
          </w:tcPr>
          <w:p w14:paraId="523B58B1">
            <w:pPr>
              <w:jc w:val="center"/>
              <w:rPr>
                <w:rFonts w:ascii="宋体" w:hAnsi="宋体"/>
                <w:color w:val="auto"/>
                <w:szCs w:val="44"/>
              </w:rPr>
            </w:pPr>
          </w:p>
        </w:tc>
        <w:tc>
          <w:tcPr>
            <w:tcW w:w="650" w:type="dxa"/>
            <w:vAlign w:val="center"/>
          </w:tcPr>
          <w:p w14:paraId="2D7A81C2">
            <w:pPr>
              <w:jc w:val="center"/>
              <w:rPr>
                <w:rFonts w:ascii="宋体" w:hAnsi="宋体"/>
                <w:color w:val="auto"/>
                <w:szCs w:val="44"/>
              </w:rPr>
            </w:pPr>
          </w:p>
        </w:tc>
        <w:tc>
          <w:tcPr>
            <w:tcW w:w="650" w:type="dxa"/>
            <w:vAlign w:val="center"/>
          </w:tcPr>
          <w:p w14:paraId="7A02A10A">
            <w:pPr>
              <w:jc w:val="center"/>
              <w:rPr>
                <w:rFonts w:ascii="宋体" w:hAnsi="宋体"/>
                <w:color w:val="auto"/>
                <w:szCs w:val="44"/>
              </w:rPr>
            </w:pPr>
          </w:p>
        </w:tc>
        <w:tc>
          <w:tcPr>
            <w:tcW w:w="650" w:type="dxa"/>
            <w:vAlign w:val="center"/>
          </w:tcPr>
          <w:p w14:paraId="1ED9EF30">
            <w:pPr>
              <w:jc w:val="center"/>
              <w:rPr>
                <w:rFonts w:ascii="宋体" w:hAnsi="宋体"/>
                <w:color w:val="auto"/>
                <w:szCs w:val="44"/>
              </w:rPr>
            </w:pPr>
          </w:p>
        </w:tc>
        <w:tc>
          <w:tcPr>
            <w:tcW w:w="650" w:type="dxa"/>
            <w:vAlign w:val="center"/>
          </w:tcPr>
          <w:p w14:paraId="78412E81">
            <w:pPr>
              <w:jc w:val="center"/>
              <w:rPr>
                <w:rFonts w:ascii="宋体" w:hAnsi="宋体"/>
                <w:color w:val="auto"/>
                <w:szCs w:val="44"/>
              </w:rPr>
            </w:pPr>
          </w:p>
        </w:tc>
        <w:tc>
          <w:tcPr>
            <w:tcW w:w="650" w:type="dxa"/>
            <w:vAlign w:val="center"/>
          </w:tcPr>
          <w:p w14:paraId="7E15F136">
            <w:pPr>
              <w:jc w:val="center"/>
              <w:rPr>
                <w:rFonts w:ascii="宋体" w:hAnsi="宋体"/>
                <w:color w:val="auto"/>
                <w:szCs w:val="44"/>
              </w:rPr>
            </w:pPr>
          </w:p>
        </w:tc>
        <w:tc>
          <w:tcPr>
            <w:tcW w:w="651" w:type="dxa"/>
            <w:vAlign w:val="center"/>
          </w:tcPr>
          <w:p w14:paraId="5CA649AD">
            <w:pPr>
              <w:jc w:val="center"/>
              <w:rPr>
                <w:rFonts w:ascii="宋体" w:hAnsi="宋体"/>
                <w:color w:val="auto"/>
                <w:szCs w:val="44"/>
              </w:rPr>
            </w:pPr>
          </w:p>
        </w:tc>
        <w:tc>
          <w:tcPr>
            <w:tcW w:w="818" w:type="dxa"/>
            <w:vAlign w:val="center"/>
          </w:tcPr>
          <w:p w14:paraId="726737E2">
            <w:pPr>
              <w:jc w:val="center"/>
              <w:rPr>
                <w:rFonts w:ascii="宋体" w:hAnsi="宋体"/>
                <w:color w:val="auto"/>
                <w:szCs w:val="44"/>
              </w:rPr>
            </w:pPr>
          </w:p>
        </w:tc>
      </w:tr>
      <w:tr w14:paraId="0E79D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63E1E2FC">
            <w:pPr>
              <w:jc w:val="center"/>
              <w:rPr>
                <w:rFonts w:ascii="宋体" w:hAnsi="宋体"/>
                <w:color w:val="auto"/>
                <w:szCs w:val="44"/>
              </w:rPr>
            </w:pPr>
            <w:r>
              <w:rPr>
                <w:rFonts w:hint="eastAsia" w:ascii="宋体" w:hAnsi="宋体"/>
                <w:color w:val="auto"/>
                <w:szCs w:val="44"/>
              </w:rPr>
              <w:t>6</w:t>
            </w:r>
          </w:p>
        </w:tc>
        <w:tc>
          <w:tcPr>
            <w:tcW w:w="1340" w:type="dxa"/>
            <w:vAlign w:val="center"/>
          </w:tcPr>
          <w:p w14:paraId="73D838F4">
            <w:pPr>
              <w:jc w:val="center"/>
              <w:rPr>
                <w:rFonts w:ascii="宋体" w:hAnsi="宋体"/>
                <w:color w:val="auto"/>
                <w:szCs w:val="44"/>
              </w:rPr>
            </w:pPr>
          </w:p>
        </w:tc>
        <w:tc>
          <w:tcPr>
            <w:tcW w:w="650" w:type="dxa"/>
            <w:vAlign w:val="center"/>
          </w:tcPr>
          <w:p w14:paraId="262CEA19">
            <w:pPr>
              <w:jc w:val="center"/>
              <w:rPr>
                <w:color w:val="auto"/>
              </w:rPr>
            </w:pPr>
          </w:p>
        </w:tc>
        <w:tc>
          <w:tcPr>
            <w:tcW w:w="650" w:type="dxa"/>
            <w:vAlign w:val="center"/>
          </w:tcPr>
          <w:p w14:paraId="1DCF0C78">
            <w:pPr>
              <w:jc w:val="center"/>
              <w:rPr>
                <w:rFonts w:ascii="宋体" w:hAnsi="宋体"/>
                <w:color w:val="auto"/>
                <w:szCs w:val="44"/>
              </w:rPr>
            </w:pPr>
          </w:p>
        </w:tc>
        <w:tc>
          <w:tcPr>
            <w:tcW w:w="650" w:type="dxa"/>
            <w:vAlign w:val="center"/>
          </w:tcPr>
          <w:p w14:paraId="544B8867">
            <w:pPr>
              <w:jc w:val="center"/>
              <w:rPr>
                <w:rFonts w:ascii="宋体" w:hAnsi="宋体"/>
                <w:color w:val="auto"/>
                <w:szCs w:val="44"/>
              </w:rPr>
            </w:pPr>
          </w:p>
        </w:tc>
        <w:tc>
          <w:tcPr>
            <w:tcW w:w="650" w:type="dxa"/>
            <w:vAlign w:val="center"/>
          </w:tcPr>
          <w:p w14:paraId="28462E7D">
            <w:pPr>
              <w:jc w:val="center"/>
              <w:rPr>
                <w:rFonts w:ascii="宋体" w:hAnsi="宋体"/>
                <w:color w:val="auto"/>
                <w:szCs w:val="44"/>
              </w:rPr>
            </w:pPr>
          </w:p>
        </w:tc>
        <w:tc>
          <w:tcPr>
            <w:tcW w:w="650" w:type="dxa"/>
            <w:vAlign w:val="center"/>
          </w:tcPr>
          <w:p w14:paraId="7701AF4A">
            <w:pPr>
              <w:jc w:val="center"/>
              <w:rPr>
                <w:rFonts w:ascii="宋体" w:hAnsi="宋体"/>
                <w:color w:val="auto"/>
                <w:szCs w:val="44"/>
              </w:rPr>
            </w:pPr>
          </w:p>
        </w:tc>
        <w:tc>
          <w:tcPr>
            <w:tcW w:w="650" w:type="dxa"/>
            <w:vAlign w:val="center"/>
          </w:tcPr>
          <w:p w14:paraId="524D724D">
            <w:pPr>
              <w:jc w:val="center"/>
              <w:rPr>
                <w:rFonts w:ascii="宋体" w:hAnsi="宋体"/>
                <w:color w:val="auto"/>
                <w:szCs w:val="44"/>
              </w:rPr>
            </w:pPr>
          </w:p>
        </w:tc>
        <w:tc>
          <w:tcPr>
            <w:tcW w:w="650" w:type="dxa"/>
            <w:vAlign w:val="center"/>
          </w:tcPr>
          <w:p w14:paraId="605C00A1">
            <w:pPr>
              <w:jc w:val="center"/>
              <w:rPr>
                <w:rFonts w:ascii="宋体" w:hAnsi="宋体"/>
                <w:color w:val="auto"/>
                <w:szCs w:val="44"/>
              </w:rPr>
            </w:pPr>
          </w:p>
        </w:tc>
        <w:tc>
          <w:tcPr>
            <w:tcW w:w="650" w:type="dxa"/>
            <w:vAlign w:val="center"/>
          </w:tcPr>
          <w:p w14:paraId="53D7DAFE">
            <w:pPr>
              <w:jc w:val="center"/>
              <w:rPr>
                <w:rFonts w:ascii="宋体" w:hAnsi="宋体"/>
                <w:color w:val="auto"/>
                <w:szCs w:val="44"/>
              </w:rPr>
            </w:pPr>
          </w:p>
        </w:tc>
        <w:tc>
          <w:tcPr>
            <w:tcW w:w="651" w:type="dxa"/>
            <w:vAlign w:val="center"/>
          </w:tcPr>
          <w:p w14:paraId="18013C2B">
            <w:pPr>
              <w:jc w:val="center"/>
              <w:rPr>
                <w:rFonts w:ascii="宋体" w:hAnsi="宋体"/>
                <w:color w:val="auto"/>
                <w:szCs w:val="44"/>
              </w:rPr>
            </w:pPr>
          </w:p>
        </w:tc>
        <w:tc>
          <w:tcPr>
            <w:tcW w:w="818" w:type="dxa"/>
            <w:vAlign w:val="center"/>
          </w:tcPr>
          <w:p w14:paraId="7E3C73A8">
            <w:pPr>
              <w:jc w:val="center"/>
              <w:rPr>
                <w:rFonts w:ascii="宋体" w:hAnsi="宋体"/>
                <w:color w:val="auto"/>
                <w:szCs w:val="44"/>
              </w:rPr>
            </w:pPr>
          </w:p>
        </w:tc>
      </w:tr>
      <w:tr w14:paraId="0C95F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3FDB1942">
            <w:pPr>
              <w:jc w:val="center"/>
              <w:rPr>
                <w:rFonts w:ascii="宋体" w:hAnsi="宋体"/>
                <w:color w:val="auto"/>
                <w:szCs w:val="44"/>
              </w:rPr>
            </w:pPr>
            <w:r>
              <w:rPr>
                <w:rFonts w:hint="eastAsia" w:ascii="宋体" w:hAnsi="宋体"/>
                <w:color w:val="auto"/>
                <w:szCs w:val="44"/>
              </w:rPr>
              <w:t>…</w:t>
            </w:r>
          </w:p>
        </w:tc>
        <w:tc>
          <w:tcPr>
            <w:tcW w:w="1340" w:type="dxa"/>
            <w:vAlign w:val="center"/>
          </w:tcPr>
          <w:p w14:paraId="665DCE0D">
            <w:pPr>
              <w:rPr>
                <w:rFonts w:ascii="宋体" w:hAnsi="宋体"/>
                <w:color w:val="auto"/>
                <w:szCs w:val="21"/>
              </w:rPr>
            </w:pPr>
          </w:p>
        </w:tc>
        <w:tc>
          <w:tcPr>
            <w:tcW w:w="650" w:type="dxa"/>
            <w:vAlign w:val="center"/>
          </w:tcPr>
          <w:p w14:paraId="68590B52">
            <w:pPr>
              <w:jc w:val="center"/>
              <w:rPr>
                <w:color w:val="auto"/>
              </w:rPr>
            </w:pPr>
          </w:p>
        </w:tc>
        <w:tc>
          <w:tcPr>
            <w:tcW w:w="650" w:type="dxa"/>
            <w:vAlign w:val="center"/>
          </w:tcPr>
          <w:p w14:paraId="0286DA74">
            <w:pPr>
              <w:jc w:val="center"/>
              <w:rPr>
                <w:rFonts w:ascii="宋体" w:hAnsi="宋体"/>
                <w:color w:val="auto"/>
                <w:szCs w:val="44"/>
              </w:rPr>
            </w:pPr>
          </w:p>
        </w:tc>
        <w:tc>
          <w:tcPr>
            <w:tcW w:w="650" w:type="dxa"/>
            <w:vAlign w:val="center"/>
          </w:tcPr>
          <w:p w14:paraId="5CECAD66">
            <w:pPr>
              <w:jc w:val="center"/>
              <w:rPr>
                <w:rFonts w:ascii="宋体" w:hAnsi="宋体"/>
                <w:color w:val="auto"/>
                <w:szCs w:val="44"/>
              </w:rPr>
            </w:pPr>
          </w:p>
        </w:tc>
        <w:tc>
          <w:tcPr>
            <w:tcW w:w="650" w:type="dxa"/>
            <w:vAlign w:val="center"/>
          </w:tcPr>
          <w:p w14:paraId="7D077355">
            <w:pPr>
              <w:jc w:val="center"/>
              <w:rPr>
                <w:rFonts w:ascii="宋体" w:hAnsi="宋体"/>
                <w:color w:val="auto"/>
                <w:szCs w:val="44"/>
              </w:rPr>
            </w:pPr>
          </w:p>
        </w:tc>
        <w:tc>
          <w:tcPr>
            <w:tcW w:w="650" w:type="dxa"/>
            <w:vAlign w:val="center"/>
          </w:tcPr>
          <w:p w14:paraId="632B40F1">
            <w:pPr>
              <w:jc w:val="center"/>
              <w:rPr>
                <w:rFonts w:ascii="宋体" w:hAnsi="宋体"/>
                <w:color w:val="auto"/>
                <w:szCs w:val="44"/>
              </w:rPr>
            </w:pPr>
          </w:p>
        </w:tc>
        <w:tc>
          <w:tcPr>
            <w:tcW w:w="650" w:type="dxa"/>
            <w:vAlign w:val="center"/>
          </w:tcPr>
          <w:p w14:paraId="5263CD3A">
            <w:pPr>
              <w:jc w:val="center"/>
              <w:rPr>
                <w:rFonts w:ascii="宋体" w:hAnsi="宋体"/>
                <w:color w:val="auto"/>
                <w:szCs w:val="44"/>
              </w:rPr>
            </w:pPr>
          </w:p>
        </w:tc>
        <w:tc>
          <w:tcPr>
            <w:tcW w:w="650" w:type="dxa"/>
            <w:vAlign w:val="center"/>
          </w:tcPr>
          <w:p w14:paraId="43735521">
            <w:pPr>
              <w:jc w:val="center"/>
              <w:rPr>
                <w:rFonts w:ascii="宋体" w:hAnsi="宋体"/>
                <w:color w:val="auto"/>
                <w:szCs w:val="44"/>
              </w:rPr>
            </w:pPr>
          </w:p>
        </w:tc>
        <w:tc>
          <w:tcPr>
            <w:tcW w:w="650" w:type="dxa"/>
            <w:vAlign w:val="center"/>
          </w:tcPr>
          <w:p w14:paraId="067398F6">
            <w:pPr>
              <w:jc w:val="center"/>
              <w:rPr>
                <w:rFonts w:ascii="宋体" w:hAnsi="宋体"/>
                <w:color w:val="auto"/>
                <w:szCs w:val="44"/>
              </w:rPr>
            </w:pPr>
          </w:p>
        </w:tc>
        <w:tc>
          <w:tcPr>
            <w:tcW w:w="651" w:type="dxa"/>
            <w:vAlign w:val="center"/>
          </w:tcPr>
          <w:p w14:paraId="4592AA2B">
            <w:pPr>
              <w:jc w:val="center"/>
              <w:rPr>
                <w:rFonts w:ascii="宋体" w:hAnsi="宋体"/>
                <w:color w:val="auto"/>
                <w:szCs w:val="44"/>
              </w:rPr>
            </w:pPr>
          </w:p>
        </w:tc>
        <w:tc>
          <w:tcPr>
            <w:tcW w:w="818" w:type="dxa"/>
            <w:vAlign w:val="center"/>
          </w:tcPr>
          <w:p w14:paraId="7AC7CD3C">
            <w:pPr>
              <w:jc w:val="center"/>
              <w:rPr>
                <w:rFonts w:ascii="宋体" w:hAnsi="宋体"/>
                <w:color w:val="auto"/>
                <w:szCs w:val="44"/>
              </w:rPr>
            </w:pPr>
          </w:p>
        </w:tc>
      </w:tr>
      <w:tr w14:paraId="78709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41" w:type="dxa"/>
            <w:gridSpan w:val="12"/>
            <w:vAlign w:val="center"/>
          </w:tcPr>
          <w:p w14:paraId="44021888">
            <w:pPr>
              <w:jc w:val="left"/>
              <w:rPr>
                <w:rFonts w:ascii="宋体" w:hAnsi="宋体"/>
                <w:color w:val="auto"/>
                <w:szCs w:val="44"/>
              </w:rPr>
            </w:pPr>
            <w:r>
              <w:rPr>
                <w:rFonts w:hint="eastAsia"/>
                <w:color w:val="auto"/>
              </w:rPr>
              <w:t xml:space="preserve">评标委员会全体成员签名： </w:t>
            </w:r>
          </w:p>
          <w:p w14:paraId="55D9FB38">
            <w:pPr>
              <w:jc w:val="left"/>
              <w:rPr>
                <w:rFonts w:ascii="宋体" w:hAnsi="宋体"/>
                <w:color w:val="auto"/>
                <w:szCs w:val="44"/>
              </w:rPr>
            </w:pPr>
          </w:p>
          <w:p w14:paraId="39C559B3">
            <w:pPr>
              <w:jc w:val="left"/>
              <w:rPr>
                <w:rFonts w:ascii="宋体" w:hAnsi="宋体"/>
                <w:color w:val="auto"/>
                <w:szCs w:val="44"/>
              </w:rPr>
            </w:pPr>
          </w:p>
          <w:p w14:paraId="38FB9810">
            <w:pPr>
              <w:jc w:val="left"/>
              <w:rPr>
                <w:rFonts w:ascii="宋体" w:hAnsi="宋体"/>
                <w:color w:val="auto"/>
                <w:szCs w:val="44"/>
              </w:rPr>
            </w:pPr>
          </w:p>
          <w:p w14:paraId="17013719">
            <w:pPr>
              <w:jc w:val="left"/>
              <w:rPr>
                <w:rFonts w:ascii="宋体" w:hAnsi="宋体"/>
                <w:color w:val="auto"/>
                <w:szCs w:val="44"/>
              </w:rPr>
            </w:pPr>
          </w:p>
          <w:p w14:paraId="78269665">
            <w:pPr>
              <w:jc w:val="left"/>
              <w:rPr>
                <w:rFonts w:ascii="宋体" w:hAnsi="宋体"/>
                <w:color w:val="auto"/>
                <w:szCs w:val="44"/>
              </w:rPr>
            </w:pPr>
          </w:p>
          <w:p w14:paraId="47B7889C">
            <w:pPr>
              <w:jc w:val="left"/>
              <w:rPr>
                <w:rFonts w:ascii="宋体" w:hAnsi="宋体"/>
                <w:color w:val="auto"/>
                <w:szCs w:val="44"/>
              </w:rPr>
            </w:pPr>
          </w:p>
          <w:p w14:paraId="21DD154D">
            <w:pPr>
              <w:jc w:val="center"/>
              <w:rPr>
                <w:rFonts w:ascii="宋体" w:hAnsi="宋体"/>
                <w:color w:val="auto"/>
                <w:szCs w:val="44"/>
              </w:rPr>
            </w:pPr>
          </w:p>
        </w:tc>
      </w:tr>
    </w:tbl>
    <w:p w14:paraId="43866A7F">
      <w:pPr>
        <w:spacing w:line="400" w:lineRule="exact"/>
        <w:ind w:left="840" w:leftChars="400" w:firstLine="4410" w:firstLineChars="2100"/>
        <w:rPr>
          <w:rFonts w:ascii="宋体" w:hAnsi="宋体"/>
          <w:color w:val="auto"/>
          <w:szCs w:val="44"/>
        </w:rPr>
      </w:pPr>
      <w:r>
        <w:rPr>
          <w:rFonts w:hint="eastAsia" w:ascii="宋体" w:hAnsi="宋体"/>
          <w:color w:val="auto"/>
          <w:szCs w:val="44"/>
        </w:rPr>
        <w:t xml:space="preserve">   日期：    年    月    日</w:t>
      </w:r>
    </w:p>
    <w:p w14:paraId="1FA28681">
      <w:pPr>
        <w:rPr>
          <w:color w:val="auto"/>
        </w:rPr>
      </w:pPr>
      <w:r>
        <w:rPr>
          <w:color w:val="auto"/>
        </w:rPr>
        <w:br w:type="page"/>
      </w:r>
    </w:p>
    <w:p w14:paraId="25519AFC">
      <w:pPr>
        <w:pStyle w:val="27"/>
        <w:rPr>
          <w:color w:val="auto"/>
        </w:rPr>
      </w:pPr>
      <w:bookmarkStart w:id="684" w:name="_Toc18614"/>
      <w:bookmarkStart w:id="685" w:name="_Toc165804454"/>
      <w:r>
        <w:rPr>
          <w:rFonts w:hint="eastAsia"/>
          <w:color w:val="auto"/>
        </w:rPr>
        <w:t>附表A-</w:t>
      </w:r>
      <w:r>
        <w:rPr>
          <w:color w:val="auto"/>
        </w:rPr>
        <w:t>8</w:t>
      </w:r>
      <w:r>
        <w:rPr>
          <w:rFonts w:hint="eastAsia"/>
          <w:color w:val="auto"/>
        </w:rPr>
        <w:t>：初步评审汇总记录表</w:t>
      </w:r>
      <w:bookmarkEnd w:id="684"/>
      <w:bookmarkEnd w:id="685"/>
    </w:p>
    <w:p w14:paraId="11F985CC">
      <w:pPr>
        <w:spacing w:after="240" w:afterLines="100"/>
        <w:jc w:val="center"/>
        <w:rPr>
          <w:rFonts w:ascii="黑体" w:hAnsi="宋体" w:eastAsia="黑体"/>
          <w:color w:val="auto"/>
          <w:sz w:val="36"/>
          <w:szCs w:val="36"/>
        </w:rPr>
      </w:pPr>
    </w:p>
    <w:p w14:paraId="57A5B7C9">
      <w:pPr>
        <w:adjustRightInd w:val="0"/>
        <w:snapToGrid w:val="0"/>
        <w:spacing w:before="240" w:beforeLines="100" w:after="240" w:afterLines="100" w:line="440" w:lineRule="exact"/>
        <w:jc w:val="center"/>
        <w:rPr>
          <w:rFonts w:ascii="黑体" w:hAnsi="黑体" w:eastAsia="黑体"/>
          <w:color w:val="auto"/>
          <w:sz w:val="36"/>
          <w:szCs w:val="36"/>
        </w:rPr>
      </w:pPr>
      <w:r>
        <w:rPr>
          <w:rFonts w:hint="eastAsia" w:ascii="黑体" w:hAnsi="黑体" w:eastAsia="黑体"/>
          <w:color w:val="auto"/>
          <w:sz w:val="36"/>
          <w:szCs w:val="36"/>
        </w:rPr>
        <w:t>初步评审汇总记录表</w:t>
      </w:r>
    </w:p>
    <w:p w14:paraId="0290EAC6">
      <w:pPr>
        <w:rPr>
          <w:rFonts w:ascii="宋体" w:hAnsi="宋体"/>
          <w:color w:val="auto"/>
          <w:szCs w:val="44"/>
        </w:rPr>
      </w:pPr>
      <w:r>
        <w:rPr>
          <w:rFonts w:hint="eastAsia" w:ascii="宋体" w:hAnsi="宋体"/>
          <w:color w:val="auto"/>
          <w:szCs w:val="44"/>
        </w:rPr>
        <w:t>标段名称：</w:t>
      </w:r>
    </w:p>
    <w:p w14:paraId="38D1B636">
      <w:pPr>
        <w:rPr>
          <w:color w:val="auto"/>
        </w:rPr>
      </w:pPr>
      <w:r>
        <w:rPr>
          <w:rFonts w:hint="eastAsia"/>
          <w:color w:val="auto"/>
          <w:szCs w:val="44"/>
        </w:rPr>
        <w:t>标段唯一标识码：</w:t>
      </w:r>
      <w:r>
        <w:rPr>
          <w:color w:val="auto"/>
          <w:szCs w:val="44"/>
        </w:rPr>
        <w:t xml:space="preserve">                                              </w:t>
      </w:r>
      <w:r>
        <w:rPr>
          <w:rFonts w:hint="eastAsia"/>
          <w:color w:val="auto"/>
        </w:rPr>
        <w:t>单位：人民币元</w:t>
      </w:r>
    </w:p>
    <w:tbl>
      <w:tblPr>
        <w:tblStyle w:val="18"/>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8"/>
        <w:gridCol w:w="1009"/>
        <w:gridCol w:w="1010"/>
        <w:gridCol w:w="1009"/>
        <w:gridCol w:w="1097"/>
        <w:gridCol w:w="2022"/>
        <w:gridCol w:w="886"/>
        <w:gridCol w:w="867"/>
      </w:tblGrid>
      <w:tr w14:paraId="32215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395C93B4">
            <w:pPr>
              <w:jc w:val="center"/>
              <w:rPr>
                <w:b/>
                <w:bCs/>
                <w:color w:val="auto"/>
              </w:rPr>
            </w:pPr>
            <w:r>
              <w:rPr>
                <w:rFonts w:hint="eastAsia"/>
                <w:b/>
                <w:bCs/>
                <w:color w:val="auto"/>
              </w:rPr>
              <w:t>序号</w:t>
            </w:r>
          </w:p>
        </w:tc>
        <w:tc>
          <w:tcPr>
            <w:tcW w:w="1009" w:type="dxa"/>
            <w:vAlign w:val="center"/>
          </w:tcPr>
          <w:p w14:paraId="46E178A2">
            <w:pPr>
              <w:jc w:val="center"/>
              <w:rPr>
                <w:b/>
                <w:bCs/>
                <w:color w:val="auto"/>
              </w:rPr>
            </w:pPr>
            <w:r>
              <w:rPr>
                <w:rFonts w:hint="eastAsia"/>
                <w:b/>
                <w:bCs/>
                <w:color w:val="auto"/>
              </w:rPr>
              <w:t>投标人名称</w:t>
            </w:r>
          </w:p>
        </w:tc>
        <w:tc>
          <w:tcPr>
            <w:tcW w:w="1010" w:type="dxa"/>
            <w:vAlign w:val="center"/>
          </w:tcPr>
          <w:p w14:paraId="6DCA2528">
            <w:pPr>
              <w:jc w:val="center"/>
              <w:rPr>
                <w:b/>
                <w:bCs/>
                <w:color w:val="auto"/>
              </w:rPr>
            </w:pPr>
            <w:r>
              <w:rPr>
                <w:rFonts w:hint="eastAsia"/>
                <w:b/>
                <w:bCs/>
                <w:color w:val="auto"/>
              </w:rPr>
              <w:t>形式评审结果</w:t>
            </w:r>
          </w:p>
        </w:tc>
        <w:tc>
          <w:tcPr>
            <w:tcW w:w="1009" w:type="dxa"/>
            <w:vAlign w:val="center"/>
          </w:tcPr>
          <w:p w14:paraId="580BFDA8">
            <w:pPr>
              <w:jc w:val="center"/>
              <w:rPr>
                <w:b/>
                <w:bCs/>
                <w:color w:val="auto"/>
              </w:rPr>
            </w:pPr>
            <w:r>
              <w:rPr>
                <w:rFonts w:hint="eastAsia"/>
                <w:b/>
                <w:bCs/>
                <w:color w:val="auto"/>
              </w:rPr>
              <w:t>资格评审结果</w:t>
            </w:r>
          </w:p>
        </w:tc>
        <w:tc>
          <w:tcPr>
            <w:tcW w:w="1097" w:type="dxa"/>
            <w:vAlign w:val="center"/>
          </w:tcPr>
          <w:p w14:paraId="4BC0E1DF">
            <w:pPr>
              <w:jc w:val="center"/>
              <w:rPr>
                <w:b/>
                <w:bCs/>
                <w:color w:val="auto"/>
              </w:rPr>
            </w:pPr>
            <w:r>
              <w:rPr>
                <w:rFonts w:hint="eastAsia"/>
                <w:b/>
                <w:bCs/>
                <w:color w:val="auto"/>
              </w:rPr>
              <w:t>响应性评审结果</w:t>
            </w:r>
          </w:p>
        </w:tc>
        <w:tc>
          <w:tcPr>
            <w:tcW w:w="2022" w:type="dxa"/>
            <w:vAlign w:val="center"/>
          </w:tcPr>
          <w:p w14:paraId="14BBC191">
            <w:pPr>
              <w:jc w:val="center"/>
              <w:rPr>
                <w:b/>
                <w:bCs/>
                <w:color w:val="auto"/>
              </w:rPr>
            </w:pPr>
            <w:r>
              <w:rPr>
                <w:rFonts w:hint="eastAsia"/>
                <w:b/>
                <w:bCs/>
                <w:color w:val="auto"/>
              </w:rPr>
              <w:t>技术标评审结果（如有）</w:t>
            </w:r>
          </w:p>
        </w:tc>
        <w:tc>
          <w:tcPr>
            <w:tcW w:w="886" w:type="dxa"/>
            <w:vAlign w:val="center"/>
          </w:tcPr>
          <w:p w14:paraId="1B8DD31E">
            <w:pPr>
              <w:ind w:right="-105"/>
              <w:jc w:val="center"/>
              <w:rPr>
                <w:rFonts w:ascii="宋体" w:hAnsi="宋体"/>
                <w:b/>
                <w:bCs/>
                <w:color w:val="auto"/>
                <w:szCs w:val="21"/>
              </w:rPr>
            </w:pPr>
            <w:r>
              <w:rPr>
                <w:rFonts w:hint="eastAsia" w:ascii="宋体" w:hAnsi="宋体"/>
                <w:b/>
                <w:bCs/>
                <w:color w:val="auto"/>
                <w:szCs w:val="21"/>
              </w:rPr>
              <w:t>投标报价</w:t>
            </w:r>
          </w:p>
        </w:tc>
        <w:tc>
          <w:tcPr>
            <w:tcW w:w="867" w:type="dxa"/>
            <w:vAlign w:val="center"/>
          </w:tcPr>
          <w:p w14:paraId="3A3D872F">
            <w:pPr>
              <w:ind w:right="-111"/>
              <w:jc w:val="center"/>
              <w:rPr>
                <w:rFonts w:ascii="宋体" w:hAnsi="宋体"/>
                <w:b/>
                <w:bCs/>
                <w:color w:val="auto"/>
                <w:szCs w:val="21"/>
              </w:rPr>
            </w:pPr>
            <w:r>
              <w:rPr>
                <w:rFonts w:hint="eastAsia" w:ascii="宋体" w:hAnsi="宋体"/>
                <w:b/>
                <w:bCs/>
                <w:color w:val="auto"/>
                <w:szCs w:val="21"/>
              </w:rPr>
              <w:t>评审结论</w:t>
            </w:r>
          </w:p>
        </w:tc>
      </w:tr>
      <w:tr w14:paraId="59805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13A02A19">
            <w:pPr>
              <w:jc w:val="center"/>
              <w:rPr>
                <w:color w:val="auto"/>
              </w:rPr>
            </w:pPr>
            <w:r>
              <w:rPr>
                <w:rFonts w:hint="eastAsia" w:ascii="黑体" w:hAnsi="宋体" w:eastAsia="黑体"/>
                <w:color w:val="auto"/>
                <w:szCs w:val="44"/>
              </w:rPr>
              <w:t>1</w:t>
            </w:r>
          </w:p>
        </w:tc>
        <w:tc>
          <w:tcPr>
            <w:tcW w:w="1009" w:type="dxa"/>
            <w:vAlign w:val="center"/>
          </w:tcPr>
          <w:p w14:paraId="16825948">
            <w:pPr>
              <w:jc w:val="center"/>
              <w:rPr>
                <w:color w:val="auto"/>
              </w:rPr>
            </w:pPr>
          </w:p>
        </w:tc>
        <w:tc>
          <w:tcPr>
            <w:tcW w:w="1010" w:type="dxa"/>
            <w:vAlign w:val="center"/>
          </w:tcPr>
          <w:p w14:paraId="6CC20098">
            <w:pPr>
              <w:jc w:val="center"/>
              <w:rPr>
                <w:color w:val="auto"/>
              </w:rPr>
            </w:pPr>
          </w:p>
        </w:tc>
        <w:tc>
          <w:tcPr>
            <w:tcW w:w="1009" w:type="dxa"/>
            <w:vAlign w:val="center"/>
          </w:tcPr>
          <w:p w14:paraId="4E253CE0">
            <w:pPr>
              <w:jc w:val="center"/>
              <w:rPr>
                <w:color w:val="auto"/>
              </w:rPr>
            </w:pPr>
          </w:p>
        </w:tc>
        <w:tc>
          <w:tcPr>
            <w:tcW w:w="1097" w:type="dxa"/>
            <w:vAlign w:val="center"/>
          </w:tcPr>
          <w:p w14:paraId="590E55E8">
            <w:pPr>
              <w:jc w:val="center"/>
              <w:rPr>
                <w:color w:val="auto"/>
              </w:rPr>
            </w:pPr>
          </w:p>
        </w:tc>
        <w:tc>
          <w:tcPr>
            <w:tcW w:w="2022" w:type="dxa"/>
            <w:vAlign w:val="center"/>
          </w:tcPr>
          <w:p w14:paraId="3A3FAA2E">
            <w:pPr>
              <w:jc w:val="center"/>
              <w:rPr>
                <w:color w:val="auto"/>
              </w:rPr>
            </w:pPr>
          </w:p>
        </w:tc>
        <w:tc>
          <w:tcPr>
            <w:tcW w:w="886" w:type="dxa"/>
            <w:vAlign w:val="center"/>
          </w:tcPr>
          <w:p w14:paraId="43CF8967">
            <w:pPr>
              <w:ind w:right="-105"/>
              <w:jc w:val="center"/>
              <w:rPr>
                <w:rFonts w:ascii="宋体" w:hAnsi="宋体"/>
                <w:color w:val="auto"/>
                <w:szCs w:val="21"/>
              </w:rPr>
            </w:pPr>
          </w:p>
        </w:tc>
        <w:tc>
          <w:tcPr>
            <w:tcW w:w="867" w:type="dxa"/>
            <w:vAlign w:val="center"/>
          </w:tcPr>
          <w:p w14:paraId="4D4F68B5">
            <w:pPr>
              <w:ind w:right="-111"/>
              <w:jc w:val="center"/>
              <w:rPr>
                <w:rFonts w:ascii="宋体" w:hAnsi="宋体"/>
                <w:color w:val="auto"/>
                <w:szCs w:val="21"/>
              </w:rPr>
            </w:pPr>
          </w:p>
        </w:tc>
      </w:tr>
      <w:tr w14:paraId="641B1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321B19C4">
            <w:pPr>
              <w:jc w:val="center"/>
              <w:rPr>
                <w:color w:val="auto"/>
              </w:rPr>
            </w:pPr>
            <w:r>
              <w:rPr>
                <w:rFonts w:hint="eastAsia" w:ascii="黑体" w:hAnsi="宋体" w:eastAsia="黑体"/>
                <w:color w:val="auto"/>
                <w:szCs w:val="44"/>
              </w:rPr>
              <w:t>2</w:t>
            </w:r>
          </w:p>
        </w:tc>
        <w:tc>
          <w:tcPr>
            <w:tcW w:w="1009" w:type="dxa"/>
            <w:vAlign w:val="center"/>
          </w:tcPr>
          <w:p w14:paraId="4CDB30AB">
            <w:pPr>
              <w:jc w:val="center"/>
              <w:rPr>
                <w:color w:val="auto"/>
              </w:rPr>
            </w:pPr>
          </w:p>
        </w:tc>
        <w:tc>
          <w:tcPr>
            <w:tcW w:w="1010" w:type="dxa"/>
            <w:vAlign w:val="center"/>
          </w:tcPr>
          <w:p w14:paraId="0B85E07C">
            <w:pPr>
              <w:jc w:val="center"/>
              <w:rPr>
                <w:color w:val="auto"/>
              </w:rPr>
            </w:pPr>
          </w:p>
        </w:tc>
        <w:tc>
          <w:tcPr>
            <w:tcW w:w="1009" w:type="dxa"/>
            <w:vAlign w:val="center"/>
          </w:tcPr>
          <w:p w14:paraId="15515E81">
            <w:pPr>
              <w:jc w:val="center"/>
              <w:rPr>
                <w:color w:val="auto"/>
              </w:rPr>
            </w:pPr>
          </w:p>
        </w:tc>
        <w:tc>
          <w:tcPr>
            <w:tcW w:w="1097" w:type="dxa"/>
            <w:vAlign w:val="center"/>
          </w:tcPr>
          <w:p w14:paraId="42487459">
            <w:pPr>
              <w:jc w:val="center"/>
              <w:rPr>
                <w:color w:val="auto"/>
              </w:rPr>
            </w:pPr>
          </w:p>
        </w:tc>
        <w:tc>
          <w:tcPr>
            <w:tcW w:w="2022" w:type="dxa"/>
            <w:vAlign w:val="center"/>
          </w:tcPr>
          <w:p w14:paraId="704A0725">
            <w:pPr>
              <w:jc w:val="center"/>
              <w:rPr>
                <w:color w:val="auto"/>
              </w:rPr>
            </w:pPr>
          </w:p>
        </w:tc>
        <w:tc>
          <w:tcPr>
            <w:tcW w:w="886" w:type="dxa"/>
            <w:vAlign w:val="center"/>
          </w:tcPr>
          <w:p w14:paraId="448A6C5D">
            <w:pPr>
              <w:ind w:right="-105"/>
              <w:jc w:val="center"/>
              <w:rPr>
                <w:rFonts w:ascii="宋体" w:hAnsi="宋体"/>
                <w:color w:val="auto"/>
                <w:szCs w:val="21"/>
              </w:rPr>
            </w:pPr>
          </w:p>
        </w:tc>
        <w:tc>
          <w:tcPr>
            <w:tcW w:w="867" w:type="dxa"/>
            <w:vAlign w:val="center"/>
          </w:tcPr>
          <w:p w14:paraId="05FA4F37">
            <w:pPr>
              <w:ind w:right="-111"/>
              <w:jc w:val="center"/>
              <w:rPr>
                <w:rFonts w:ascii="宋体" w:hAnsi="宋体"/>
                <w:color w:val="auto"/>
                <w:szCs w:val="21"/>
              </w:rPr>
            </w:pPr>
          </w:p>
        </w:tc>
      </w:tr>
      <w:tr w14:paraId="59DC6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64E90DBD">
            <w:pPr>
              <w:jc w:val="center"/>
              <w:rPr>
                <w:color w:val="auto"/>
              </w:rPr>
            </w:pPr>
            <w:r>
              <w:rPr>
                <w:rFonts w:hint="eastAsia" w:ascii="黑体" w:hAnsi="宋体" w:eastAsia="黑体"/>
                <w:color w:val="auto"/>
                <w:szCs w:val="44"/>
              </w:rPr>
              <w:t>3</w:t>
            </w:r>
          </w:p>
        </w:tc>
        <w:tc>
          <w:tcPr>
            <w:tcW w:w="1009" w:type="dxa"/>
            <w:vAlign w:val="center"/>
          </w:tcPr>
          <w:p w14:paraId="5C6ADE1C">
            <w:pPr>
              <w:jc w:val="center"/>
              <w:rPr>
                <w:color w:val="auto"/>
              </w:rPr>
            </w:pPr>
          </w:p>
        </w:tc>
        <w:tc>
          <w:tcPr>
            <w:tcW w:w="1010" w:type="dxa"/>
            <w:vAlign w:val="center"/>
          </w:tcPr>
          <w:p w14:paraId="4653F842">
            <w:pPr>
              <w:jc w:val="center"/>
              <w:rPr>
                <w:color w:val="auto"/>
              </w:rPr>
            </w:pPr>
          </w:p>
        </w:tc>
        <w:tc>
          <w:tcPr>
            <w:tcW w:w="1009" w:type="dxa"/>
            <w:vAlign w:val="center"/>
          </w:tcPr>
          <w:p w14:paraId="60D0BC49">
            <w:pPr>
              <w:jc w:val="center"/>
              <w:rPr>
                <w:color w:val="auto"/>
              </w:rPr>
            </w:pPr>
          </w:p>
        </w:tc>
        <w:tc>
          <w:tcPr>
            <w:tcW w:w="1097" w:type="dxa"/>
            <w:vAlign w:val="center"/>
          </w:tcPr>
          <w:p w14:paraId="260144E3">
            <w:pPr>
              <w:jc w:val="center"/>
              <w:rPr>
                <w:color w:val="auto"/>
              </w:rPr>
            </w:pPr>
          </w:p>
        </w:tc>
        <w:tc>
          <w:tcPr>
            <w:tcW w:w="2022" w:type="dxa"/>
            <w:vAlign w:val="center"/>
          </w:tcPr>
          <w:p w14:paraId="0D77A0E5">
            <w:pPr>
              <w:jc w:val="center"/>
              <w:rPr>
                <w:color w:val="auto"/>
              </w:rPr>
            </w:pPr>
          </w:p>
        </w:tc>
        <w:tc>
          <w:tcPr>
            <w:tcW w:w="886" w:type="dxa"/>
            <w:vAlign w:val="center"/>
          </w:tcPr>
          <w:p w14:paraId="69170225">
            <w:pPr>
              <w:ind w:right="-105"/>
              <w:jc w:val="center"/>
              <w:rPr>
                <w:rFonts w:ascii="宋体" w:hAnsi="宋体"/>
                <w:color w:val="auto"/>
                <w:szCs w:val="21"/>
              </w:rPr>
            </w:pPr>
          </w:p>
        </w:tc>
        <w:tc>
          <w:tcPr>
            <w:tcW w:w="867" w:type="dxa"/>
            <w:vAlign w:val="center"/>
          </w:tcPr>
          <w:p w14:paraId="60FD78AD">
            <w:pPr>
              <w:ind w:right="-111"/>
              <w:jc w:val="center"/>
              <w:rPr>
                <w:rFonts w:ascii="宋体" w:hAnsi="宋体"/>
                <w:color w:val="auto"/>
                <w:szCs w:val="21"/>
              </w:rPr>
            </w:pPr>
          </w:p>
        </w:tc>
      </w:tr>
      <w:tr w14:paraId="78B40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17973865">
            <w:pPr>
              <w:jc w:val="center"/>
              <w:rPr>
                <w:color w:val="auto"/>
              </w:rPr>
            </w:pPr>
            <w:r>
              <w:rPr>
                <w:rFonts w:hint="eastAsia" w:ascii="黑体" w:hAnsi="宋体" w:eastAsia="黑体"/>
                <w:color w:val="auto"/>
                <w:szCs w:val="44"/>
              </w:rPr>
              <w:t>4</w:t>
            </w:r>
          </w:p>
        </w:tc>
        <w:tc>
          <w:tcPr>
            <w:tcW w:w="1009" w:type="dxa"/>
            <w:vAlign w:val="center"/>
          </w:tcPr>
          <w:p w14:paraId="5FFD3C7C">
            <w:pPr>
              <w:jc w:val="center"/>
              <w:rPr>
                <w:color w:val="auto"/>
              </w:rPr>
            </w:pPr>
          </w:p>
        </w:tc>
        <w:tc>
          <w:tcPr>
            <w:tcW w:w="1010" w:type="dxa"/>
            <w:vAlign w:val="center"/>
          </w:tcPr>
          <w:p w14:paraId="3DE0E221">
            <w:pPr>
              <w:jc w:val="center"/>
              <w:rPr>
                <w:color w:val="auto"/>
              </w:rPr>
            </w:pPr>
          </w:p>
        </w:tc>
        <w:tc>
          <w:tcPr>
            <w:tcW w:w="1009" w:type="dxa"/>
            <w:vAlign w:val="center"/>
          </w:tcPr>
          <w:p w14:paraId="4FED6B0F">
            <w:pPr>
              <w:jc w:val="center"/>
              <w:rPr>
                <w:color w:val="auto"/>
              </w:rPr>
            </w:pPr>
          </w:p>
        </w:tc>
        <w:tc>
          <w:tcPr>
            <w:tcW w:w="1097" w:type="dxa"/>
            <w:vAlign w:val="center"/>
          </w:tcPr>
          <w:p w14:paraId="3CD18B54">
            <w:pPr>
              <w:jc w:val="center"/>
              <w:rPr>
                <w:color w:val="auto"/>
              </w:rPr>
            </w:pPr>
          </w:p>
        </w:tc>
        <w:tc>
          <w:tcPr>
            <w:tcW w:w="2022" w:type="dxa"/>
            <w:vAlign w:val="center"/>
          </w:tcPr>
          <w:p w14:paraId="0ECF0F03">
            <w:pPr>
              <w:jc w:val="center"/>
              <w:rPr>
                <w:color w:val="auto"/>
              </w:rPr>
            </w:pPr>
          </w:p>
        </w:tc>
        <w:tc>
          <w:tcPr>
            <w:tcW w:w="886" w:type="dxa"/>
            <w:vAlign w:val="center"/>
          </w:tcPr>
          <w:p w14:paraId="63CA3BA9">
            <w:pPr>
              <w:ind w:right="-105"/>
              <w:jc w:val="center"/>
              <w:rPr>
                <w:rFonts w:ascii="宋体" w:hAnsi="宋体"/>
                <w:color w:val="auto"/>
                <w:szCs w:val="21"/>
              </w:rPr>
            </w:pPr>
          </w:p>
        </w:tc>
        <w:tc>
          <w:tcPr>
            <w:tcW w:w="867" w:type="dxa"/>
            <w:vAlign w:val="center"/>
          </w:tcPr>
          <w:p w14:paraId="04534441">
            <w:pPr>
              <w:ind w:right="-111"/>
              <w:jc w:val="center"/>
              <w:rPr>
                <w:rFonts w:ascii="宋体" w:hAnsi="宋体"/>
                <w:color w:val="auto"/>
                <w:szCs w:val="21"/>
              </w:rPr>
            </w:pPr>
          </w:p>
        </w:tc>
      </w:tr>
      <w:tr w14:paraId="5E9CE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03C2F65C">
            <w:pPr>
              <w:jc w:val="center"/>
              <w:rPr>
                <w:color w:val="auto"/>
              </w:rPr>
            </w:pPr>
            <w:r>
              <w:rPr>
                <w:rFonts w:hint="eastAsia" w:ascii="黑体" w:hAnsi="宋体" w:eastAsia="黑体"/>
                <w:color w:val="auto"/>
                <w:szCs w:val="44"/>
              </w:rPr>
              <w:t>5</w:t>
            </w:r>
          </w:p>
        </w:tc>
        <w:tc>
          <w:tcPr>
            <w:tcW w:w="1009" w:type="dxa"/>
            <w:vAlign w:val="center"/>
          </w:tcPr>
          <w:p w14:paraId="696A3346">
            <w:pPr>
              <w:jc w:val="center"/>
              <w:rPr>
                <w:color w:val="auto"/>
              </w:rPr>
            </w:pPr>
          </w:p>
        </w:tc>
        <w:tc>
          <w:tcPr>
            <w:tcW w:w="1010" w:type="dxa"/>
            <w:vAlign w:val="center"/>
          </w:tcPr>
          <w:p w14:paraId="065A8AB8">
            <w:pPr>
              <w:jc w:val="center"/>
              <w:rPr>
                <w:color w:val="auto"/>
              </w:rPr>
            </w:pPr>
          </w:p>
        </w:tc>
        <w:tc>
          <w:tcPr>
            <w:tcW w:w="1009" w:type="dxa"/>
            <w:vAlign w:val="center"/>
          </w:tcPr>
          <w:p w14:paraId="50FA7B1D">
            <w:pPr>
              <w:jc w:val="center"/>
              <w:rPr>
                <w:color w:val="auto"/>
              </w:rPr>
            </w:pPr>
          </w:p>
        </w:tc>
        <w:tc>
          <w:tcPr>
            <w:tcW w:w="1097" w:type="dxa"/>
            <w:vAlign w:val="center"/>
          </w:tcPr>
          <w:p w14:paraId="6929C5B1">
            <w:pPr>
              <w:jc w:val="center"/>
              <w:rPr>
                <w:color w:val="auto"/>
              </w:rPr>
            </w:pPr>
          </w:p>
        </w:tc>
        <w:tc>
          <w:tcPr>
            <w:tcW w:w="2022" w:type="dxa"/>
            <w:vAlign w:val="center"/>
          </w:tcPr>
          <w:p w14:paraId="60EB870E">
            <w:pPr>
              <w:jc w:val="center"/>
              <w:rPr>
                <w:color w:val="auto"/>
              </w:rPr>
            </w:pPr>
          </w:p>
        </w:tc>
        <w:tc>
          <w:tcPr>
            <w:tcW w:w="886" w:type="dxa"/>
            <w:vAlign w:val="center"/>
          </w:tcPr>
          <w:p w14:paraId="7539577D">
            <w:pPr>
              <w:ind w:right="-105"/>
              <w:jc w:val="center"/>
              <w:rPr>
                <w:rFonts w:ascii="宋体" w:hAnsi="宋体"/>
                <w:color w:val="auto"/>
                <w:szCs w:val="21"/>
              </w:rPr>
            </w:pPr>
          </w:p>
        </w:tc>
        <w:tc>
          <w:tcPr>
            <w:tcW w:w="867" w:type="dxa"/>
            <w:vAlign w:val="center"/>
          </w:tcPr>
          <w:p w14:paraId="0F757EF7">
            <w:pPr>
              <w:ind w:right="-111"/>
              <w:jc w:val="center"/>
              <w:rPr>
                <w:rFonts w:ascii="宋体" w:hAnsi="宋体"/>
                <w:color w:val="auto"/>
                <w:szCs w:val="21"/>
              </w:rPr>
            </w:pPr>
          </w:p>
        </w:tc>
      </w:tr>
      <w:tr w14:paraId="39D33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1911688C">
            <w:pPr>
              <w:jc w:val="center"/>
              <w:rPr>
                <w:color w:val="auto"/>
              </w:rPr>
            </w:pPr>
            <w:r>
              <w:rPr>
                <w:rFonts w:hint="eastAsia" w:ascii="黑体" w:hAnsi="黑体" w:eastAsia="黑体"/>
                <w:color w:val="auto"/>
                <w:szCs w:val="44"/>
              </w:rPr>
              <w:t>…</w:t>
            </w:r>
          </w:p>
        </w:tc>
        <w:tc>
          <w:tcPr>
            <w:tcW w:w="1009" w:type="dxa"/>
            <w:vAlign w:val="center"/>
          </w:tcPr>
          <w:p w14:paraId="7BEF8369">
            <w:pPr>
              <w:jc w:val="center"/>
              <w:rPr>
                <w:color w:val="auto"/>
              </w:rPr>
            </w:pPr>
          </w:p>
        </w:tc>
        <w:tc>
          <w:tcPr>
            <w:tcW w:w="1010" w:type="dxa"/>
            <w:vAlign w:val="center"/>
          </w:tcPr>
          <w:p w14:paraId="312AF856">
            <w:pPr>
              <w:jc w:val="center"/>
              <w:rPr>
                <w:color w:val="auto"/>
              </w:rPr>
            </w:pPr>
          </w:p>
        </w:tc>
        <w:tc>
          <w:tcPr>
            <w:tcW w:w="1009" w:type="dxa"/>
            <w:vAlign w:val="center"/>
          </w:tcPr>
          <w:p w14:paraId="508CBA19">
            <w:pPr>
              <w:jc w:val="center"/>
              <w:rPr>
                <w:color w:val="auto"/>
              </w:rPr>
            </w:pPr>
          </w:p>
        </w:tc>
        <w:tc>
          <w:tcPr>
            <w:tcW w:w="1097" w:type="dxa"/>
            <w:vAlign w:val="center"/>
          </w:tcPr>
          <w:p w14:paraId="4F7A4AAB">
            <w:pPr>
              <w:jc w:val="center"/>
              <w:rPr>
                <w:color w:val="auto"/>
              </w:rPr>
            </w:pPr>
          </w:p>
        </w:tc>
        <w:tc>
          <w:tcPr>
            <w:tcW w:w="2022" w:type="dxa"/>
            <w:vAlign w:val="center"/>
          </w:tcPr>
          <w:p w14:paraId="57C58E3F">
            <w:pPr>
              <w:jc w:val="center"/>
              <w:rPr>
                <w:color w:val="auto"/>
              </w:rPr>
            </w:pPr>
          </w:p>
        </w:tc>
        <w:tc>
          <w:tcPr>
            <w:tcW w:w="886" w:type="dxa"/>
            <w:vAlign w:val="center"/>
          </w:tcPr>
          <w:p w14:paraId="103B4FBC">
            <w:pPr>
              <w:ind w:right="-105"/>
              <w:jc w:val="center"/>
              <w:rPr>
                <w:rFonts w:ascii="宋体" w:hAnsi="宋体"/>
                <w:color w:val="auto"/>
                <w:szCs w:val="21"/>
              </w:rPr>
            </w:pPr>
          </w:p>
        </w:tc>
        <w:tc>
          <w:tcPr>
            <w:tcW w:w="867" w:type="dxa"/>
            <w:vAlign w:val="center"/>
          </w:tcPr>
          <w:p w14:paraId="6F70DB0C">
            <w:pPr>
              <w:ind w:right="-111"/>
              <w:jc w:val="center"/>
              <w:rPr>
                <w:rFonts w:ascii="宋体" w:hAnsi="宋体"/>
                <w:color w:val="auto"/>
                <w:szCs w:val="21"/>
              </w:rPr>
            </w:pPr>
          </w:p>
        </w:tc>
      </w:tr>
      <w:tr w14:paraId="58281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528" w:type="dxa"/>
            <w:gridSpan w:val="8"/>
            <w:vAlign w:val="center"/>
          </w:tcPr>
          <w:p w14:paraId="3B5AA2BC">
            <w:pPr>
              <w:jc w:val="left"/>
              <w:rPr>
                <w:rFonts w:ascii="宋体" w:hAnsi="宋体"/>
                <w:color w:val="auto"/>
                <w:szCs w:val="44"/>
              </w:rPr>
            </w:pPr>
            <w:r>
              <w:rPr>
                <w:rFonts w:hint="eastAsia"/>
                <w:color w:val="auto"/>
              </w:rPr>
              <w:t xml:space="preserve">评标委员会全体成员签名： </w:t>
            </w:r>
          </w:p>
          <w:p w14:paraId="67327EE9">
            <w:pPr>
              <w:jc w:val="left"/>
              <w:rPr>
                <w:rFonts w:ascii="宋体" w:hAnsi="宋体"/>
                <w:color w:val="auto"/>
                <w:szCs w:val="44"/>
              </w:rPr>
            </w:pPr>
          </w:p>
          <w:p w14:paraId="11FBFFF0">
            <w:pPr>
              <w:jc w:val="left"/>
              <w:rPr>
                <w:rFonts w:ascii="宋体" w:hAnsi="宋体"/>
                <w:color w:val="auto"/>
                <w:szCs w:val="44"/>
              </w:rPr>
            </w:pPr>
          </w:p>
          <w:p w14:paraId="66EF769C">
            <w:pPr>
              <w:jc w:val="left"/>
              <w:rPr>
                <w:rFonts w:ascii="宋体" w:hAnsi="宋体"/>
                <w:color w:val="auto"/>
                <w:szCs w:val="44"/>
              </w:rPr>
            </w:pPr>
          </w:p>
          <w:p w14:paraId="78CD9E8A">
            <w:pPr>
              <w:jc w:val="left"/>
              <w:rPr>
                <w:rFonts w:ascii="宋体" w:hAnsi="宋体"/>
                <w:color w:val="auto"/>
                <w:szCs w:val="44"/>
              </w:rPr>
            </w:pPr>
          </w:p>
          <w:p w14:paraId="7BAF1C5B">
            <w:pPr>
              <w:jc w:val="left"/>
              <w:rPr>
                <w:rFonts w:ascii="宋体" w:hAnsi="宋体"/>
                <w:color w:val="auto"/>
                <w:szCs w:val="44"/>
              </w:rPr>
            </w:pPr>
          </w:p>
          <w:p w14:paraId="7487647E">
            <w:pPr>
              <w:jc w:val="left"/>
              <w:rPr>
                <w:rFonts w:ascii="宋体" w:hAnsi="宋体"/>
                <w:color w:val="auto"/>
                <w:szCs w:val="44"/>
              </w:rPr>
            </w:pPr>
          </w:p>
          <w:p w14:paraId="6BB722FE">
            <w:pPr>
              <w:ind w:right="-111"/>
              <w:jc w:val="center"/>
              <w:rPr>
                <w:rFonts w:ascii="宋体" w:hAnsi="宋体"/>
                <w:color w:val="auto"/>
                <w:szCs w:val="21"/>
              </w:rPr>
            </w:pPr>
          </w:p>
        </w:tc>
      </w:tr>
    </w:tbl>
    <w:p w14:paraId="5662DC9C">
      <w:pPr>
        <w:ind w:left="5460" w:hanging="5460" w:hangingChars="2600"/>
        <w:rPr>
          <w:color w:val="auto"/>
        </w:rPr>
      </w:pPr>
      <w:r>
        <w:rPr>
          <w:rFonts w:hint="eastAsia" w:ascii="宋体" w:hAnsi="宋体"/>
          <w:color w:val="auto"/>
          <w:szCs w:val="44"/>
        </w:rPr>
        <w:t xml:space="preserve">                                                   日期：    年    月    日</w:t>
      </w:r>
    </w:p>
    <w:p w14:paraId="3E1A0E51">
      <w:pPr>
        <w:rPr>
          <w:color w:val="auto"/>
        </w:rPr>
      </w:pPr>
      <w:r>
        <w:rPr>
          <w:color w:val="auto"/>
        </w:rPr>
        <w:br w:type="page"/>
      </w:r>
    </w:p>
    <w:p w14:paraId="19BFC49D">
      <w:pPr>
        <w:pStyle w:val="27"/>
        <w:rPr>
          <w:color w:val="auto"/>
        </w:rPr>
      </w:pPr>
      <w:bookmarkStart w:id="686" w:name="_Toc165804455"/>
      <w:bookmarkStart w:id="687" w:name="_Toc18548"/>
      <w:r>
        <w:rPr>
          <w:rFonts w:hint="eastAsia"/>
          <w:color w:val="auto"/>
        </w:rPr>
        <w:t>附表A-</w:t>
      </w:r>
      <w:r>
        <w:rPr>
          <w:color w:val="auto"/>
        </w:rPr>
        <w:t>9</w:t>
      </w:r>
      <w:r>
        <w:rPr>
          <w:rFonts w:hint="eastAsia"/>
          <w:color w:val="auto"/>
        </w:rPr>
        <w:t>：否决投标的情况说明</w:t>
      </w:r>
      <w:bookmarkEnd w:id="686"/>
      <w:bookmarkEnd w:id="687"/>
    </w:p>
    <w:p w14:paraId="6AE43128">
      <w:pPr>
        <w:spacing w:after="240" w:afterLines="100"/>
        <w:jc w:val="center"/>
        <w:rPr>
          <w:rFonts w:ascii="黑体" w:hAnsi="宋体" w:eastAsia="黑体"/>
          <w:color w:val="auto"/>
          <w:sz w:val="36"/>
          <w:szCs w:val="36"/>
        </w:rPr>
      </w:pPr>
    </w:p>
    <w:p w14:paraId="0B947414">
      <w:pPr>
        <w:adjustRightInd w:val="0"/>
        <w:snapToGrid w:val="0"/>
        <w:spacing w:before="240" w:beforeLines="100" w:after="240" w:afterLines="100" w:line="440" w:lineRule="exact"/>
        <w:jc w:val="center"/>
        <w:rPr>
          <w:rFonts w:ascii="黑体" w:hAnsi="黑体" w:eastAsia="黑体"/>
          <w:color w:val="auto"/>
          <w:sz w:val="36"/>
          <w:szCs w:val="36"/>
        </w:rPr>
      </w:pPr>
      <w:r>
        <w:rPr>
          <w:rFonts w:hint="eastAsia" w:ascii="黑体" w:hAnsi="黑体" w:eastAsia="黑体"/>
          <w:color w:val="auto"/>
          <w:sz w:val="36"/>
          <w:szCs w:val="36"/>
        </w:rPr>
        <w:t>否决投标的情况说明</w:t>
      </w:r>
    </w:p>
    <w:p w14:paraId="73ED0B33">
      <w:pPr>
        <w:rPr>
          <w:rFonts w:ascii="宋体" w:hAnsi="宋体"/>
          <w:color w:val="auto"/>
          <w:szCs w:val="44"/>
        </w:rPr>
      </w:pPr>
      <w:r>
        <w:rPr>
          <w:rFonts w:hint="eastAsia" w:ascii="宋体" w:hAnsi="宋体"/>
          <w:color w:val="auto"/>
          <w:szCs w:val="44"/>
        </w:rPr>
        <w:t>标段名称：</w:t>
      </w:r>
    </w:p>
    <w:p w14:paraId="7CE306D9">
      <w:pPr>
        <w:rPr>
          <w:color w:val="auto"/>
        </w:rPr>
      </w:pPr>
      <w:r>
        <w:rPr>
          <w:rFonts w:hint="eastAsia"/>
          <w:color w:val="auto"/>
          <w:szCs w:val="44"/>
        </w:rPr>
        <w:t>标段唯一标识码：</w:t>
      </w:r>
    </w:p>
    <w:tbl>
      <w:tblPr>
        <w:tblStyle w:val="18"/>
        <w:tblW w:w="87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548"/>
        <w:gridCol w:w="1780"/>
        <w:gridCol w:w="4729"/>
      </w:tblGrid>
      <w:tr w14:paraId="49BE8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502E65AA">
            <w:pPr>
              <w:jc w:val="center"/>
              <w:rPr>
                <w:rFonts w:ascii="宋体" w:hAnsi="宋体"/>
                <w:b/>
                <w:bCs/>
                <w:color w:val="auto"/>
                <w:szCs w:val="21"/>
              </w:rPr>
            </w:pPr>
            <w:r>
              <w:rPr>
                <w:rFonts w:hint="eastAsia" w:ascii="宋体" w:hAnsi="宋体"/>
                <w:b/>
                <w:bCs/>
                <w:color w:val="auto"/>
                <w:szCs w:val="21"/>
              </w:rPr>
              <w:t>序号</w:t>
            </w:r>
          </w:p>
        </w:tc>
        <w:tc>
          <w:tcPr>
            <w:tcW w:w="1548" w:type="dxa"/>
            <w:vAlign w:val="center"/>
          </w:tcPr>
          <w:p w14:paraId="7DED1451">
            <w:pPr>
              <w:jc w:val="center"/>
              <w:rPr>
                <w:rFonts w:ascii="宋体" w:hAnsi="宋体"/>
                <w:b/>
                <w:bCs/>
                <w:color w:val="auto"/>
                <w:szCs w:val="21"/>
              </w:rPr>
            </w:pPr>
            <w:r>
              <w:rPr>
                <w:rFonts w:hint="eastAsia" w:ascii="宋体" w:hAnsi="宋体"/>
                <w:b/>
                <w:bCs/>
                <w:color w:val="auto"/>
                <w:szCs w:val="21"/>
              </w:rPr>
              <w:t>投标人名称</w:t>
            </w:r>
          </w:p>
        </w:tc>
        <w:tc>
          <w:tcPr>
            <w:tcW w:w="1780" w:type="dxa"/>
            <w:vAlign w:val="center"/>
          </w:tcPr>
          <w:p w14:paraId="1BB43B80">
            <w:pPr>
              <w:jc w:val="center"/>
              <w:rPr>
                <w:rFonts w:ascii="宋体" w:hAnsi="宋体"/>
                <w:b/>
                <w:bCs/>
                <w:color w:val="auto"/>
                <w:szCs w:val="21"/>
              </w:rPr>
            </w:pPr>
            <w:r>
              <w:rPr>
                <w:rFonts w:hint="eastAsia" w:ascii="宋体" w:hAnsi="宋体"/>
                <w:b/>
                <w:bCs/>
                <w:color w:val="auto"/>
                <w:szCs w:val="21"/>
              </w:rPr>
              <w:t>否决投标的依据</w:t>
            </w:r>
          </w:p>
        </w:tc>
        <w:tc>
          <w:tcPr>
            <w:tcW w:w="4729" w:type="dxa"/>
            <w:vAlign w:val="center"/>
          </w:tcPr>
          <w:p w14:paraId="46BB020F">
            <w:pPr>
              <w:jc w:val="center"/>
              <w:rPr>
                <w:rFonts w:ascii="宋体" w:hAnsi="宋体"/>
                <w:b/>
                <w:bCs/>
                <w:color w:val="auto"/>
                <w:szCs w:val="21"/>
              </w:rPr>
            </w:pPr>
            <w:r>
              <w:rPr>
                <w:rFonts w:hint="eastAsia" w:ascii="宋体" w:hAnsi="宋体"/>
                <w:b/>
                <w:bCs/>
                <w:color w:val="auto"/>
                <w:szCs w:val="21"/>
              </w:rPr>
              <w:t>投标文件存在的具体问题描述</w:t>
            </w:r>
          </w:p>
        </w:tc>
      </w:tr>
      <w:tr w14:paraId="28602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4FE16C3E">
            <w:pPr>
              <w:jc w:val="center"/>
              <w:rPr>
                <w:rFonts w:ascii="宋体" w:hAnsi="宋体"/>
                <w:color w:val="auto"/>
                <w:sz w:val="24"/>
              </w:rPr>
            </w:pPr>
            <w:r>
              <w:rPr>
                <w:rFonts w:hint="eastAsia" w:ascii="宋体" w:hAnsi="宋体"/>
                <w:color w:val="auto"/>
                <w:sz w:val="24"/>
              </w:rPr>
              <w:t>1</w:t>
            </w:r>
          </w:p>
        </w:tc>
        <w:tc>
          <w:tcPr>
            <w:tcW w:w="1548" w:type="dxa"/>
            <w:vAlign w:val="center"/>
          </w:tcPr>
          <w:p w14:paraId="7096E3BC">
            <w:pPr>
              <w:jc w:val="center"/>
              <w:rPr>
                <w:rFonts w:ascii="仿宋_GB2312" w:hAnsi="宋体" w:eastAsia="仿宋_GB2312"/>
                <w:color w:val="auto"/>
                <w:szCs w:val="21"/>
              </w:rPr>
            </w:pPr>
          </w:p>
        </w:tc>
        <w:tc>
          <w:tcPr>
            <w:tcW w:w="1780" w:type="dxa"/>
            <w:vAlign w:val="center"/>
          </w:tcPr>
          <w:p w14:paraId="401260B4">
            <w:pPr>
              <w:jc w:val="center"/>
              <w:rPr>
                <w:rFonts w:ascii="仿宋_GB2312" w:hAnsi="宋体" w:eastAsia="仿宋_GB2312"/>
                <w:color w:val="auto"/>
                <w:szCs w:val="21"/>
              </w:rPr>
            </w:pPr>
          </w:p>
        </w:tc>
        <w:tc>
          <w:tcPr>
            <w:tcW w:w="4729" w:type="dxa"/>
            <w:vAlign w:val="center"/>
          </w:tcPr>
          <w:p w14:paraId="18228EA9">
            <w:pPr>
              <w:jc w:val="center"/>
              <w:rPr>
                <w:rFonts w:ascii="仿宋_GB2312" w:hAnsi="宋体" w:eastAsia="仿宋_GB2312"/>
                <w:color w:val="auto"/>
                <w:szCs w:val="21"/>
              </w:rPr>
            </w:pPr>
          </w:p>
        </w:tc>
      </w:tr>
      <w:tr w14:paraId="651FE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5C5FBE18">
            <w:pPr>
              <w:jc w:val="center"/>
              <w:rPr>
                <w:rFonts w:ascii="宋体" w:hAnsi="宋体"/>
                <w:color w:val="auto"/>
                <w:sz w:val="24"/>
              </w:rPr>
            </w:pPr>
            <w:r>
              <w:rPr>
                <w:rFonts w:hint="eastAsia" w:ascii="宋体" w:hAnsi="宋体"/>
                <w:color w:val="auto"/>
                <w:sz w:val="24"/>
              </w:rPr>
              <w:t>2</w:t>
            </w:r>
          </w:p>
        </w:tc>
        <w:tc>
          <w:tcPr>
            <w:tcW w:w="1548" w:type="dxa"/>
            <w:vAlign w:val="center"/>
          </w:tcPr>
          <w:p w14:paraId="710A8223">
            <w:pPr>
              <w:jc w:val="center"/>
              <w:rPr>
                <w:rFonts w:ascii="仿宋_GB2312" w:hAnsi="宋体" w:eastAsia="仿宋_GB2312"/>
                <w:color w:val="auto"/>
                <w:szCs w:val="21"/>
              </w:rPr>
            </w:pPr>
          </w:p>
        </w:tc>
        <w:tc>
          <w:tcPr>
            <w:tcW w:w="1780" w:type="dxa"/>
            <w:vAlign w:val="center"/>
          </w:tcPr>
          <w:p w14:paraId="171FDFC2">
            <w:pPr>
              <w:jc w:val="center"/>
              <w:rPr>
                <w:rFonts w:ascii="仿宋_GB2312" w:hAnsi="宋体" w:eastAsia="仿宋_GB2312"/>
                <w:color w:val="auto"/>
                <w:szCs w:val="21"/>
              </w:rPr>
            </w:pPr>
          </w:p>
        </w:tc>
        <w:tc>
          <w:tcPr>
            <w:tcW w:w="4729" w:type="dxa"/>
            <w:vAlign w:val="center"/>
          </w:tcPr>
          <w:p w14:paraId="2FB0C0F0">
            <w:pPr>
              <w:jc w:val="center"/>
              <w:rPr>
                <w:rFonts w:ascii="仿宋_GB2312" w:hAnsi="宋体" w:eastAsia="仿宋_GB2312"/>
                <w:color w:val="auto"/>
                <w:szCs w:val="21"/>
              </w:rPr>
            </w:pPr>
          </w:p>
        </w:tc>
      </w:tr>
      <w:tr w14:paraId="2ACD6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685" w:type="dxa"/>
            <w:vAlign w:val="center"/>
          </w:tcPr>
          <w:p w14:paraId="7C1A9EA8">
            <w:pPr>
              <w:jc w:val="center"/>
              <w:rPr>
                <w:rFonts w:ascii="宋体" w:hAnsi="宋体"/>
                <w:color w:val="auto"/>
                <w:sz w:val="24"/>
              </w:rPr>
            </w:pPr>
            <w:r>
              <w:rPr>
                <w:rFonts w:hint="eastAsia" w:ascii="宋体" w:hAnsi="宋体"/>
                <w:color w:val="auto"/>
                <w:sz w:val="24"/>
              </w:rPr>
              <w:t>3</w:t>
            </w:r>
          </w:p>
        </w:tc>
        <w:tc>
          <w:tcPr>
            <w:tcW w:w="1548" w:type="dxa"/>
            <w:vAlign w:val="center"/>
          </w:tcPr>
          <w:p w14:paraId="553F082C">
            <w:pPr>
              <w:jc w:val="center"/>
              <w:rPr>
                <w:rFonts w:ascii="仿宋_GB2312" w:hAnsi="宋体" w:eastAsia="仿宋_GB2312"/>
                <w:color w:val="auto"/>
                <w:szCs w:val="21"/>
              </w:rPr>
            </w:pPr>
          </w:p>
        </w:tc>
        <w:tc>
          <w:tcPr>
            <w:tcW w:w="1780" w:type="dxa"/>
            <w:vAlign w:val="center"/>
          </w:tcPr>
          <w:p w14:paraId="01CE6A0C">
            <w:pPr>
              <w:jc w:val="center"/>
              <w:rPr>
                <w:rFonts w:ascii="仿宋_GB2312" w:hAnsi="宋体" w:eastAsia="仿宋_GB2312"/>
                <w:color w:val="auto"/>
                <w:szCs w:val="21"/>
              </w:rPr>
            </w:pPr>
          </w:p>
        </w:tc>
        <w:tc>
          <w:tcPr>
            <w:tcW w:w="4729" w:type="dxa"/>
            <w:vAlign w:val="center"/>
          </w:tcPr>
          <w:p w14:paraId="22AB6381">
            <w:pPr>
              <w:jc w:val="center"/>
              <w:rPr>
                <w:rFonts w:ascii="仿宋_GB2312" w:hAnsi="宋体" w:eastAsia="仿宋_GB2312"/>
                <w:color w:val="auto"/>
                <w:szCs w:val="21"/>
              </w:rPr>
            </w:pPr>
          </w:p>
        </w:tc>
      </w:tr>
      <w:tr w14:paraId="2EEAA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6B099C59">
            <w:pPr>
              <w:jc w:val="center"/>
              <w:rPr>
                <w:rFonts w:ascii="宋体" w:hAnsi="宋体"/>
                <w:color w:val="auto"/>
                <w:sz w:val="24"/>
              </w:rPr>
            </w:pPr>
            <w:r>
              <w:rPr>
                <w:rFonts w:hint="eastAsia" w:ascii="宋体" w:hAnsi="宋体"/>
                <w:color w:val="auto"/>
                <w:sz w:val="24"/>
              </w:rPr>
              <w:t>4</w:t>
            </w:r>
          </w:p>
        </w:tc>
        <w:tc>
          <w:tcPr>
            <w:tcW w:w="1548" w:type="dxa"/>
            <w:vAlign w:val="center"/>
          </w:tcPr>
          <w:p w14:paraId="7226EFC6">
            <w:pPr>
              <w:jc w:val="center"/>
              <w:rPr>
                <w:rFonts w:ascii="仿宋_GB2312" w:hAnsi="宋体" w:eastAsia="仿宋_GB2312"/>
                <w:color w:val="auto"/>
                <w:szCs w:val="21"/>
              </w:rPr>
            </w:pPr>
          </w:p>
        </w:tc>
        <w:tc>
          <w:tcPr>
            <w:tcW w:w="1780" w:type="dxa"/>
            <w:vAlign w:val="center"/>
          </w:tcPr>
          <w:p w14:paraId="773CB729">
            <w:pPr>
              <w:jc w:val="center"/>
              <w:rPr>
                <w:rFonts w:ascii="仿宋_GB2312" w:hAnsi="宋体" w:eastAsia="仿宋_GB2312"/>
                <w:color w:val="auto"/>
                <w:szCs w:val="21"/>
              </w:rPr>
            </w:pPr>
          </w:p>
        </w:tc>
        <w:tc>
          <w:tcPr>
            <w:tcW w:w="4729" w:type="dxa"/>
            <w:vAlign w:val="center"/>
          </w:tcPr>
          <w:p w14:paraId="423C4CFA">
            <w:pPr>
              <w:jc w:val="center"/>
              <w:rPr>
                <w:rFonts w:ascii="仿宋_GB2312" w:hAnsi="宋体" w:eastAsia="仿宋_GB2312"/>
                <w:color w:val="auto"/>
                <w:szCs w:val="21"/>
              </w:rPr>
            </w:pPr>
          </w:p>
        </w:tc>
      </w:tr>
      <w:tr w14:paraId="5DC2B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4B29191F">
            <w:pPr>
              <w:jc w:val="center"/>
              <w:rPr>
                <w:rFonts w:ascii="宋体" w:hAnsi="宋体"/>
                <w:color w:val="auto"/>
                <w:sz w:val="24"/>
              </w:rPr>
            </w:pPr>
            <w:r>
              <w:rPr>
                <w:rFonts w:hint="eastAsia" w:ascii="宋体" w:hAnsi="宋体"/>
                <w:color w:val="auto"/>
                <w:sz w:val="24"/>
              </w:rPr>
              <w:t>5</w:t>
            </w:r>
          </w:p>
        </w:tc>
        <w:tc>
          <w:tcPr>
            <w:tcW w:w="1548" w:type="dxa"/>
            <w:vAlign w:val="center"/>
          </w:tcPr>
          <w:p w14:paraId="2F1AEEEF">
            <w:pPr>
              <w:jc w:val="center"/>
              <w:rPr>
                <w:rFonts w:ascii="仿宋_GB2312" w:hAnsi="宋体" w:eastAsia="仿宋_GB2312"/>
                <w:color w:val="auto"/>
                <w:szCs w:val="21"/>
              </w:rPr>
            </w:pPr>
          </w:p>
        </w:tc>
        <w:tc>
          <w:tcPr>
            <w:tcW w:w="1780" w:type="dxa"/>
            <w:vAlign w:val="center"/>
          </w:tcPr>
          <w:p w14:paraId="1D29BF3D">
            <w:pPr>
              <w:jc w:val="center"/>
              <w:rPr>
                <w:rFonts w:ascii="仿宋_GB2312" w:hAnsi="宋体" w:eastAsia="仿宋_GB2312"/>
                <w:color w:val="auto"/>
                <w:szCs w:val="21"/>
              </w:rPr>
            </w:pPr>
          </w:p>
        </w:tc>
        <w:tc>
          <w:tcPr>
            <w:tcW w:w="4729" w:type="dxa"/>
            <w:vAlign w:val="center"/>
          </w:tcPr>
          <w:p w14:paraId="6703C7DE">
            <w:pPr>
              <w:jc w:val="center"/>
              <w:rPr>
                <w:rFonts w:ascii="仿宋_GB2312" w:hAnsi="宋体" w:eastAsia="仿宋_GB2312"/>
                <w:color w:val="auto"/>
                <w:szCs w:val="21"/>
              </w:rPr>
            </w:pPr>
          </w:p>
        </w:tc>
      </w:tr>
      <w:tr w14:paraId="737D8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7BA520AC">
            <w:pPr>
              <w:jc w:val="center"/>
              <w:rPr>
                <w:rFonts w:ascii="宋体" w:hAnsi="宋体"/>
                <w:color w:val="auto"/>
                <w:sz w:val="24"/>
              </w:rPr>
            </w:pPr>
            <w:r>
              <w:rPr>
                <w:rFonts w:hint="eastAsia" w:ascii="宋体" w:hAnsi="宋体"/>
                <w:color w:val="auto"/>
                <w:sz w:val="24"/>
              </w:rPr>
              <w:t>6</w:t>
            </w:r>
          </w:p>
        </w:tc>
        <w:tc>
          <w:tcPr>
            <w:tcW w:w="1548" w:type="dxa"/>
            <w:vAlign w:val="center"/>
          </w:tcPr>
          <w:p w14:paraId="1483CC2E">
            <w:pPr>
              <w:jc w:val="center"/>
              <w:rPr>
                <w:rFonts w:ascii="仿宋_GB2312" w:hAnsi="宋体" w:eastAsia="仿宋_GB2312"/>
                <w:color w:val="auto"/>
                <w:szCs w:val="21"/>
              </w:rPr>
            </w:pPr>
          </w:p>
        </w:tc>
        <w:tc>
          <w:tcPr>
            <w:tcW w:w="1780" w:type="dxa"/>
            <w:vAlign w:val="center"/>
          </w:tcPr>
          <w:p w14:paraId="39C36E13">
            <w:pPr>
              <w:jc w:val="center"/>
              <w:rPr>
                <w:rFonts w:ascii="仿宋_GB2312" w:hAnsi="宋体" w:eastAsia="仿宋_GB2312"/>
                <w:color w:val="auto"/>
                <w:szCs w:val="21"/>
              </w:rPr>
            </w:pPr>
          </w:p>
        </w:tc>
        <w:tc>
          <w:tcPr>
            <w:tcW w:w="4729" w:type="dxa"/>
            <w:vAlign w:val="center"/>
          </w:tcPr>
          <w:p w14:paraId="510212F1">
            <w:pPr>
              <w:jc w:val="center"/>
              <w:rPr>
                <w:rFonts w:ascii="仿宋_GB2312" w:hAnsi="宋体" w:eastAsia="仿宋_GB2312"/>
                <w:color w:val="auto"/>
                <w:szCs w:val="21"/>
              </w:rPr>
            </w:pPr>
          </w:p>
        </w:tc>
      </w:tr>
      <w:tr w14:paraId="41320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73AA3E67">
            <w:pPr>
              <w:jc w:val="center"/>
              <w:rPr>
                <w:rFonts w:ascii="宋体" w:hAnsi="宋体"/>
                <w:color w:val="auto"/>
                <w:sz w:val="24"/>
              </w:rPr>
            </w:pPr>
            <w:r>
              <w:rPr>
                <w:rFonts w:hint="eastAsia" w:ascii="宋体" w:hAnsi="宋体"/>
                <w:color w:val="auto"/>
                <w:sz w:val="24"/>
              </w:rPr>
              <w:t>7</w:t>
            </w:r>
          </w:p>
        </w:tc>
        <w:tc>
          <w:tcPr>
            <w:tcW w:w="1548" w:type="dxa"/>
            <w:vAlign w:val="center"/>
          </w:tcPr>
          <w:p w14:paraId="023769BC">
            <w:pPr>
              <w:jc w:val="center"/>
              <w:rPr>
                <w:rFonts w:ascii="仿宋_GB2312" w:hAnsi="宋体" w:eastAsia="仿宋_GB2312"/>
                <w:color w:val="auto"/>
                <w:szCs w:val="21"/>
              </w:rPr>
            </w:pPr>
          </w:p>
        </w:tc>
        <w:tc>
          <w:tcPr>
            <w:tcW w:w="1780" w:type="dxa"/>
            <w:vAlign w:val="center"/>
          </w:tcPr>
          <w:p w14:paraId="7485175C">
            <w:pPr>
              <w:jc w:val="center"/>
              <w:rPr>
                <w:rFonts w:ascii="仿宋_GB2312" w:hAnsi="宋体" w:eastAsia="仿宋_GB2312"/>
                <w:color w:val="auto"/>
                <w:szCs w:val="21"/>
              </w:rPr>
            </w:pPr>
          </w:p>
        </w:tc>
        <w:tc>
          <w:tcPr>
            <w:tcW w:w="4729" w:type="dxa"/>
            <w:vAlign w:val="center"/>
          </w:tcPr>
          <w:p w14:paraId="4C5C0E73">
            <w:pPr>
              <w:jc w:val="center"/>
              <w:rPr>
                <w:rFonts w:ascii="仿宋_GB2312" w:hAnsi="宋体" w:eastAsia="仿宋_GB2312"/>
                <w:color w:val="auto"/>
                <w:szCs w:val="21"/>
              </w:rPr>
            </w:pPr>
          </w:p>
        </w:tc>
      </w:tr>
      <w:tr w14:paraId="24326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44BA5FB4">
            <w:pPr>
              <w:jc w:val="center"/>
              <w:rPr>
                <w:rFonts w:ascii="宋体" w:hAnsi="宋体"/>
                <w:color w:val="auto"/>
                <w:sz w:val="24"/>
              </w:rPr>
            </w:pPr>
            <w:r>
              <w:rPr>
                <w:rFonts w:hint="eastAsia" w:ascii="宋体" w:hAnsi="宋体"/>
                <w:color w:val="auto"/>
                <w:sz w:val="24"/>
              </w:rPr>
              <w:t>8</w:t>
            </w:r>
          </w:p>
        </w:tc>
        <w:tc>
          <w:tcPr>
            <w:tcW w:w="1548" w:type="dxa"/>
            <w:vAlign w:val="center"/>
          </w:tcPr>
          <w:p w14:paraId="53736212">
            <w:pPr>
              <w:jc w:val="center"/>
              <w:rPr>
                <w:rFonts w:ascii="仿宋_GB2312" w:hAnsi="宋体" w:eastAsia="仿宋_GB2312"/>
                <w:color w:val="auto"/>
                <w:szCs w:val="21"/>
              </w:rPr>
            </w:pPr>
          </w:p>
        </w:tc>
        <w:tc>
          <w:tcPr>
            <w:tcW w:w="1780" w:type="dxa"/>
            <w:vAlign w:val="center"/>
          </w:tcPr>
          <w:p w14:paraId="1ACBDDFD">
            <w:pPr>
              <w:jc w:val="center"/>
              <w:rPr>
                <w:rFonts w:ascii="仿宋_GB2312" w:hAnsi="宋体" w:eastAsia="仿宋_GB2312"/>
                <w:color w:val="auto"/>
                <w:szCs w:val="21"/>
              </w:rPr>
            </w:pPr>
          </w:p>
        </w:tc>
        <w:tc>
          <w:tcPr>
            <w:tcW w:w="4729" w:type="dxa"/>
            <w:vAlign w:val="center"/>
          </w:tcPr>
          <w:p w14:paraId="0BEEFF2A">
            <w:pPr>
              <w:jc w:val="center"/>
              <w:rPr>
                <w:rFonts w:ascii="仿宋_GB2312" w:hAnsi="宋体" w:eastAsia="仿宋_GB2312"/>
                <w:color w:val="auto"/>
                <w:szCs w:val="21"/>
              </w:rPr>
            </w:pPr>
          </w:p>
        </w:tc>
      </w:tr>
      <w:tr w14:paraId="321E8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4CC614AD">
            <w:pPr>
              <w:jc w:val="center"/>
              <w:rPr>
                <w:rFonts w:ascii="宋体" w:hAnsi="宋体"/>
                <w:color w:val="auto"/>
                <w:sz w:val="24"/>
              </w:rPr>
            </w:pPr>
            <w:r>
              <w:rPr>
                <w:rFonts w:hint="eastAsia" w:ascii="宋体" w:hAnsi="宋体"/>
                <w:color w:val="auto"/>
                <w:szCs w:val="44"/>
              </w:rPr>
              <w:t>…</w:t>
            </w:r>
          </w:p>
        </w:tc>
        <w:tc>
          <w:tcPr>
            <w:tcW w:w="1548" w:type="dxa"/>
            <w:vAlign w:val="center"/>
          </w:tcPr>
          <w:p w14:paraId="2226280C">
            <w:pPr>
              <w:jc w:val="center"/>
              <w:rPr>
                <w:rFonts w:ascii="仿宋_GB2312" w:hAnsi="宋体" w:eastAsia="仿宋_GB2312"/>
                <w:color w:val="auto"/>
                <w:szCs w:val="21"/>
              </w:rPr>
            </w:pPr>
          </w:p>
        </w:tc>
        <w:tc>
          <w:tcPr>
            <w:tcW w:w="1780" w:type="dxa"/>
            <w:vAlign w:val="center"/>
          </w:tcPr>
          <w:p w14:paraId="7136D1D7">
            <w:pPr>
              <w:jc w:val="center"/>
              <w:rPr>
                <w:rFonts w:ascii="仿宋_GB2312" w:hAnsi="宋体" w:eastAsia="仿宋_GB2312"/>
                <w:color w:val="auto"/>
                <w:szCs w:val="21"/>
              </w:rPr>
            </w:pPr>
          </w:p>
        </w:tc>
        <w:tc>
          <w:tcPr>
            <w:tcW w:w="4729" w:type="dxa"/>
            <w:vAlign w:val="center"/>
          </w:tcPr>
          <w:p w14:paraId="44EABCE9">
            <w:pPr>
              <w:jc w:val="center"/>
              <w:rPr>
                <w:rFonts w:ascii="仿宋_GB2312" w:hAnsi="宋体" w:eastAsia="仿宋_GB2312"/>
                <w:color w:val="auto"/>
                <w:szCs w:val="21"/>
              </w:rPr>
            </w:pPr>
          </w:p>
        </w:tc>
      </w:tr>
      <w:tr w14:paraId="5CE2A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5" w:hRule="atLeast"/>
          <w:jc w:val="center"/>
        </w:trPr>
        <w:tc>
          <w:tcPr>
            <w:tcW w:w="8742" w:type="dxa"/>
            <w:gridSpan w:val="4"/>
            <w:vAlign w:val="center"/>
          </w:tcPr>
          <w:p w14:paraId="7EE53364">
            <w:pPr>
              <w:jc w:val="left"/>
              <w:rPr>
                <w:rFonts w:ascii="宋体" w:hAnsi="宋体"/>
                <w:color w:val="auto"/>
                <w:szCs w:val="44"/>
              </w:rPr>
            </w:pPr>
            <w:r>
              <w:rPr>
                <w:rFonts w:hint="eastAsia"/>
                <w:color w:val="auto"/>
              </w:rPr>
              <w:t xml:space="preserve">评标委员会全体成员签名： </w:t>
            </w:r>
            <w:r>
              <w:rPr>
                <w:rFonts w:hint="eastAsia" w:ascii="宋体" w:hAnsi="宋体"/>
                <w:color w:val="auto"/>
                <w:szCs w:val="44"/>
              </w:rPr>
              <w:t xml:space="preserve"> </w:t>
            </w:r>
          </w:p>
          <w:p w14:paraId="4D171722">
            <w:pPr>
              <w:jc w:val="left"/>
              <w:rPr>
                <w:rFonts w:ascii="宋体" w:hAnsi="宋体"/>
                <w:color w:val="auto"/>
                <w:szCs w:val="44"/>
              </w:rPr>
            </w:pPr>
          </w:p>
          <w:p w14:paraId="22EEADE9">
            <w:pPr>
              <w:jc w:val="left"/>
              <w:rPr>
                <w:rFonts w:ascii="宋体" w:hAnsi="宋体"/>
                <w:color w:val="auto"/>
                <w:szCs w:val="44"/>
              </w:rPr>
            </w:pPr>
          </w:p>
          <w:p w14:paraId="704528EC">
            <w:pPr>
              <w:jc w:val="left"/>
              <w:rPr>
                <w:rFonts w:ascii="宋体" w:hAnsi="宋体"/>
                <w:color w:val="auto"/>
                <w:szCs w:val="44"/>
              </w:rPr>
            </w:pPr>
          </w:p>
          <w:p w14:paraId="5CD8CA8A">
            <w:pPr>
              <w:jc w:val="left"/>
              <w:rPr>
                <w:rFonts w:ascii="宋体" w:hAnsi="宋体"/>
                <w:color w:val="auto"/>
                <w:szCs w:val="44"/>
              </w:rPr>
            </w:pPr>
          </w:p>
          <w:p w14:paraId="44DEE31D">
            <w:pPr>
              <w:jc w:val="left"/>
              <w:rPr>
                <w:rFonts w:ascii="宋体" w:hAnsi="宋体"/>
                <w:color w:val="auto"/>
                <w:szCs w:val="44"/>
              </w:rPr>
            </w:pPr>
          </w:p>
          <w:p w14:paraId="60A56A99">
            <w:pPr>
              <w:jc w:val="left"/>
              <w:rPr>
                <w:rFonts w:ascii="宋体" w:hAnsi="宋体"/>
                <w:color w:val="auto"/>
                <w:szCs w:val="44"/>
              </w:rPr>
            </w:pPr>
          </w:p>
          <w:p w14:paraId="5A9B3CEC">
            <w:pPr>
              <w:jc w:val="center"/>
              <w:rPr>
                <w:rFonts w:ascii="仿宋_GB2312" w:hAnsi="宋体" w:eastAsia="仿宋_GB2312"/>
                <w:color w:val="auto"/>
                <w:szCs w:val="21"/>
              </w:rPr>
            </w:pPr>
          </w:p>
        </w:tc>
      </w:tr>
    </w:tbl>
    <w:p w14:paraId="2DB7D8E9">
      <w:pPr>
        <w:rPr>
          <w:rFonts w:ascii="宋体" w:hAnsi="宋体"/>
          <w:color w:val="auto"/>
          <w:szCs w:val="44"/>
        </w:rPr>
      </w:pPr>
      <w:r>
        <w:rPr>
          <w:rFonts w:ascii="宋体" w:hAnsi="宋体"/>
          <w:color w:val="auto"/>
          <w:szCs w:val="44"/>
        </w:rPr>
        <w:t xml:space="preserve">        </w:t>
      </w:r>
      <w:r>
        <w:rPr>
          <w:rFonts w:hint="eastAsia" w:ascii="宋体" w:hAnsi="宋体"/>
          <w:color w:val="auto"/>
          <w:szCs w:val="44"/>
        </w:rPr>
        <w:t xml:space="preserve">                        </w:t>
      </w:r>
      <w:r>
        <w:rPr>
          <w:rFonts w:ascii="宋体" w:hAnsi="宋体"/>
          <w:color w:val="auto"/>
          <w:szCs w:val="44"/>
        </w:rPr>
        <w:t xml:space="preserve">                      </w:t>
      </w:r>
      <w:r>
        <w:rPr>
          <w:rFonts w:hint="eastAsia" w:ascii="宋体" w:hAnsi="宋体"/>
          <w:color w:val="auto"/>
          <w:szCs w:val="44"/>
        </w:rPr>
        <w:t>日期：    年    月    日</w:t>
      </w:r>
    </w:p>
    <w:p w14:paraId="4A117C35">
      <w:pPr>
        <w:rPr>
          <w:color w:val="auto"/>
        </w:rPr>
      </w:pPr>
    </w:p>
    <w:p w14:paraId="4B0B312B">
      <w:pPr>
        <w:rPr>
          <w:color w:val="auto"/>
        </w:rPr>
      </w:pPr>
      <w:r>
        <w:rPr>
          <w:color w:val="auto"/>
        </w:rPr>
        <w:br w:type="page"/>
      </w:r>
    </w:p>
    <w:p w14:paraId="48DCA6F8">
      <w:pPr>
        <w:pStyle w:val="27"/>
        <w:rPr>
          <w:color w:val="auto"/>
        </w:rPr>
      </w:pPr>
      <w:bookmarkStart w:id="688" w:name="_Toc165804456"/>
      <w:bookmarkStart w:id="689" w:name="_Toc16815"/>
      <w:r>
        <w:rPr>
          <w:rFonts w:hint="eastAsia"/>
          <w:color w:val="auto"/>
        </w:rPr>
        <w:t>附表A-</w:t>
      </w:r>
      <w:r>
        <w:rPr>
          <w:color w:val="auto"/>
        </w:rPr>
        <w:t>10</w:t>
      </w:r>
      <w:r>
        <w:rPr>
          <w:rFonts w:hint="eastAsia"/>
          <w:color w:val="auto"/>
        </w:rPr>
        <w:t>：经济标评分记录表</w:t>
      </w:r>
      <w:bookmarkEnd w:id="688"/>
      <w:bookmarkEnd w:id="689"/>
    </w:p>
    <w:p w14:paraId="280845E0">
      <w:pPr>
        <w:spacing w:after="240" w:afterLines="100"/>
        <w:jc w:val="center"/>
        <w:rPr>
          <w:rFonts w:ascii="黑体" w:hAnsi="宋体" w:eastAsia="黑体"/>
          <w:color w:val="auto"/>
          <w:sz w:val="36"/>
          <w:szCs w:val="36"/>
        </w:rPr>
      </w:pPr>
    </w:p>
    <w:p w14:paraId="3ED5BE6F">
      <w:pPr>
        <w:adjustRightInd w:val="0"/>
        <w:snapToGrid w:val="0"/>
        <w:spacing w:before="240" w:beforeLines="100" w:after="240" w:afterLines="100" w:line="440" w:lineRule="exact"/>
        <w:jc w:val="center"/>
        <w:rPr>
          <w:rFonts w:ascii="黑体" w:hAnsi="黑体" w:eastAsia="黑体"/>
          <w:color w:val="auto"/>
          <w:sz w:val="36"/>
          <w:szCs w:val="36"/>
        </w:rPr>
      </w:pPr>
      <w:bookmarkStart w:id="690" w:name="_Hlk150330919"/>
      <w:r>
        <w:rPr>
          <w:rFonts w:hint="eastAsia" w:ascii="黑体" w:hAnsi="黑体" w:eastAsia="黑体"/>
          <w:color w:val="auto"/>
          <w:sz w:val="36"/>
          <w:szCs w:val="36"/>
        </w:rPr>
        <w:t>经济标评分记录表</w:t>
      </w:r>
    </w:p>
    <w:p w14:paraId="007F0541">
      <w:pPr>
        <w:rPr>
          <w:rFonts w:ascii="宋体" w:hAnsi="宋体"/>
          <w:color w:val="auto"/>
          <w:szCs w:val="44"/>
        </w:rPr>
      </w:pPr>
      <w:r>
        <w:rPr>
          <w:rFonts w:hint="eastAsia" w:ascii="宋体" w:hAnsi="宋体"/>
          <w:color w:val="auto"/>
          <w:szCs w:val="44"/>
        </w:rPr>
        <w:t>标段名称：</w:t>
      </w:r>
    </w:p>
    <w:p w14:paraId="74988A6F">
      <w:pPr>
        <w:rPr>
          <w:color w:val="auto"/>
        </w:rPr>
      </w:pPr>
      <w:r>
        <w:rPr>
          <w:rFonts w:hint="eastAsia"/>
          <w:color w:val="auto"/>
          <w:szCs w:val="44"/>
        </w:rPr>
        <w:t xml:space="preserve">标段唯一标识码： </w:t>
      </w:r>
      <w:r>
        <w:rPr>
          <w:color w:val="auto"/>
          <w:szCs w:val="44"/>
        </w:rPr>
        <w:t xml:space="preserve">                                              </w:t>
      </w:r>
      <w:r>
        <w:rPr>
          <w:rFonts w:hint="eastAsia"/>
          <w:color w:val="auto"/>
        </w:rPr>
        <w:t>单位：人民币元</w:t>
      </w:r>
    </w:p>
    <w:tbl>
      <w:tblPr>
        <w:tblStyle w:val="18"/>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7"/>
        <w:gridCol w:w="1331"/>
        <w:gridCol w:w="701"/>
        <w:gridCol w:w="997"/>
        <w:gridCol w:w="738"/>
        <w:gridCol w:w="946"/>
        <w:gridCol w:w="841"/>
        <w:gridCol w:w="841"/>
        <w:gridCol w:w="1528"/>
      </w:tblGrid>
      <w:tr w14:paraId="1496D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577" w:type="dxa"/>
            <w:vMerge w:val="restart"/>
            <w:vAlign w:val="center"/>
          </w:tcPr>
          <w:p w14:paraId="2B5E0865">
            <w:pPr>
              <w:jc w:val="center"/>
              <w:rPr>
                <w:b/>
                <w:bCs/>
                <w:color w:val="auto"/>
              </w:rPr>
            </w:pPr>
            <w:r>
              <w:rPr>
                <w:rFonts w:hint="eastAsia"/>
                <w:b/>
                <w:bCs/>
                <w:color w:val="auto"/>
              </w:rPr>
              <w:t>序号</w:t>
            </w:r>
          </w:p>
        </w:tc>
        <w:tc>
          <w:tcPr>
            <w:tcW w:w="1331" w:type="dxa"/>
            <w:vMerge w:val="restart"/>
            <w:vAlign w:val="center"/>
          </w:tcPr>
          <w:p w14:paraId="23150CC8">
            <w:pPr>
              <w:jc w:val="center"/>
              <w:rPr>
                <w:b/>
                <w:bCs/>
                <w:color w:val="auto"/>
              </w:rPr>
            </w:pPr>
            <w:r>
              <w:rPr>
                <w:rFonts w:hint="eastAsia"/>
                <w:b/>
                <w:bCs/>
                <w:color w:val="auto"/>
              </w:rPr>
              <w:t>投标人名称</w:t>
            </w:r>
          </w:p>
        </w:tc>
        <w:tc>
          <w:tcPr>
            <w:tcW w:w="6592" w:type="dxa"/>
            <w:gridSpan w:val="7"/>
            <w:vAlign w:val="center"/>
          </w:tcPr>
          <w:p w14:paraId="2079CF25">
            <w:pPr>
              <w:jc w:val="center"/>
              <w:rPr>
                <w:b/>
                <w:bCs/>
                <w:color w:val="auto"/>
              </w:rPr>
            </w:pPr>
            <w:r>
              <w:rPr>
                <w:rFonts w:hint="eastAsia"/>
                <w:b/>
                <w:bCs/>
                <w:color w:val="auto"/>
              </w:rPr>
              <w:t>评审项目</w:t>
            </w:r>
          </w:p>
        </w:tc>
      </w:tr>
      <w:tr w14:paraId="31017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577" w:type="dxa"/>
            <w:vMerge w:val="continue"/>
            <w:vAlign w:val="center"/>
          </w:tcPr>
          <w:p w14:paraId="2B78313F">
            <w:pPr>
              <w:jc w:val="center"/>
              <w:rPr>
                <w:b/>
                <w:bCs/>
                <w:color w:val="auto"/>
              </w:rPr>
            </w:pPr>
          </w:p>
        </w:tc>
        <w:tc>
          <w:tcPr>
            <w:tcW w:w="1331" w:type="dxa"/>
            <w:vMerge w:val="continue"/>
            <w:vAlign w:val="center"/>
          </w:tcPr>
          <w:p w14:paraId="4EFF60F8">
            <w:pPr>
              <w:jc w:val="center"/>
              <w:rPr>
                <w:b/>
                <w:bCs/>
                <w:color w:val="auto"/>
              </w:rPr>
            </w:pPr>
          </w:p>
        </w:tc>
        <w:tc>
          <w:tcPr>
            <w:tcW w:w="701" w:type="dxa"/>
            <w:vAlign w:val="center"/>
          </w:tcPr>
          <w:p w14:paraId="39290260">
            <w:pPr>
              <w:jc w:val="center"/>
              <w:rPr>
                <w:b/>
                <w:bCs/>
                <w:color w:val="auto"/>
              </w:rPr>
            </w:pPr>
            <w:r>
              <w:rPr>
                <w:rFonts w:hint="eastAsia"/>
                <w:b/>
                <w:bCs/>
                <w:color w:val="auto"/>
              </w:rPr>
              <w:t>投标报价</w:t>
            </w:r>
          </w:p>
        </w:tc>
        <w:tc>
          <w:tcPr>
            <w:tcW w:w="997" w:type="dxa"/>
            <w:vAlign w:val="center"/>
          </w:tcPr>
          <w:p w14:paraId="6F9D2C25">
            <w:pPr>
              <w:jc w:val="center"/>
              <w:rPr>
                <w:b/>
                <w:bCs/>
                <w:color w:val="auto"/>
              </w:rPr>
            </w:pPr>
            <w:r>
              <w:rPr>
                <w:rFonts w:hint="eastAsia" w:ascii="宋体" w:hAnsi="宋体" w:cs="Arial"/>
                <w:b/>
                <w:bCs/>
                <w:color w:val="auto"/>
                <w:szCs w:val="21"/>
              </w:rPr>
              <w:t>修正后投标报价（如有）</w:t>
            </w:r>
          </w:p>
        </w:tc>
        <w:tc>
          <w:tcPr>
            <w:tcW w:w="738" w:type="dxa"/>
            <w:vAlign w:val="center"/>
          </w:tcPr>
          <w:p w14:paraId="67C85639">
            <w:pPr>
              <w:jc w:val="center"/>
              <w:rPr>
                <w:b/>
                <w:bCs/>
                <w:color w:val="auto"/>
              </w:rPr>
            </w:pPr>
            <w:r>
              <w:rPr>
                <w:rFonts w:hint="eastAsia" w:ascii="宋体" w:hAnsi="宋体" w:cs="Arial"/>
                <w:b/>
                <w:bCs/>
                <w:color w:val="auto"/>
                <w:szCs w:val="21"/>
              </w:rPr>
              <w:t>评标价</w:t>
            </w:r>
          </w:p>
        </w:tc>
        <w:tc>
          <w:tcPr>
            <w:tcW w:w="946" w:type="dxa"/>
            <w:vAlign w:val="center"/>
          </w:tcPr>
          <w:p w14:paraId="319F604D">
            <w:pPr>
              <w:jc w:val="center"/>
              <w:rPr>
                <w:b/>
                <w:bCs/>
                <w:color w:val="auto"/>
              </w:rPr>
            </w:pPr>
            <w:r>
              <w:rPr>
                <w:rFonts w:hint="eastAsia"/>
                <w:b/>
                <w:bCs/>
                <w:color w:val="auto"/>
              </w:rPr>
              <w:t>评标基准价</w:t>
            </w:r>
          </w:p>
        </w:tc>
        <w:tc>
          <w:tcPr>
            <w:tcW w:w="841" w:type="dxa"/>
            <w:vAlign w:val="center"/>
          </w:tcPr>
          <w:p w14:paraId="2C5558DB">
            <w:pPr>
              <w:jc w:val="center"/>
              <w:rPr>
                <w:b/>
                <w:bCs/>
                <w:color w:val="auto"/>
              </w:rPr>
            </w:pPr>
            <w:r>
              <w:rPr>
                <w:rFonts w:hint="eastAsia"/>
                <w:b/>
                <w:bCs/>
                <w:color w:val="auto"/>
              </w:rPr>
              <w:t>偏差率</w:t>
            </w:r>
          </w:p>
        </w:tc>
        <w:tc>
          <w:tcPr>
            <w:tcW w:w="841" w:type="dxa"/>
            <w:vAlign w:val="center"/>
          </w:tcPr>
          <w:p w14:paraId="4232F707">
            <w:pPr>
              <w:jc w:val="center"/>
              <w:rPr>
                <w:b/>
                <w:bCs/>
                <w:color w:val="auto"/>
              </w:rPr>
            </w:pPr>
            <w:r>
              <w:rPr>
                <w:rFonts w:hint="eastAsia"/>
                <w:b/>
                <w:bCs/>
                <w:color w:val="auto"/>
              </w:rPr>
              <w:t>计算投标报价得分</w:t>
            </w:r>
          </w:p>
        </w:tc>
        <w:tc>
          <w:tcPr>
            <w:tcW w:w="1528" w:type="dxa"/>
            <w:vAlign w:val="center"/>
          </w:tcPr>
          <w:p w14:paraId="73E1C792">
            <w:pPr>
              <w:jc w:val="center"/>
              <w:rPr>
                <w:rFonts w:ascii="宋体" w:hAnsi="宋体"/>
                <w:b/>
                <w:bCs/>
                <w:color w:val="auto"/>
                <w:szCs w:val="44"/>
              </w:rPr>
            </w:pPr>
            <w:r>
              <w:rPr>
                <w:rFonts w:hint="eastAsia"/>
                <w:b/>
                <w:bCs/>
                <w:color w:val="auto"/>
              </w:rPr>
              <w:t>投标报价最终得分</w:t>
            </w:r>
          </w:p>
          <w:p w14:paraId="388FED58">
            <w:pPr>
              <w:jc w:val="center"/>
              <w:rPr>
                <w:b/>
                <w:bCs/>
                <w:color w:val="auto"/>
              </w:rPr>
            </w:pPr>
            <w:r>
              <w:rPr>
                <w:rFonts w:hint="eastAsia" w:ascii="宋体" w:hAnsi="宋体"/>
                <w:b/>
                <w:bCs/>
                <w:color w:val="auto"/>
                <w:szCs w:val="44"/>
              </w:rPr>
              <w:t>（满分  分</w:t>
            </w:r>
            <w:r>
              <w:rPr>
                <w:rFonts w:ascii="宋体" w:hAnsi="宋体"/>
                <w:b/>
                <w:bCs/>
                <w:color w:val="auto"/>
                <w:szCs w:val="44"/>
              </w:rPr>
              <w:t>）</w:t>
            </w:r>
          </w:p>
        </w:tc>
      </w:tr>
      <w:tr w14:paraId="11794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577" w:type="dxa"/>
            <w:vAlign w:val="center"/>
          </w:tcPr>
          <w:p w14:paraId="49968142">
            <w:pPr>
              <w:jc w:val="center"/>
              <w:rPr>
                <w:color w:val="auto"/>
              </w:rPr>
            </w:pPr>
            <w:r>
              <w:rPr>
                <w:rFonts w:hint="eastAsia"/>
                <w:color w:val="auto"/>
              </w:rPr>
              <w:t>1</w:t>
            </w:r>
          </w:p>
        </w:tc>
        <w:tc>
          <w:tcPr>
            <w:tcW w:w="1331" w:type="dxa"/>
            <w:vAlign w:val="center"/>
          </w:tcPr>
          <w:p w14:paraId="1FC3EC57">
            <w:pPr>
              <w:jc w:val="center"/>
              <w:rPr>
                <w:color w:val="auto"/>
              </w:rPr>
            </w:pPr>
          </w:p>
        </w:tc>
        <w:tc>
          <w:tcPr>
            <w:tcW w:w="701" w:type="dxa"/>
            <w:vAlign w:val="center"/>
          </w:tcPr>
          <w:p w14:paraId="49F81D4F">
            <w:pPr>
              <w:jc w:val="center"/>
              <w:rPr>
                <w:color w:val="auto"/>
              </w:rPr>
            </w:pPr>
          </w:p>
        </w:tc>
        <w:tc>
          <w:tcPr>
            <w:tcW w:w="997" w:type="dxa"/>
            <w:vAlign w:val="center"/>
          </w:tcPr>
          <w:p w14:paraId="56865B19">
            <w:pPr>
              <w:jc w:val="center"/>
              <w:rPr>
                <w:color w:val="auto"/>
              </w:rPr>
            </w:pPr>
          </w:p>
        </w:tc>
        <w:tc>
          <w:tcPr>
            <w:tcW w:w="738" w:type="dxa"/>
            <w:vAlign w:val="center"/>
          </w:tcPr>
          <w:p w14:paraId="3C080EBB">
            <w:pPr>
              <w:jc w:val="center"/>
              <w:rPr>
                <w:color w:val="auto"/>
              </w:rPr>
            </w:pPr>
          </w:p>
        </w:tc>
        <w:tc>
          <w:tcPr>
            <w:tcW w:w="946" w:type="dxa"/>
            <w:vMerge w:val="restart"/>
            <w:vAlign w:val="center"/>
          </w:tcPr>
          <w:p w14:paraId="7F870BDA">
            <w:pPr>
              <w:jc w:val="center"/>
              <w:rPr>
                <w:color w:val="auto"/>
              </w:rPr>
            </w:pPr>
          </w:p>
        </w:tc>
        <w:tc>
          <w:tcPr>
            <w:tcW w:w="841" w:type="dxa"/>
            <w:vAlign w:val="center"/>
          </w:tcPr>
          <w:p w14:paraId="371D40C6">
            <w:pPr>
              <w:jc w:val="center"/>
              <w:rPr>
                <w:color w:val="auto"/>
              </w:rPr>
            </w:pPr>
          </w:p>
        </w:tc>
        <w:tc>
          <w:tcPr>
            <w:tcW w:w="841" w:type="dxa"/>
            <w:vAlign w:val="center"/>
          </w:tcPr>
          <w:p w14:paraId="01C0EC2B">
            <w:pPr>
              <w:jc w:val="center"/>
              <w:rPr>
                <w:color w:val="auto"/>
              </w:rPr>
            </w:pPr>
          </w:p>
        </w:tc>
        <w:tc>
          <w:tcPr>
            <w:tcW w:w="1528" w:type="dxa"/>
            <w:vAlign w:val="center"/>
          </w:tcPr>
          <w:p w14:paraId="04D726C6">
            <w:pPr>
              <w:jc w:val="center"/>
              <w:rPr>
                <w:color w:val="auto"/>
              </w:rPr>
            </w:pPr>
          </w:p>
        </w:tc>
      </w:tr>
      <w:tr w14:paraId="241F2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577" w:type="dxa"/>
            <w:vAlign w:val="center"/>
          </w:tcPr>
          <w:p w14:paraId="5653E33E">
            <w:pPr>
              <w:spacing w:after="120" w:afterLines="50"/>
              <w:jc w:val="center"/>
              <w:rPr>
                <w:rFonts w:ascii="宋体" w:hAnsi="宋体" w:cs="Arial"/>
                <w:color w:val="auto"/>
                <w:szCs w:val="21"/>
              </w:rPr>
            </w:pPr>
            <w:r>
              <w:rPr>
                <w:rFonts w:hint="eastAsia" w:ascii="宋体" w:hAnsi="宋体" w:cs="Arial"/>
                <w:color w:val="auto"/>
                <w:szCs w:val="21"/>
              </w:rPr>
              <w:t>2</w:t>
            </w:r>
          </w:p>
        </w:tc>
        <w:tc>
          <w:tcPr>
            <w:tcW w:w="1331" w:type="dxa"/>
            <w:vAlign w:val="center"/>
          </w:tcPr>
          <w:p w14:paraId="0DF04D2C">
            <w:pPr>
              <w:spacing w:after="120" w:afterLines="50"/>
              <w:jc w:val="center"/>
              <w:rPr>
                <w:rFonts w:ascii="宋体" w:hAnsi="宋体" w:cs="Arial"/>
                <w:color w:val="auto"/>
                <w:szCs w:val="21"/>
              </w:rPr>
            </w:pPr>
          </w:p>
        </w:tc>
        <w:tc>
          <w:tcPr>
            <w:tcW w:w="701" w:type="dxa"/>
            <w:vAlign w:val="center"/>
          </w:tcPr>
          <w:p w14:paraId="71EA5AB6">
            <w:pPr>
              <w:jc w:val="center"/>
              <w:rPr>
                <w:color w:val="auto"/>
              </w:rPr>
            </w:pPr>
          </w:p>
        </w:tc>
        <w:tc>
          <w:tcPr>
            <w:tcW w:w="997" w:type="dxa"/>
            <w:vAlign w:val="center"/>
          </w:tcPr>
          <w:p w14:paraId="4934C06C">
            <w:pPr>
              <w:jc w:val="center"/>
              <w:rPr>
                <w:color w:val="auto"/>
              </w:rPr>
            </w:pPr>
          </w:p>
        </w:tc>
        <w:tc>
          <w:tcPr>
            <w:tcW w:w="738" w:type="dxa"/>
            <w:vAlign w:val="center"/>
          </w:tcPr>
          <w:p w14:paraId="71D03332">
            <w:pPr>
              <w:jc w:val="center"/>
              <w:rPr>
                <w:color w:val="auto"/>
              </w:rPr>
            </w:pPr>
          </w:p>
        </w:tc>
        <w:tc>
          <w:tcPr>
            <w:tcW w:w="946" w:type="dxa"/>
            <w:vMerge w:val="continue"/>
            <w:vAlign w:val="center"/>
          </w:tcPr>
          <w:p w14:paraId="1A18E6F3">
            <w:pPr>
              <w:jc w:val="center"/>
              <w:rPr>
                <w:color w:val="auto"/>
              </w:rPr>
            </w:pPr>
          </w:p>
        </w:tc>
        <w:tc>
          <w:tcPr>
            <w:tcW w:w="841" w:type="dxa"/>
            <w:vAlign w:val="center"/>
          </w:tcPr>
          <w:p w14:paraId="6360383D">
            <w:pPr>
              <w:jc w:val="center"/>
              <w:rPr>
                <w:color w:val="auto"/>
              </w:rPr>
            </w:pPr>
          </w:p>
        </w:tc>
        <w:tc>
          <w:tcPr>
            <w:tcW w:w="841" w:type="dxa"/>
            <w:vAlign w:val="center"/>
          </w:tcPr>
          <w:p w14:paraId="74662742">
            <w:pPr>
              <w:jc w:val="center"/>
              <w:rPr>
                <w:color w:val="auto"/>
              </w:rPr>
            </w:pPr>
          </w:p>
        </w:tc>
        <w:tc>
          <w:tcPr>
            <w:tcW w:w="1528" w:type="dxa"/>
            <w:vAlign w:val="center"/>
          </w:tcPr>
          <w:p w14:paraId="01F6612A">
            <w:pPr>
              <w:jc w:val="center"/>
              <w:rPr>
                <w:color w:val="auto"/>
              </w:rPr>
            </w:pPr>
          </w:p>
        </w:tc>
      </w:tr>
      <w:tr w14:paraId="62670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77" w:type="dxa"/>
            <w:vAlign w:val="center"/>
          </w:tcPr>
          <w:p w14:paraId="76C1E675">
            <w:pPr>
              <w:jc w:val="center"/>
              <w:rPr>
                <w:color w:val="auto"/>
              </w:rPr>
            </w:pPr>
            <w:r>
              <w:rPr>
                <w:rFonts w:hint="eastAsia"/>
                <w:color w:val="auto"/>
              </w:rPr>
              <w:t>3</w:t>
            </w:r>
          </w:p>
        </w:tc>
        <w:tc>
          <w:tcPr>
            <w:tcW w:w="1331" w:type="dxa"/>
            <w:vAlign w:val="center"/>
          </w:tcPr>
          <w:p w14:paraId="75670C98">
            <w:pPr>
              <w:jc w:val="center"/>
              <w:rPr>
                <w:color w:val="auto"/>
              </w:rPr>
            </w:pPr>
          </w:p>
        </w:tc>
        <w:tc>
          <w:tcPr>
            <w:tcW w:w="701" w:type="dxa"/>
            <w:vAlign w:val="center"/>
          </w:tcPr>
          <w:p w14:paraId="20EA8132">
            <w:pPr>
              <w:jc w:val="center"/>
              <w:rPr>
                <w:color w:val="auto"/>
              </w:rPr>
            </w:pPr>
          </w:p>
        </w:tc>
        <w:tc>
          <w:tcPr>
            <w:tcW w:w="997" w:type="dxa"/>
            <w:vAlign w:val="center"/>
          </w:tcPr>
          <w:p w14:paraId="3EEA46F6">
            <w:pPr>
              <w:jc w:val="center"/>
              <w:rPr>
                <w:color w:val="auto"/>
              </w:rPr>
            </w:pPr>
          </w:p>
        </w:tc>
        <w:tc>
          <w:tcPr>
            <w:tcW w:w="738" w:type="dxa"/>
            <w:vAlign w:val="center"/>
          </w:tcPr>
          <w:p w14:paraId="7C88DD42">
            <w:pPr>
              <w:jc w:val="center"/>
              <w:rPr>
                <w:color w:val="auto"/>
              </w:rPr>
            </w:pPr>
          </w:p>
        </w:tc>
        <w:tc>
          <w:tcPr>
            <w:tcW w:w="946" w:type="dxa"/>
            <w:vMerge w:val="continue"/>
            <w:vAlign w:val="center"/>
          </w:tcPr>
          <w:p w14:paraId="3DA4828D">
            <w:pPr>
              <w:jc w:val="center"/>
              <w:rPr>
                <w:color w:val="auto"/>
              </w:rPr>
            </w:pPr>
          </w:p>
        </w:tc>
        <w:tc>
          <w:tcPr>
            <w:tcW w:w="841" w:type="dxa"/>
            <w:vAlign w:val="center"/>
          </w:tcPr>
          <w:p w14:paraId="31DB5981">
            <w:pPr>
              <w:jc w:val="center"/>
              <w:rPr>
                <w:color w:val="auto"/>
              </w:rPr>
            </w:pPr>
          </w:p>
        </w:tc>
        <w:tc>
          <w:tcPr>
            <w:tcW w:w="841" w:type="dxa"/>
            <w:vAlign w:val="center"/>
          </w:tcPr>
          <w:p w14:paraId="69DB95D9">
            <w:pPr>
              <w:jc w:val="center"/>
              <w:rPr>
                <w:color w:val="auto"/>
              </w:rPr>
            </w:pPr>
          </w:p>
        </w:tc>
        <w:tc>
          <w:tcPr>
            <w:tcW w:w="1528" w:type="dxa"/>
            <w:vAlign w:val="center"/>
          </w:tcPr>
          <w:p w14:paraId="5BD5F797">
            <w:pPr>
              <w:jc w:val="center"/>
              <w:rPr>
                <w:color w:val="auto"/>
              </w:rPr>
            </w:pPr>
          </w:p>
        </w:tc>
      </w:tr>
      <w:tr w14:paraId="18706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77" w:type="dxa"/>
            <w:vAlign w:val="center"/>
          </w:tcPr>
          <w:p w14:paraId="7C8E2E35">
            <w:pPr>
              <w:jc w:val="center"/>
              <w:rPr>
                <w:rFonts w:ascii="宋体" w:hAnsi="宋体" w:cs="Arial"/>
                <w:color w:val="auto"/>
                <w:szCs w:val="21"/>
              </w:rPr>
            </w:pPr>
            <w:r>
              <w:rPr>
                <w:rFonts w:hint="eastAsia" w:ascii="宋体" w:hAnsi="宋体" w:cs="Arial"/>
                <w:color w:val="auto"/>
                <w:szCs w:val="21"/>
              </w:rPr>
              <w:t>4</w:t>
            </w:r>
          </w:p>
        </w:tc>
        <w:tc>
          <w:tcPr>
            <w:tcW w:w="1331" w:type="dxa"/>
            <w:vAlign w:val="center"/>
          </w:tcPr>
          <w:p w14:paraId="24A94022">
            <w:pPr>
              <w:jc w:val="center"/>
              <w:rPr>
                <w:rFonts w:ascii="宋体" w:hAnsi="宋体" w:cs="Arial"/>
                <w:color w:val="auto"/>
                <w:szCs w:val="21"/>
              </w:rPr>
            </w:pPr>
          </w:p>
        </w:tc>
        <w:tc>
          <w:tcPr>
            <w:tcW w:w="701" w:type="dxa"/>
            <w:vAlign w:val="center"/>
          </w:tcPr>
          <w:p w14:paraId="02C46FAC">
            <w:pPr>
              <w:jc w:val="center"/>
              <w:rPr>
                <w:color w:val="auto"/>
              </w:rPr>
            </w:pPr>
          </w:p>
        </w:tc>
        <w:tc>
          <w:tcPr>
            <w:tcW w:w="997" w:type="dxa"/>
            <w:vAlign w:val="center"/>
          </w:tcPr>
          <w:p w14:paraId="52465298">
            <w:pPr>
              <w:jc w:val="center"/>
              <w:rPr>
                <w:color w:val="auto"/>
              </w:rPr>
            </w:pPr>
          </w:p>
        </w:tc>
        <w:tc>
          <w:tcPr>
            <w:tcW w:w="738" w:type="dxa"/>
            <w:vAlign w:val="center"/>
          </w:tcPr>
          <w:p w14:paraId="4D4D497B">
            <w:pPr>
              <w:jc w:val="center"/>
              <w:rPr>
                <w:color w:val="auto"/>
              </w:rPr>
            </w:pPr>
          </w:p>
        </w:tc>
        <w:tc>
          <w:tcPr>
            <w:tcW w:w="946" w:type="dxa"/>
            <w:vMerge w:val="continue"/>
            <w:vAlign w:val="center"/>
          </w:tcPr>
          <w:p w14:paraId="0218ABCD">
            <w:pPr>
              <w:jc w:val="center"/>
              <w:rPr>
                <w:color w:val="auto"/>
              </w:rPr>
            </w:pPr>
          </w:p>
        </w:tc>
        <w:tc>
          <w:tcPr>
            <w:tcW w:w="841" w:type="dxa"/>
            <w:vAlign w:val="center"/>
          </w:tcPr>
          <w:p w14:paraId="2E17AD43">
            <w:pPr>
              <w:jc w:val="center"/>
              <w:rPr>
                <w:color w:val="auto"/>
              </w:rPr>
            </w:pPr>
          </w:p>
        </w:tc>
        <w:tc>
          <w:tcPr>
            <w:tcW w:w="841" w:type="dxa"/>
            <w:vAlign w:val="center"/>
          </w:tcPr>
          <w:p w14:paraId="72C99BA1">
            <w:pPr>
              <w:jc w:val="center"/>
              <w:rPr>
                <w:color w:val="auto"/>
              </w:rPr>
            </w:pPr>
          </w:p>
        </w:tc>
        <w:tc>
          <w:tcPr>
            <w:tcW w:w="1528" w:type="dxa"/>
            <w:vAlign w:val="center"/>
          </w:tcPr>
          <w:p w14:paraId="35ABAAB6">
            <w:pPr>
              <w:jc w:val="center"/>
              <w:rPr>
                <w:color w:val="auto"/>
              </w:rPr>
            </w:pPr>
          </w:p>
        </w:tc>
      </w:tr>
      <w:tr w14:paraId="513B4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77" w:type="dxa"/>
            <w:vAlign w:val="center"/>
          </w:tcPr>
          <w:p w14:paraId="6A9836DF">
            <w:pPr>
              <w:jc w:val="center"/>
              <w:rPr>
                <w:color w:val="auto"/>
              </w:rPr>
            </w:pPr>
            <w:r>
              <w:rPr>
                <w:rFonts w:hint="eastAsia"/>
                <w:color w:val="auto"/>
              </w:rPr>
              <w:t>5</w:t>
            </w:r>
          </w:p>
        </w:tc>
        <w:tc>
          <w:tcPr>
            <w:tcW w:w="1331" w:type="dxa"/>
            <w:vAlign w:val="center"/>
          </w:tcPr>
          <w:p w14:paraId="78EF2B65">
            <w:pPr>
              <w:jc w:val="center"/>
              <w:rPr>
                <w:color w:val="auto"/>
              </w:rPr>
            </w:pPr>
          </w:p>
        </w:tc>
        <w:tc>
          <w:tcPr>
            <w:tcW w:w="701" w:type="dxa"/>
            <w:vAlign w:val="center"/>
          </w:tcPr>
          <w:p w14:paraId="33509410">
            <w:pPr>
              <w:jc w:val="center"/>
              <w:rPr>
                <w:color w:val="auto"/>
              </w:rPr>
            </w:pPr>
          </w:p>
        </w:tc>
        <w:tc>
          <w:tcPr>
            <w:tcW w:w="997" w:type="dxa"/>
            <w:vAlign w:val="center"/>
          </w:tcPr>
          <w:p w14:paraId="3C6CF82C">
            <w:pPr>
              <w:jc w:val="center"/>
              <w:rPr>
                <w:color w:val="auto"/>
              </w:rPr>
            </w:pPr>
          </w:p>
        </w:tc>
        <w:tc>
          <w:tcPr>
            <w:tcW w:w="738" w:type="dxa"/>
            <w:vAlign w:val="center"/>
          </w:tcPr>
          <w:p w14:paraId="1373DCB1">
            <w:pPr>
              <w:jc w:val="center"/>
              <w:rPr>
                <w:color w:val="auto"/>
              </w:rPr>
            </w:pPr>
          </w:p>
        </w:tc>
        <w:tc>
          <w:tcPr>
            <w:tcW w:w="946" w:type="dxa"/>
            <w:vMerge w:val="continue"/>
            <w:vAlign w:val="center"/>
          </w:tcPr>
          <w:p w14:paraId="0B9AC012">
            <w:pPr>
              <w:jc w:val="center"/>
              <w:rPr>
                <w:color w:val="auto"/>
              </w:rPr>
            </w:pPr>
          </w:p>
        </w:tc>
        <w:tc>
          <w:tcPr>
            <w:tcW w:w="841" w:type="dxa"/>
            <w:vAlign w:val="center"/>
          </w:tcPr>
          <w:p w14:paraId="1FDF98B0">
            <w:pPr>
              <w:jc w:val="center"/>
              <w:rPr>
                <w:color w:val="auto"/>
              </w:rPr>
            </w:pPr>
          </w:p>
        </w:tc>
        <w:tc>
          <w:tcPr>
            <w:tcW w:w="841" w:type="dxa"/>
            <w:vAlign w:val="center"/>
          </w:tcPr>
          <w:p w14:paraId="6B4EBB53">
            <w:pPr>
              <w:jc w:val="center"/>
              <w:rPr>
                <w:color w:val="auto"/>
              </w:rPr>
            </w:pPr>
          </w:p>
        </w:tc>
        <w:tc>
          <w:tcPr>
            <w:tcW w:w="1528" w:type="dxa"/>
            <w:vAlign w:val="center"/>
          </w:tcPr>
          <w:p w14:paraId="63937720">
            <w:pPr>
              <w:jc w:val="center"/>
              <w:rPr>
                <w:color w:val="auto"/>
              </w:rPr>
            </w:pPr>
          </w:p>
        </w:tc>
      </w:tr>
      <w:tr w14:paraId="338B0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77" w:type="dxa"/>
            <w:vAlign w:val="center"/>
          </w:tcPr>
          <w:p w14:paraId="1508C23B">
            <w:pPr>
              <w:jc w:val="center"/>
              <w:rPr>
                <w:color w:val="auto"/>
              </w:rPr>
            </w:pPr>
            <w:r>
              <w:rPr>
                <w:rFonts w:hint="eastAsia"/>
                <w:color w:val="auto"/>
              </w:rPr>
              <w:t>6</w:t>
            </w:r>
          </w:p>
        </w:tc>
        <w:tc>
          <w:tcPr>
            <w:tcW w:w="1331" w:type="dxa"/>
            <w:vAlign w:val="center"/>
          </w:tcPr>
          <w:p w14:paraId="093C315F">
            <w:pPr>
              <w:jc w:val="center"/>
              <w:rPr>
                <w:color w:val="auto"/>
              </w:rPr>
            </w:pPr>
          </w:p>
        </w:tc>
        <w:tc>
          <w:tcPr>
            <w:tcW w:w="701" w:type="dxa"/>
            <w:vAlign w:val="center"/>
          </w:tcPr>
          <w:p w14:paraId="305231FC">
            <w:pPr>
              <w:jc w:val="center"/>
              <w:rPr>
                <w:color w:val="auto"/>
              </w:rPr>
            </w:pPr>
          </w:p>
        </w:tc>
        <w:tc>
          <w:tcPr>
            <w:tcW w:w="997" w:type="dxa"/>
            <w:vAlign w:val="center"/>
          </w:tcPr>
          <w:p w14:paraId="56FEFB4D">
            <w:pPr>
              <w:jc w:val="center"/>
              <w:rPr>
                <w:color w:val="auto"/>
              </w:rPr>
            </w:pPr>
          </w:p>
        </w:tc>
        <w:tc>
          <w:tcPr>
            <w:tcW w:w="738" w:type="dxa"/>
            <w:vAlign w:val="center"/>
          </w:tcPr>
          <w:p w14:paraId="4EBA88EE">
            <w:pPr>
              <w:jc w:val="center"/>
              <w:rPr>
                <w:color w:val="auto"/>
              </w:rPr>
            </w:pPr>
          </w:p>
        </w:tc>
        <w:tc>
          <w:tcPr>
            <w:tcW w:w="946" w:type="dxa"/>
            <w:vMerge w:val="continue"/>
            <w:vAlign w:val="center"/>
          </w:tcPr>
          <w:p w14:paraId="3A32DD68">
            <w:pPr>
              <w:jc w:val="center"/>
              <w:rPr>
                <w:color w:val="auto"/>
              </w:rPr>
            </w:pPr>
          </w:p>
        </w:tc>
        <w:tc>
          <w:tcPr>
            <w:tcW w:w="841" w:type="dxa"/>
            <w:vAlign w:val="center"/>
          </w:tcPr>
          <w:p w14:paraId="15A32498">
            <w:pPr>
              <w:jc w:val="center"/>
              <w:rPr>
                <w:color w:val="auto"/>
              </w:rPr>
            </w:pPr>
          </w:p>
        </w:tc>
        <w:tc>
          <w:tcPr>
            <w:tcW w:w="841" w:type="dxa"/>
            <w:vAlign w:val="center"/>
          </w:tcPr>
          <w:p w14:paraId="0B07FD60">
            <w:pPr>
              <w:jc w:val="center"/>
              <w:rPr>
                <w:color w:val="auto"/>
              </w:rPr>
            </w:pPr>
          </w:p>
        </w:tc>
        <w:tc>
          <w:tcPr>
            <w:tcW w:w="1528" w:type="dxa"/>
            <w:vAlign w:val="center"/>
          </w:tcPr>
          <w:p w14:paraId="1168EF4B">
            <w:pPr>
              <w:jc w:val="center"/>
              <w:rPr>
                <w:color w:val="auto"/>
              </w:rPr>
            </w:pPr>
          </w:p>
        </w:tc>
      </w:tr>
      <w:tr w14:paraId="6208E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77" w:type="dxa"/>
            <w:vAlign w:val="center"/>
          </w:tcPr>
          <w:p w14:paraId="04748996">
            <w:pPr>
              <w:jc w:val="center"/>
              <w:rPr>
                <w:color w:val="auto"/>
              </w:rPr>
            </w:pPr>
            <w:r>
              <w:rPr>
                <w:rFonts w:hint="eastAsia" w:ascii="宋体" w:hAnsi="宋体"/>
                <w:color w:val="auto"/>
                <w:szCs w:val="44"/>
              </w:rPr>
              <w:t>…</w:t>
            </w:r>
          </w:p>
        </w:tc>
        <w:tc>
          <w:tcPr>
            <w:tcW w:w="1331" w:type="dxa"/>
            <w:vAlign w:val="center"/>
          </w:tcPr>
          <w:p w14:paraId="6E53238B">
            <w:pPr>
              <w:jc w:val="center"/>
              <w:rPr>
                <w:color w:val="auto"/>
              </w:rPr>
            </w:pPr>
          </w:p>
        </w:tc>
        <w:tc>
          <w:tcPr>
            <w:tcW w:w="701" w:type="dxa"/>
            <w:vAlign w:val="center"/>
          </w:tcPr>
          <w:p w14:paraId="38953050">
            <w:pPr>
              <w:jc w:val="center"/>
              <w:rPr>
                <w:color w:val="auto"/>
              </w:rPr>
            </w:pPr>
          </w:p>
        </w:tc>
        <w:tc>
          <w:tcPr>
            <w:tcW w:w="997" w:type="dxa"/>
            <w:vAlign w:val="center"/>
          </w:tcPr>
          <w:p w14:paraId="2DAF07C0">
            <w:pPr>
              <w:jc w:val="center"/>
              <w:rPr>
                <w:color w:val="auto"/>
              </w:rPr>
            </w:pPr>
          </w:p>
        </w:tc>
        <w:tc>
          <w:tcPr>
            <w:tcW w:w="738" w:type="dxa"/>
            <w:vAlign w:val="center"/>
          </w:tcPr>
          <w:p w14:paraId="641A79C2">
            <w:pPr>
              <w:jc w:val="center"/>
              <w:rPr>
                <w:color w:val="auto"/>
              </w:rPr>
            </w:pPr>
          </w:p>
        </w:tc>
        <w:tc>
          <w:tcPr>
            <w:tcW w:w="946" w:type="dxa"/>
            <w:vMerge w:val="continue"/>
            <w:vAlign w:val="center"/>
          </w:tcPr>
          <w:p w14:paraId="26D32505">
            <w:pPr>
              <w:jc w:val="center"/>
              <w:rPr>
                <w:color w:val="auto"/>
              </w:rPr>
            </w:pPr>
          </w:p>
        </w:tc>
        <w:tc>
          <w:tcPr>
            <w:tcW w:w="841" w:type="dxa"/>
            <w:vAlign w:val="center"/>
          </w:tcPr>
          <w:p w14:paraId="05D79D87">
            <w:pPr>
              <w:jc w:val="center"/>
              <w:rPr>
                <w:color w:val="auto"/>
              </w:rPr>
            </w:pPr>
          </w:p>
        </w:tc>
        <w:tc>
          <w:tcPr>
            <w:tcW w:w="841" w:type="dxa"/>
            <w:vAlign w:val="center"/>
          </w:tcPr>
          <w:p w14:paraId="33CA0469">
            <w:pPr>
              <w:jc w:val="center"/>
              <w:rPr>
                <w:color w:val="auto"/>
              </w:rPr>
            </w:pPr>
          </w:p>
        </w:tc>
        <w:tc>
          <w:tcPr>
            <w:tcW w:w="1528" w:type="dxa"/>
            <w:vAlign w:val="center"/>
          </w:tcPr>
          <w:p w14:paraId="529BC40A">
            <w:pPr>
              <w:jc w:val="center"/>
              <w:rPr>
                <w:color w:val="auto"/>
              </w:rPr>
            </w:pPr>
          </w:p>
        </w:tc>
      </w:tr>
      <w:tr w14:paraId="4D3D7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jc w:val="center"/>
        </w:trPr>
        <w:tc>
          <w:tcPr>
            <w:tcW w:w="8500" w:type="dxa"/>
            <w:gridSpan w:val="9"/>
            <w:vAlign w:val="center"/>
          </w:tcPr>
          <w:p w14:paraId="48CC538E">
            <w:pPr>
              <w:rPr>
                <w:color w:val="auto"/>
              </w:rPr>
            </w:pPr>
          </w:p>
          <w:p w14:paraId="39D65FA3">
            <w:pPr>
              <w:jc w:val="left"/>
              <w:rPr>
                <w:rFonts w:ascii="宋体" w:hAnsi="宋体"/>
                <w:color w:val="auto"/>
                <w:szCs w:val="44"/>
              </w:rPr>
            </w:pPr>
            <w:r>
              <w:rPr>
                <w:rFonts w:hint="eastAsia" w:ascii="宋体" w:hAnsi="宋体"/>
                <w:color w:val="auto"/>
                <w:szCs w:val="44"/>
              </w:rPr>
              <w:t xml:space="preserve">经济标评委签名： </w:t>
            </w:r>
          </w:p>
          <w:p w14:paraId="795AE16C">
            <w:pPr>
              <w:jc w:val="center"/>
              <w:rPr>
                <w:rFonts w:ascii="宋体" w:hAnsi="宋体"/>
                <w:color w:val="auto"/>
                <w:szCs w:val="44"/>
              </w:rPr>
            </w:pPr>
          </w:p>
          <w:p w14:paraId="32AED259">
            <w:pPr>
              <w:jc w:val="center"/>
              <w:rPr>
                <w:rFonts w:ascii="宋体" w:hAnsi="宋体"/>
                <w:color w:val="auto"/>
                <w:szCs w:val="44"/>
              </w:rPr>
            </w:pPr>
          </w:p>
          <w:p w14:paraId="2A49BAAC">
            <w:pPr>
              <w:jc w:val="center"/>
              <w:rPr>
                <w:rFonts w:ascii="宋体" w:hAnsi="宋体"/>
                <w:color w:val="auto"/>
                <w:szCs w:val="44"/>
              </w:rPr>
            </w:pPr>
          </w:p>
          <w:p w14:paraId="14094B3D">
            <w:pPr>
              <w:jc w:val="center"/>
              <w:rPr>
                <w:rFonts w:ascii="宋体" w:hAnsi="宋体"/>
                <w:color w:val="auto"/>
                <w:szCs w:val="44"/>
              </w:rPr>
            </w:pPr>
          </w:p>
          <w:p w14:paraId="5EE846E5">
            <w:pPr>
              <w:jc w:val="center"/>
              <w:rPr>
                <w:color w:val="auto"/>
              </w:rPr>
            </w:pPr>
          </w:p>
        </w:tc>
      </w:tr>
    </w:tbl>
    <w:p w14:paraId="72109A22">
      <w:pPr>
        <w:rPr>
          <w:rFonts w:ascii="宋体" w:hAnsi="宋体"/>
          <w:color w:val="auto"/>
          <w:szCs w:val="44"/>
        </w:rPr>
        <w:sectPr>
          <w:pgSz w:w="11906" w:h="16838"/>
          <w:pgMar w:top="1440" w:right="1797" w:bottom="1440" w:left="1797" w:header="851" w:footer="851" w:gutter="0"/>
          <w:cols w:space="720" w:num="1"/>
          <w:docGrid w:linePitch="312" w:charSpace="0"/>
        </w:sectPr>
      </w:pPr>
      <w:r>
        <w:rPr>
          <w:rFonts w:hint="eastAsia" w:ascii="宋体" w:hAnsi="宋体"/>
          <w:color w:val="auto"/>
          <w:szCs w:val="44"/>
        </w:rPr>
        <w:t xml:space="preserve">                </w:t>
      </w:r>
      <w:r>
        <w:rPr>
          <w:rFonts w:ascii="宋体" w:hAnsi="宋体"/>
          <w:color w:val="auto"/>
          <w:szCs w:val="44"/>
        </w:rPr>
        <w:t xml:space="preserve">                                 </w:t>
      </w:r>
      <w:r>
        <w:rPr>
          <w:rFonts w:hint="eastAsia" w:ascii="宋体" w:hAnsi="宋体"/>
          <w:color w:val="auto"/>
          <w:szCs w:val="44"/>
        </w:rPr>
        <w:t xml:space="preserve"> 日期：    年    月    日</w:t>
      </w:r>
    </w:p>
    <w:bookmarkEnd w:id="690"/>
    <w:p w14:paraId="21EBF83F">
      <w:pPr>
        <w:pStyle w:val="27"/>
        <w:rPr>
          <w:color w:val="auto"/>
        </w:rPr>
      </w:pPr>
      <w:bookmarkStart w:id="691" w:name="_Toc165804457"/>
      <w:bookmarkStart w:id="692" w:name="_Toc17798"/>
      <w:r>
        <w:rPr>
          <w:rFonts w:hint="eastAsia"/>
          <w:color w:val="auto"/>
        </w:rPr>
        <w:t>附表A-</w:t>
      </w:r>
      <w:r>
        <w:rPr>
          <w:color w:val="auto"/>
        </w:rPr>
        <w:t>11</w:t>
      </w:r>
      <w:r>
        <w:rPr>
          <w:rFonts w:hint="eastAsia"/>
          <w:color w:val="auto"/>
        </w:rPr>
        <w:t>：技术标评审记录表（评分）</w:t>
      </w:r>
      <w:bookmarkEnd w:id="691"/>
      <w:bookmarkEnd w:id="692"/>
    </w:p>
    <w:p w14:paraId="1293A8DB">
      <w:pPr>
        <w:adjustRightInd w:val="0"/>
        <w:snapToGrid w:val="0"/>
        <w:spacing w:before="240" w:beforeLines="100" w:after="240" w:afterLines="100" w:line="440" w:lineRule="exact"/>
        <w:jc w:val="center"/>
        <w:rPr>
          <w:rFonts w:ascii="黑体" w:hAnsi="黑体" w:eastAsia="黑体"/>
          <w:color w:val="auto"/>
          <w:sz w:val="36"/>
          <w:szCs w:val="36"/>
        </w:rPr>
      </w:pPr>
      <w:r>
        <w:rPr>
          <w:rFonts w:hint="eastAsia" w:ascii="黑体" w:hAnsi="黑体" w:eastAsia="黑体"/>
          <w:color w:val="auto"/>
          <w:sz w:val="36"/>
          <w:szCs w:val="36"/>
        </w:rPr>
        <w:t>技术标评审记录表</w:t>
      </w:r>
    </w:p>
    <w:p w14:paraId="2732CEFE">
      <w:pPr>
        <w:rPr>
          <w:rFonts w:ascii="宋体" w:hAnsi="宋体"/>
          <w:color w:val="auto"/>
          <w:szCs w:val="44"/>
        </w:rPr>
      </w:pPr>
      <w:bookmarkStart w:id="693" w:name="_Hlk150332918"/>
      <w:r>
        <w:rPr>
          <w:rFonts w:hint="eastAsia" w:ascii="宋体" w:hAnsi="宋体"/>
          <w:color w:val="auto"/>
          <w:szCs w:val="44"/>
        </w:rPr>
        <w:t>标段名称：</w:t>
      </w:r>
    </w:p>
    <w:p w14:paraId="17D3B96C">
      <w:pPr>
        <w:rPr>
          <w:color w:val="auto"/>
          <w:szCs w:val="44"/>
        </w:rPr>
      </w:pPr>
      <w:r>
        <w:rPr>
          <w:rFonts w:hint="eastAsia"/>
          <w:color w:val="auto"/>
          <w:szCs w:val="44"/>
        </w:rPr>
        <w:t>标段唯一标识码：</w:t>
      </w:r>
    </w:p>
    <w:tbl>
      <w:tblPr>
        <w:tblStyle w:val="18"/>
        <w:tblW w:w="137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5"/>
        <w:gridCol w:w="1790"/>
        <w:gridCol w:w="1341"/>
        <w:gridCol w:w="1342"/>
        <w:gridCol w:w="1342"/>
        <w:gridCol w:w="1341"/>
        <w:gridCol w:w="1342"/>
        <w:gridCol w:w="1342"/>
        <w:gridCol w:w="1351"/>
        <w:gridCol w:w="1774"/>
      </w:tblGrid>
      <w:tr w14:paraId="43979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5" w:type="dxa"/>
            <w:vMerge w:val="restart"/>
            <w:vAlign w:val="center"/>
          </w:tcPr>
          <w:p w14:paraId="6E3F0330">
            <w:pPr>
              <w:jc w:val="center"/>
              <w:rPr>
                <w:rFonts w:ascii="宋体" w:hAnsi="宋体"/>
                <w:b/>
                <w:bCs/>
                <w:color w:val="auto"/>
                <w:szCs w:val="44"/>
              </w:rPr>
            </w:pPr>
            <w:r>
              <w:rPr>
                <w:rFonts w:hint="eastAsia" w:ascii="宋体" w:hAnsi="宋体"/>
                <w:b/>
                <w:bCs/>
                <w:color w:val="auto"/>
                <w:szCs w:val="44"/>
              </w:rPr>
              <w:t>序号</w:t>
            </w:r>
          </w:p>
        </w:tc>
        <w:tc>
          <w:tcPr>
            <w:tcW w:w="1790" w:type="dxa"/>
            <w:vMerge w:val="restart"/>
            <w:vAlign w:val="center"/>
          </w:tcPr>
          <w:p w14:paraId="3F1A5CE4">
            <w:pPr>
              <w:jc w:val="center"/>
              <w:rPr>
                <w:rFonts w:ascii="宋体" w:hAnsi="宋体"/>
                <w:b/>
                <w:bCs/>
                <w:color w:val="auto"/>
                <w:szCs w:val="44"/>
              </w:rPr>
            </w:pPr>
            <w:r>
              <w:rPr>
                <w:rFonts w:hint="eastAsia" w:ascii="宋体" w:hAnsi="宋体"/>
                <w:b/>
                <w:bCs/>
                <w:color w:val="auto"/>
                <w:szCs w:val="44"/>
              </w:rPr>
              <w:t>投标人名称</w:t>
            </w:r>
          </w:p>
        </w:tc>
        <w:tc>
          <w:tcPr>
            <w:tcW w:w="9401" w:type="dxa"/>
            <w:gridSpan w:val="7"/>
            <w:vAlign w:val="center"/>
          </w:tcPr>
          <w:p w14:paraId="0406E8D4">
            <w:pPr>
              <w:jc w:val="center"/>
              <w:rPr>
                <w:rFonts w:ascii="宋体" w:hAnsi="宋体"/>
                <w:b/>
                <w:bCs/>
                <w:color w:val="auto"/>
                <w:szCs w:val="44"/>
              </w:rPr>
            </w:pPr>
            <w:r>
              <w:rPr>
                <w:rFonts w:hint="eastAsia" w:ascii="宋体" w:hAnsi="宋体"/>
                <w:b/>
                <w:bCs/>
                <w:color w:val="auto"/>
                <w:szCs w:val="44"/>
              </w:rPr>
              <w:t>评委姓名及得分</w:t>
            </w:r>
          </w:p>
        </w:tc>
        <w:tc>
          <w:tcPr>
            <w:tcW w:w="1774" w:type="dxa"/>
            <w:vMerge w:val="restart"/>
            <w:vAlign w:val="center"/>
          </w:tcPr>
          <w:p w14:paraId="25B2768F">
            <w:pPr>
              <w:jc w:val="center"/>
              <w:rPr>
                <w:rFonts w:ascii="宋体" w:hAnsi="宋体"/>
                <w:b/>
                <w:bCs/>
                <w:color w:val="auto"/>
                <w:szCs w:val="44"/>
              </w:rPr>
            </w:pPr>
            <w:r>
              <w:rPr>
                <w:rFonts w:hint="eastAsia"/>
                <w:b/>
                <w:bCs/>
                <w:color w:val="auto"/>
              </w:rPr>
              <w:t>技术标</w:t>
            </w:r>
            <w:r>
              <w:rPr>
                <w:rFonts w:hint="eastAsia" w:ascii="宋体" w:hAnsi="宋体"/>
                <w:b/>
                <w:bCs/>
                <w:color w:val="auto"/>
                <w:szCs w:val="44"/>
              </w:rPr>
              <w:t>最终得分</w:t>
            </w:r>
          </w:p>
        </w:tc>
      </w:tr>
      <w:tr w14:paraId="0FE1E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5" w:type="dxa"/>
            <w:vMerge w:val="continue"/>
            <w:vAlign w:val="center"/>
          </w:tcPr>
          <w:p w14:paraId="7EAF70BF">
            <w:pPr>
              <w:jc w:val="center"/>
              <w:rPr>
                <w:rFonts w:ascii="宋体" w:hAnsi="宋体"/>
                <w:b/>
                <w:bCs/>
                <w:color w:val="auto"/>
                <w:szCs w:val="44"/>
              </w:rPr>
            </w:pPr>
          </w:p>
        </w:tc>
        <w:tc>
          <w:tcPr>
            <w:tcW w:w="1790" w:type="dxa"/>
            <w:vMerge w:val="continue"/>
          </w:tcPr>
          <w:p w14:paraId="498CE050">
            <w:pPr>
              <w:jc w:val="center"/>
              <w:rPr>
                <w:rFonts w:ascii="宋体" w:hAnsi="宋体"/>
                <w:b/>
                <w:bCs/>
                <w:color w:val="auto"/>
                <w:szCs w:val="44"/>
              </w:rPr>
            </w:pPr>
          </w:p>
        </w:tc>
        <w:tc>
          <w:tcPr>
            <w:tcW w:w="1341" w:type="dxa"/>
            <w:vAlign w:val="center"/>
          </w:tcPr>
          <w:p w14:paraId="7E9826AA">
            <w:pPr>
              <w:jc w:val="center"/>
              <w:rPr>
                <w:rFonts w:ascii="宋体" w:hAnsi="宋体"/>
                <w:b/>
                <w:bCs/>
                <w:color w:val="auto"/>
                <w:szCs w:val="44"/>
              </w:rPr>
            </w:pPr>
            <w:r>
              <w:rPr>
                <w:rFonts w:hint="eastAsia" w:ascii="宋体" w:hAnsi="宋体"/>
                <w:b/>
                <w:bCs/>
                <w:color w:val="auto"/>
                <w:szCs w:val="44"/>
              </w:rPr>
              <w:t>评委1</w:t>
            </w:r>
          </w:p>
        </w:tc>
        <w:tc>
          <w:tcPr>
            <w:tcW w:w="1342" w:type="dxa"/>
            <w:vAlign w:val="center"/>
          </w:tcPr>
          <w:p w14:paraId="39F1125F">
            <w:pPr>
              <w:jc w:val="center"/>
              <w:rPr>
                <w:rFonts w:ascii="宋体" w:hAnsi="宋体"/>
                <w:b/>
                <w:bCs/>
                <w:color w:val="auto"/>
                <w:szCs w:val="44"/>
              </w:rPr>
            </w:pPr>
            <w:r>
              <w:rPr>
                <w:rFonts w:hint="eastAsia" w:ascii="宋体" w:hAnsi="宋体"/>
                <w:b/>
                <w:bCs/>
                <w:color w:val="auto"/>
                <w:szCs w:val="44"/>
              </w:rPr>
              <w:t>评委</w:t>
            </w:r>
            <w:r>
              <w:rPr>
                <w:rFonts w:ascii="宋体" w:hAnsi="宋体"/>
                <w:b/>
                <w:bCs/>
                <w:color w:val="auto"/>
                <w:szCs w:val="44"/>
              </w:rPr>
              <w:t>2</w:t>
            </w:r>
          </w:p>
        </w:tc>
        <w:tc>
          <w:tcPr>
            <w:tcW w:w="1342" w:type="dxa"/>
            <w:vAlign w:val="center"/>
          </w:tcPr>
          <w:p w14:paraId="28268606">
            <w:pPr>
              <w:jc w:val="center"/>
              <w:rPr>
                <w:rFonts w:ascii="宋体" w:hAnsi="宋体"/>
                <w:b/>
                <w:bCs/>
                <w:color w:val="auto"/>
                <w:szCs w:val="44"/>
              </w:rPr>
            </w:pPr>
            <w:r>
              <w:rPr>
                <w:rFonts w:ascii="宋体" w:hAnsi="宋体"/>
                <w:b/>
                <w:bCs/>
                <w:color w:val="auto"/>
                <w:szCs w:val="44"/>
              </w:rPr>
              <w:t>……</w:t>
            </w:r>
          </w:p>
        </w:tc>
        <w:tc>
          <w:tcPr>
            <w:tcW w:w="1341" w:type="dxa"/>
            <w:vAlign w:val="center"/>
          </w:tcPr>
          <w:p w14:paraId="773FD018">
            <w:pPr>
              <w:jc w:val="center"/>
              <w:rPr>
                <w:rFonts w:ascii="宋体" w:hAnsi="宋体"/>
                <w:b/>
                <w:bCs/>
                <w:color w:val="auto"/>
                <w:szCs w:val="44"/>
              </w:rPr>
            </w:pPr>
          </w:p>
        </w:tc>
        <w:tc>
          <w:tcPr>
            <w:tcW w:w="1342" w:type="dxa"/>
            <w:vAlign w:val="center"/>
          </w:tcPr>
          <w:p w14:paraId="779CBC2D">
            <w:pPr>
              <w:jc w:val="center"/>
              <w:rPr>
                <w:rFonts w:ascii="宋体" w:hAnsi="宋体"/>
                <w:b/>
                <w:bCs/>
                <w:color w:val="auto"/>
                <w:szCs w:val="44"/>
              </w:rPr>
            </w:pPr>
          </w:p>
        </w:tc>
        <w:tc>
          <w:tcPr>
            <w:tcW w:w="1342" w:type="dxa"/>
            <w:vAlign w:val="center"/>
          </w:tcPr>
          <w:p w14:paraId="7753374A">
            <w:pPr>
              <w:jc w:val="center"/>
              <w:rPr>
                <w:rFonts w:ascii="宋体" w:hAnsi="宋体"/>
                <w:b/>
                <w:bCs/>
                <w:color w:val="auto"/>
                <w:szCs w:val="44"/>
              </w:rPr>
            </w:pPr>
          </w:p>
        </w:tc>
        <w:tc>
          <w:tcPr>
            <w:tcW w:w="1351" w:type="dxa"/>
            <w:vAlign w:val="center"/>
          </w:tcPr>
          <w:p w14:paraId="2380BC8A">
            <w:pPr>
              <w:jc w:val="center"/>
              <w:rPr>
                <w:rFonts w:ascii="宋体" w:hAnsi="宋体"/>
                <w:b/>
                <w:bCs/>
                <w:color w:val="auto"/>
                <w:szCs w:val="44"/>
              </w:rPr>
            </w:pPr>
          </w:p>
        </w:tc>
        <w:tc>
          <w:tcPr>
            <w:tcW w:w="1774" w:type="dxa"/>
            <w:vMerge w:val="continue"/>
            <w:vAlign w:val="center"/>
          </w:tcPr>
          <w:p w14:paraId="69BFDB33">
            <w:pPr>
              <w:jc w:val="center"/>
              <w:rPr>
                <w:rFonts w:ascii="宋体" w:hAnsi="宋体"/>
                <w:b/>
                <w:bCs/>
                <w:color w:val="auto"/>
                <w:szCs w:val="44"/>
              </w:rPr>
            </w:pPr>
          </w:p>
        </w:tc>
      </w:tr>
      <w:tr w14:paraId="55F5E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5236683C">
            <w:pPr>
              <w:jc w:val="center"/>
              <w:rPr>
                <w:rFonts w:ascii="宋体" w:hAnsi="宋体"/>
                <w:color w:val="auto"/>
                <w:szCs w:val="44"/>
              </w:rPr>
            </w:pPr>
            <w:r>
              <w:rPr>
                <w:rFonts w:hint="eastAsia" w:ascii="宋体" w:hAnsi="宋体"/>
                <w:color w:val="auto"/>
                <w:szCs w:val="44"/>
              </w:rPr>
              <w:t>1</w:t>
            </w:r>
          </w:p>
        </w:tc>
        <w:tc>
          <w:tcPr>
            <w:tcW w:w="1790" w:type="dxa"/>
            <w:vAlign w:val="center"/>
          </w:tcPr>
          <w:p w14:paraId="5540DF92">
            <w:pPr>
              <w:jc w:val="center"/>
              <w:rPr>
                <w:rFonts w:ascii="宋体" w:hAnsi="宋体"/>
                <w:color w:val="auto"/>
                <w:szCs w:val="21"/>
              </w:rPr>
            </w:pPr>
          </w:p>
        </w:tc>
        <w:tc>
          <w:tcPr>
            <w:tcW w:w="1341" w:type="dxa"/>
            <w:vAlign w:val="center"/>
          </w:tcPr>
          <w:p w14:paraId="45F1B6EF">
            <w:pPr>
              <w:rPr>
                <w:rFonts w:ascii="宋体" w:hAnsi="宋体"/>
                <w:color w:val="auto"/>
                <w:szCs w:val="21"/>
              </w:rPr>
            </w:pPr>
            <w:r>
              <w:rPr>
                <w:rFonts w:hint="eastAsia" w:ascii="宋体" w:hAnsi="宋体"/>
                <w:color w:val="auto"/>
                <w:szCs w:val="21"/>
              </w:rPr>
              <w:t xml:space="preserve"> </w:t>
            </w:r>
            <w:r>
              <w:rPr>
                <w:rFonts w:ascii="宋体" w:hAnsi="宋体"/>
                <w:color w:val="auto"/>
                <w:szCs w:val="21"/>
              </w:rPr>
              <w:t xml:space="preserve">   </w:t>
            </w:r>
          </w:p>
        </w:tc>
        <w:tc>
          <w:tcPr>
            <w:tcW w:w="1342" w:type="dxa"/>
            <w:vAlign w:val="center"/>
          </w:tcPr>
          <w:p w14:paraId="13E550D0">
            <w:pPr>
              <w:jc w:val="center"/>
              <w:rPr>
                <w:rFonts w:ascii="宋体" w:hAnsi="宋体"/>
                <w:color w:val="auto"/>
                <w:szCs w:val="44"/>
              </w:rPr>
            </w:pPr>
          </w:p>
        </w:tc>
        <w:tc>
          <w:tcPr>
            <w:tcW w:w="1342" w:type="dxa"/>
            <w:vAlign w:val="center"/>
          </w:tcPr>
          <w:p w14:paraId="6E7CAE6D">
            <w:pPr>
              <w:jc w:val="center"/>
              <w:rPr>
                <w:rFonts w:ascii="宋体" w:hAnsi="宋体"/>
                <w:color w:val="auto"/>
                <w:szCs w:val="44"/>
              </w:rPr>
            </w:pPr>
          </w:p>
        </w:tc>
        <w:tc>
          <w:tcPr>
            <w:tcW w:w="1341" w:type="dxa"/>
            <w:vAlign w:val="center"/>
          </w:tcPr>
          <w:p w14:paraId="35041ED9">
            <w:pPr>
              <w:jc w:val="center"/>
              <w:rPr>
                <w:rFonts w:ascii="宋体" w:hAnsi="宋体"/>
                <w:color w:val="auto"/>
                <w:szCs w:val="44"/>
              </w:rPr>
            </w:pPr>
          </w:p>
        </w:tc>
        <w:tc>
          <w:tcPr>
            <w:tcW w:w="1342" w:type="dxa"/>
            <w:vAlign w:val="center"/>
          </w:tcPr>
          <w:p w14:paraId="59CB0A74">
            <w:pPr>
              <w:jc w:val="center"/>
              <w:rPr>
                <w:rFonts w:ascii="宋体" w:hAnsi="宋体"/>
                <w:color w:val="auto"/>
                <w:szCs w:val="44"/>
              </w:rPr>
            </w:pPr>
          </w:p>
        </w:tc>
        <w:tc>
          <w:tcPr>
            <w:tcW w:w="1342" w:type="dxa"/>
            <w:vAlign w:val="center"/>
          </w:tcPr>
          <w:p w14:paraId="67E982C9">
            <w:pPr>
              <w:jc w:val="center"/>
              <w:rPr>
                <w:rFonts w:ascii="宋体" w:hAnsi="宋体"/>
                <w:color w:val="auto"/>
                <w:szCs w:val="44"/>
              </w:rPr>
            </w:pPr>
          </w:p>
        </w:tc>
        <w:tc>
          <w:tcPr>
            <w:tcW w:w="1351" w:type="dxa"/>
            <w:vAlign w:val="center"/>
          </w:tcPr>
          <w:p w14:paraId="08F49F38">
            <w:pPr>
              <w:jc w:val="center"/>
              <w:rPr>
                <w:rFonts w:ascii="宋体" w:hAnsi="宋体"/>
                <w:color w:val="auto"/>
                <w:szCs w:val="44"/>
              </w:rPr>
            </w:pPr>
          </w:p>
        </w:tc>
        <w:tc>
          <w:tcPr>
            <w:tcW w:w="1774" w:type="dxa"/>
            <w:vAlign w:val="center"/>
          </w:tcPr>
          <w:p w14:paraId="0FB5DFB6">
            <w:pPr>
              <w:jc w:val="center"/>
              <w:rPr>
                <w:rFonts w:ascii="宋体" w:hAnsi="宋体"/>
                <w:color w:val="auto"/>
                <w:szCs w:val="44"/>
              </w:rPr>
            </w:pPr>
          </w:p>
        </w:tc>
      </w:tr>
      <w:tr w14:paraId="15BA9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623F328E">
            <w:pPr>
              <w:jc w:val="center"/>
              <w:rPr>
                <w:rFonts w:ascii="宋体" w:hAnsi="宋体"/>
                <w:color w:val="auto"/>
                <w:szCs w:val="44"/>
              </w:rPr>
            </w:pPr>
            <w:r>
              <w:rPr>
                <w:rFonts w:hint="eastAsia" w:ascii="宋体" w:hAnsi="宋体"/>
                <w:color w:val="auto"/>
                <w:szCs w:val="44"/>
              </w:rPr>
              <w:t>2</w:t>
            </w:r>
          </w:p>
        </w:tc>
        <w:tc>
          <w:tcPr>
            <w:tcW w:w="1790" w:type="dxa"/>
            <w:vAlign w:val="center"/>
          </w:tcPr>
          <w:p w14:paraId="16290FFD">
            <w:pPr>
              <w:jc w:val="center"/>
              <w:rPr>
                <w:rFonts w:ascii="宋体" w:hAnsi="宋体"/>
                <w:color w:val="auto"/>
                <w:szCs w:val="44"/>
              </w:rPr>
            </w:pPr>
          </w:p>
        </w:tc>
        <w:tc>
          <w:tcPr>
            <w:tcW w:w="1341" w:type="dxa"/>
            <w:vAlign w:val="center"/>
          </w:tcPr>
          <w:p w14:paraId="4FC24AAB">
            <w:pPr>
              <w:jc w:val="center"/>
              <w:rPr>
                <w:color w:val="auto"/>
              </w:rPr>
            </w:pPr>
          </w:p>
        </w:tc>
        <w:tc>
          <w:tcPr>
            <w:tcW w:w="1342" w:type="dxa"/>
            <w:vAlign w:val="center"/>
          </w:tcPr>
          <w:p w14:paraId="24DB03AC">
            <w:pPr>
              <w:jc w:val="center"/>
              <w:rPr>
                <w:rFonts w:ascii="宋体" w:hAnsi="宋体"/>
                <w:color w:val="auto"/>
                <w:szCs w:val="44"/>
              </w:rPr>
            </w:pPr>
          </w:p>
        </w:tc>
        <w:tc>
          <w:tcPr>
            <w:tcW w:w="1342" w:type="dxa"/>
            <w:vAlign w:val="center"/>
          </w:tcPr>
          <w:p w14:paraId="02A11EF3">
            <w:pPr>
              <w:jc w:val="center"/>
              <w:rPr>
                <w:rFonts w:ascii="宋体" w:hAnsi="宋体"/>
                <w:color w:val="auto"/>
                <w:szCs w:val="44"/>
              </w:rPr>
            </w:pPr>
          </w:p>
        </w:tc>
        <w:tc>
          <w:tcPr>
            <w:tcW w:w="1341" w:type="dxa"/>
            <w:vAlign w:val="center"/>
          </w:tcPr>
          <w:p w14:paraId="620542A9">
            <w:pPr>
              <w:jc w:val="center"/>
              <w:rPr>
                <w:rFonts w:ascii="宋体" w:hAnsi="宋体"/>
                <w:color w:val="auto"/>
                <w:szCs w:val="44"/>
              </w:rPr>
            </w:pPr>
          </w:p>
        </w:tc>
        <w:tc>
          <w:tcPr>
            <w:tcW w:w="1342" w:type="dxa"/>
            <w:vAlign w:val="center"/>
          </w:tcPr>
          <w:p w14:paraId="79F2A69B">
            <w:pPr>
              <w:jc w:val="center"/>
              <w:rPr>
                <w:rFonts w:ascii="宋体" w:hAnsi="宋体"/>
                <w:color w:val="auto"/>
                <w:szCs w:val="44"/>
              </w:rPr>
            </w:pPr>
          </w:p>
        </w:tc>
        <w:tc>
          <w:tcPr>
            <w:tcW w:w="1342" w:type="dxa"/>
            <w:vAlign w:val="center"/>
          </w:tcPr>
          <w:p w14:paraId="6D1CD122">
            <w:pPr>
              <w:jc w:val="center"/>
              <w:rPr>
                <w:rFonts w:ascii="宋体" w:hAnsi="宋体"/>
                <w:color w:val="auto"/>
                <w:szCs w:val="44"/>
              </w:rPr>
            </w:pPr>
          </w:p>
        </w:tc>
        <w:tc>
          <w:tcPr>
            <w:tcW w:w="1351" w:type="dxa"/>
            <w:vAlign w:val="center"/>
          </w:tcPr>
          <w:p w14:paraId="055029C8">
            <w:pPr>
              <w:jc w:val="center"/>
              <w:rPr>
                <w:rFonts w:ascii="宋体" w:hAnsi="宋体"/>
                <w:color w:val="auto"/>
                <w:szCs w:val="44"/>
              </w:rPr>
            </w:pPr>
          </w:p>
        </w:tc>
        <w:tc>
          <w:tcPr>
            <w:tcW w:w="1774" w:type="dxa"/>
            <w:vAlign w:val="center"/>
          </w:tcPr>
          <w:p w14:paraId="747D7169">
            <w:pPr>
              <w:jc w:val="center"/>
              <w:rPr>
                <w:rFonts w:ascii="宋体" w:hAnsi="宋体"/>
                <w:color w:val="auto"/>
                <w:szCs w:val="44"/>
              </w:rPr>
            </w:pPr>
          </w:p>
        </w:tc>
      </w:tr>
      <w:tr w14:paraId="3E75B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365C6161">
            <w:pPr>
              <w:jc w:val="center"/>
              <w:rPr>
                <w:rFonts w:ascii="宋体" w:hAnsi="宋体"/>
                <w:color w:val="auto"/>
                <w:szCs w:val="44"/>
              </w:rPr>
            </w:pPr>
            <w:r>
              <w:rPr>
                <w:rFonts w:hint="eastAsia" w:ascii="宋体" w:hAnsi="宋体"/>
                <w:color w:val="auto"/>
                <w:szCs w:val="44"/>
              </w:rPr>
              <w:t>3</w:t>
            </w:r>
          </w:p>
        </w:tc>
        <w:tc>
          <w:tcPr>
            <w:tcW w:w="1790" w:type="dxa"/>
            <w:vAlign w:val="center"/>
          </w:tcPr>
          <w:p w14:paraId="5FFA7BA6">
            <w:pPr>
              <w:jc w:val="center"/>
              <w:rPr>
                <w:rFonts w:ascii="宋体" w:hAnsi="宋体"/>
                <w:color w:val="auto"/>
                <w:szCs w:val="44"/>
              </w:rPr>
            </w:pPr>
          </w:p>
        </w:tc>
        <w:tc>
          <w:tcPr>
            <w:tcW w:w="1341" w:type="dxa"/>
            <w:vAlign w:val="center"/>
          </w:tcPr>
          <w:p w14:paraId="5791F212">
            <w:pPr>
              <w:jc w:val="center"/>
              <w:rPr>
                <w:color w:val="auto"/>
              </w:rPr>
            </w:pPr>
          </w:p>
        </w:tc>
        <w:tc>
          <w:tcPr>
            <w:tcW w:w="1342" w:type="dxa"/>
            <w:vAlign w:val="center"/>
          </w:tcPr>
          <w:p w14:paraId="082EDB3B">
            <w:pPr>
              <w:jc w:val="center"/>
              <w:rPr>
                <w:rFonts w:ascii="宋体" w:hAnsi="宋体"/>
                <w:color w:val="auto"/>
                <w:szCs w:val="44"/>
              </w:rPr>
            </w:pPr>
          </w:p>
        </w:tc>
        <w:tc>
          <w:tcPr>
            <w:tcW w:w="1342" w:type="dxa"/>
            <w:vAlign w:val="center"/>
          </w:tcPr>
          <w:p w14:paraId="45410892">
            <w:pPr>
              <w:jc w:val="center"/>
              <w:rPr>
                <w:rFonts w:ascii="宋体" w:hAnsi="宋体"/>
                <w:color w:val="auto"/>
                <w:szCs w:val="44"/>
              </w:rPr>
            </w:pPr>
          </w:p>
        </w:tc>
        <w:tc>
          <w:tcPr>
            <w:tcW w:w="1341" w:type="dxa"/>
            <w:vAlign w:val="center"/>
          </w:tcPr>
          <w:p w14:paraId="520BB8C4">
            <w:pPr>
              <w:jc w:val="center"/>
              <w:rPr>
                <w:rFonts w:ascii="宋体" w:hAnsi="宋体"/>
                <w:color w:val="auto"/>
                <w:szCs w:val="44"/>
              </w:rPr>
            </w:pPr>
          </w:p>
        </w:tc>
        <w:tc>
          <w:tcPr>
            <w:tcW w:w="1342" w:type="dxa"/>
            <w:vAlign w:val="center"/>
          </w:tcPr>
          <w:p w14:paraId="20A8A351">
            <w:pPr>
              <w:jc w:val="center"/>
              <w:rPr>
                <w:rFonts w:ascii="宋体" w:hAnsi="宋体"/>
                <w:color w:val="auto"/>
                <w:szCs w:val="44"/>
              </w:rPr>
            </w:pPr>
          </w:p>
        </w:tc>
        <w:tc>
          <w:tcPr>
            <w:tcW w:w="1342" w:type="dxa"/>
            <w:vAlign w:val="center"/>
          </w:tcPr>
          <w:p w14:paraId="51FD51CC">
            <w:pPr>
              <w:jc w:val="center"/>
              <w:rPr>
                <w:rFonts w:ascii="宋体" w:hAnsi="宋体"/>
                <w:color w:val="auto"/>
                <w:szCs w:val="44"/>
              </w:rPr>
            </w:pPr>
          </w:p>
        </w:tc>
        <w:tc>
          <w:tcPr>
            <w:tcW w:w="1351" w:type="dxa"/>
            <w:vAlign w:val="center"/>
          </w:tcPr>
          <w:p w14:paraId="5BB766E6">
            <w:pPr>
              <w:jc w:val="center"/>
              <w:rPr>
                <w:rFonts w:ascii="宋体" w:hAnsi="宋体"/>
                <w:color w:val="auto"/>
                <w:szCs w:val="44"/>
              </w:rPr>
            </w:pPr>
          </w:p>
        </w:tc>
        <w:tc>
          <w:tcPr>
            <w:tcW w:w="1774" w:type="dxa"/>
            <w:vAlign w:val="center"/>
          </w:tcPr>
          <w:p w14:paraId="35D67D2A">
            <w:pPr>
              <w:jc w:val="center"/>
              <w:rPr>
                <w:rFonts w:ascii="宋体" w:hAnsi="宋体"/>
                <w:color w:val="auto"/>
                <w:szCs w:val="44"/>
              </w:rPr>
            </w:pPr>
          </w:p>
        </w:tc>
      </w:tr>
      <w:tr w14:paraId="3984C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5C918640">
            <w:pPr>
              <w:jc w:val="center"/>
              <w:rPr>
                <w:rFonts w:ascii="宋体" w:hAnsi="宋体"/>
                <w:color w:val="auto"/>
                <w:szCs w:val="44"/>
              </w:rPr>
            </w:pPr>
            <w:r>
              <w:rPr>
                <w:rFonts w:hint="eastAsia" w:ascii="宋体" w:hAnsi="宋体"/>
                <w:color w:val="auto"/>
                <w:szCs w:val="44"/>
              </w:rPr>
              <w:t>4</w:t>
            </w:r>
          </w:p>
        </w:tc>
        <w:tc>
          <w:tcPr>
            <w:tcW w:w="1790" w:type="dxa"/>
            <w:vAlign w:val="center"/>
          </w:tcPr>
          <w:p w14:paraId="072A24CA">
            <w:pPr>
              <w:jc w:val="center"/>
              <w:rPr>
                <w:rFonts w:ascii="宋体" w:hAnsi="宋体"/>
                <w:color w:val="auto"/>
                <w:szCs w:val="44"/>
              </w:rPr>
            </w:pPr>
          </w:p>
        </w:tc>
        <w:tc>
          <w:tcPr>
            <w:tcW w:w="1341" w:type="dxa"/>
            <w:vAlign w:val="center"/>
          </w:tcPr>
          <w:p w14:paraId="65CBBC15">
            <w:pPr>
              <w:jc w:val="center"/>
              <w:rPr>
                <w:color w:val="auto"/>
              </w:rPr>
            </w:pPr>
          </w:p>
        </w:tc>
        <w:tc>
          <w:tcPr>
            <w:tcW w:w="1342" w:type="dxa"/>
            <w:vAlign w:val="center"/>
          </w:tcPr>
          <w:p w14:paraId="7B689D67">
            <w:pPr>
              <w:jc w:val="center"/>
              <w:rPr>
                <w:rFonts w:ascii="宋体" w:hAnsi="宋体"/>
                <w:color w:val="auto"/>
                <w:szCs w:val="44"/>
              </w:rPr>
            </w:pPr>
          </w:p>
        </w:tc>
        <w:tc>
          <w:tcPr>
            <w:tcW w:w="1342" w:type="dxa"/>
            <w:vAlign w:val="center"/>
          </w:tcPr>
          <w:p w14:paraId="08694267">
            <w:pPr>
              <w:jc w:val="center"/>
              <w:rPr>
                <w:rFonts w:ascii="宋体" w:hAnsi="宋体"/>
                <w:color w:val="auto"/>
                <w:szCs w:val="44"/>
              </w:rPr>
            </w:pPr>
          </w:p>
        </w:tc>
        <w:tc>
          <w:tcPr>
            <w:tcW w:w="1341" w:type="dxa"/>
            <w:vAlign w:val="center"/>
          </w:tcPr>
          <w:p w14:paraId="42B41E9F">
            <w:pPr>
              <w:jc w:val="center"/>
              <w:rPr>
                <w:rFonts w:ascii="宋体" w:hAnsi="宋体"/>
                <w:color w:val="auto"/>
                <w:szCs w:val="44"/>
              </w:rPr>
            </w:pPr>
          </w:p>
        </w:tc>
        <w:tc>
          <w:tcPr>
            <w:tcW w:w="1342" w:type="dxa"/>
            <w:vAlign w:val="center"/>
          </w:tcPr>
          <w:p w14:paraId="349535DD">
            <w:pPr>
              <w:jc w:val="center"/>
              <w:rPr>
                <w:rFonts w:ascii="宋体" w:hAnsi="宋体"/>
                <w:color w:val="auto"/>
                <w:szCs w:val="44"/>
              </w:rPr>
            </w:pPr>
          </w:p>
        </w:tc>
        <w:tc>
          <w:tcPr>
            <w:tcW w:w="1342" w:type="dxa"/>
            <w:vAlign w:val="center"/>
          </w:tcPr>
          <w:p w14:paraId="406ECF98">
            <w:pPr>
              <w:jc w:val="center"/>
              <w:rPr>
                <w:rFonts w:ascii="宋体" w:hAnsi="宋体"/>
                <w:color w:val="auto"/>
                <w:szCs w:val="44"/>
              </w:rPr>
            </w:pPr>
          </w:p>
        </w:tc>
        <w:tc>
          <w:tcPr>
            <w:tcW w:w="1351" w:type="dxa"/>
            <w:vAlign w:val="center"/>
          </w:tcPr>
          <w:p w14:paraId="2768C662">
            <w:pPr>
              <w:jc w:val="center"/>
              <w:rPr>
                <w:rFonts w:ascii="宋体" w:hAnsi="宋体"/>
                <w:color w:val="auto"/>
                <w:szCs w:val="44"/>
              </w:rPr>
            </w:pPr>
          </w:p>
        </w:tc>
        <w:tc>
          <w:tcPr>
            <w:tcW w:w="1774" w:type="dxa"/>
            <w:vAlign w:val="center"/>
          </w:tcPr>
          <w:p w14:paraId="11B206CA">
            <w:pPr>
              <w:jc w:val="center"/>
              <w:rPr>
                <w:rFonts w:ascii="宋体" w:hAnsi="宋体"/>
                <w:color w:val="auto"/>
                <w:szCs w:val="44"/>
              </w:rPr>
            </w:pPr>
          </w:p>
        </w:tc>
      </w:tr>
      <w:tr w14:paraId="59230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46D28C58">
            <w:pPr>
              <w:jc w:val="center"/>
              <w:rPr>
                <w:rFonts w:ascii="宋体" w:hAnsi="宋体"/>
                <w:color w:val="auto"/>
                <w:szCs w:val="44"/>
              </w:rPr>
            </w:pPr>
            <w:r>
              <w:rPr>
                <w:rFonts w:hint="eastAsia" w:ascii="宋体" w:hAnsi="宋体"/>
                <w:color w:val="auto"/>
                <w:szCs w:val="44"/>
              </w:rPr>
              <w:t>5</w:t>
            </w:r>
          </w:p>
        </w:tc>
        <w:tc>
          <w:tcPr>
            <w:tcW w:w="1790" w:type="dxa"/>
            <w:vAlign w:val="center"/>
          </w:tcPr>
          <w:p w14:paraId="54546EA7">
            <w:pPr>
              <w:jc w:val="center"/>
              <w:rPr>
                <w:rFonts w:ascii="宋体" w:hAnsi="宋体"/>
                <w:color w:val="auto"/>
                <w:szCs w:val="44"/>
              </w:rPr>
            </w:pPr>
          </w:p>
        </w:tc>
        <w:tc>
          <w:tcPr>
            <w:tcW w:w="1341" w:type="dxa"/>
            <w:vAlign w:val="center"/>
          </w:tcPr>
          <w:p w14:paraId="1B4FC6A9">
            <w:pPr>
              <w:jc w:val="center"/>
              <w:rPr>
                <w:color w:val="auto"/>
              </w:rPr>
            </w:pPr>
          </w:p>
        </w:tc>
        <w:tc>
          <w:tcPr>
            <w:tcW w:w="1342" w:type="dxa"/>
            <w:vAlign w:val="center"/>
          </w:tcPr>
          <w:p w14:paraId="2800597E">
            <w:pPr>
              <w:jc w:val="center"/>
              <w:rPr>
                <w:rFonts w:ascii="宋体" w:hAnsi="宋体"/>
                <w:color w:val="auto"/>
                <w:szCs w:val="44"/>
              </w:rPr>
            </w:pPr>
          </w:p>
        </w:tc>
        <w:tc>
          <w:tcPr>
            <w:tcW w:w="1342" w:type="dxa"/>
            <w:vAlign w:val="center"/>
          </w:tcPr>
          <w:p w14:paraId="7D74840A">
            <w:pPr>
              <w:jc w:val="center"/>
              <w:rPr>
                <w:rFonts w:ascii="宋体" w:hAnsi="宋体"/>
                <w:color w:val="auto"/>
                <w:szCs w:val="44"/>
              </w:rPr>
            </w:pPr>
          </w:p>
        </w:tc>
        <w:tc>
          <w:tcPr>
            <w:tcW w:w="1341" w:type="dxa"/>
            <w:vAlign w:val="center"/>
          </w:tcPr>
          <w:p w14:paraId="3E66E7C2">
            <w:pPr>
              <w:jc w:val="center"/>
              <w:rPr>
                <w:rFonts w:ascii="宋体" w:hAnsi="宋体"/>
                <w:color w:val="auto"/>
                <w:szCs w:val="44"/>
              </w:rPr>
            </w:pPr>
          </w:p>
        </w:tc>
        <w:tc>
          <w:tcPr>
            <w:tcW w:w="1342" w:type="dxa"/>
            <w:vAlign w:val="center"/>
          </w:tcPr>
          <w:p w14:paraId="47277715">
            <w:pPr>
              <w:jc w:val="center"/>
              <w:rPr>
                <w:rFonts w:ascii="宋体" w:hAnsi="宋体"/>
                <w:color w:val="auto"/>
                <w:szCs w:val="44"/>
              </w:rPr>
            </w:pPr>
          </w:p>
        </w:tc>
        <w:tc>
          <w:tcPr>
            <w:tcW w:w="1342" w:type="dxa"/>
            <w:vAlign w:val="center"/>
          </w:tcPr>
          <w:p w14:paraId="6312C4BF">
            <w:pPr>
              <w:jc w:val="center"/>
              <w:rPr>
                <w:rFonts w:ascii="宋体" w:hAnsi="宋体"/>
                <w:color w:val="auto"/>
                <w:szCs w:val="44"/>
              </w:rPr>
            </w:pPr>
          </w:p>
        </w:tc>
        <w:tc>
          <w:tcPr>
            <w:tcW w:w="1351" w:type="dxa"/>
            <w:vAlign w:val="center"/>
          </w:tcPr>
          <w:p w14:paraId="2388DFB5">
            <w:pPr>
              <w:jc w:val="center"/>
              <w:rPr>
                <w:rFonts w:ascii="宋体" w:hAnsi="宋体"/>
                <w:color w:val="auto"/>
                <w:szCs w:val="44"/>
              </w:rPr>
            </w:pPr>
          </w:p>
        </w:tc>
        <w:tc>
          <w:tcPr>
            <w:tcW w:w="1774" w:type="dxa"/>
            <w:vAlign w:val="center"/>
          </w:tcPr>
          <w:p w14:paraId="2DD917BE">
            <w:pPr>
              <w:jc w:val="center"/>
              <w:rPr>
                <w:rFonts w:ascii="宋体" w:hAnsi="宋体"/>
                <w:color w:val="auto"/>
                <w:szCs w:val="44"/>
              </w:rPr>
            </w:pPr>
          </w:p>
        </w:tc>
      </w:tr>
      <w:tr w14:paraId="7E52D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04BC984A">
            <w:pPr>
              <w:jc w:val="center"/>
              <w:rPr>
                <w:rFonts w:ascii="宋体" w:hAnsi="宋体"/>
                <w:color w:val="auto"/>
                <w:szCs w:val="44"/>
              </w:rPr>
            </w:pPr>
            <w:r>
              <w:rPr>
                <w:rFonts w:hint="eastAsia" w:ascii="宋体" w:hAnsi="宋体"/>
                <w:color w:val="auto"/>
                <w:szCs w:val="44"/>
              </w:rPr>
              <w:t>6</w:t>
            </w:r>
          </w:p>
        </w:tc>
        <w:tc>
          <w:tcPr>
            <w:tcW w:w="1790" w:type="dxa"/>
            <w:vAlign w:val="center"/>
          </w:tcPr>
          <w:p w14:paraId="54F100DA">
            <w:pPr>
              <w:jc w:val="center"/>
              <w:rPr>
                <w:rFonts w:ascii="宋体" w:hAnsi="宋体"/>
                <w:color w:val="auto"/>
                <w:szCs w:val="44"/>
              </w:rPr>
            </w:pPr>
          </w:p>
        </w:tc>
        <w:tc>
          <w:tcPr>
            <w:tcW w:w="1341" w:type="dxa"/>
            <w:vAlign w:val="center"/>
          </w:tcPr>
          <w:p w14:paraId="66BEA41C">
            <w:pPr>
              <w:jc w:val="center"/>
              <w:rPr>
                <w:color w:val="auto"/>
              </w:rPr>
            </w:pPr>
          </w:p>
        </w:tc>
        <w:tc>
          <w:tcPr>
            <w:tcW w:w="1342" w:type="dxa"/>
            <w:vAlign w:val="center"/>
          </w:tcPr>
          <w:p w14:paraId="352F66CB">
            <w:pPr>
              <w:jc w:val="center"/>
              <w:rPr>
                <w:rFonts w:ascii="宋体" w:hAnsi="宋体"/>
                <w:color w:val="auto"/>
                <w:szCs w:val="44"/>
              </w:rPr>
            </w:pPr>
          </w:p>
        </w:tc>
        <w:tc>
          <w:tcPr>
            <w:tcW w:w="1342" w:type="dxa"/>
            <w:vAlign w:val="center"/>
          </w:tcPr>
          <w:p w14:paraId="5EB5E42F">
            <w:pPr>
              <w:jc w:val="center"/>
              <w:rPr>
                <w:rFonts w:ascii="宋体" w:hAnsi="宋体"/>
                <w:color w:val="auto"/>
                <w:szCs w:val="44"/>
              </w:rPr>
            </w:pPr>
          </w:p>
        </w:tc>
        <w:tc>
          <w:tcPr>
            <w:tcW w:w="1341" w:type="dxa"/>
            <w:vAlign w:val="center"/>
          </w:tcPr>
          <w:p w14:paraId="0AC1F372">
            <w:pPr>
              <w:jc w:val="center"/>
              <w:rPr>
                <w:rFonts w:ascii="宋体" w:hAnsi="宋体"/>
                <w:color w:val="auto"/>
                <w:szCs w:val="44"/>
              </w:rPr>
            </w:pPr>
          </w:p>
        </w:tc>
        <w:tc>
          <w:tcPr>
            <w:tcW w:w="1342" w:type="dxa"/>
            <w:vAlign w:val="center"/>
          </w:tcPr>
          <w:p w14:paraId="5A04F11D">
            <w:pPr>
              <w:jc w:val="center"/>
              <w:rPr>
                <w:rFonts w:ascii="宋体" w:hAnsi="宋体"/>
                <w:color w:val="auto"/>
                <w:szCs w:val="44"/>
              </w:rPr>
            </w:pPr>
          </w:p>
        </w:tc>
        <w:tc>
          <w:tcPr>
            <w:tcW w:w="1342" w:type="dxa"/>
            <w:vAlign w:val="center"/>
          </w:tcPr>
          <w:p w14:paraId="402FC118">
            <w:pPr>
              <w:jc w:val="center"/>
              <w:rPr>
                <w:rFonts w:ascii="宋体" w:hAnsi="宋体"/>
                <w:color w:val="auto"/>
                <w:szCs w:val="44"/>
              </w:rPr>
            </w:pPr>
          </w:p>
        </w:tc>
        <w:tc>
          <w:tcPr>
            <w:tcW w:w="1351" w:type="dxa"/>
            <w:vAlign w:val="center"/>
          </w:tcPr>
          <w:p w14:paraId="38FA6355">
            <w:pPr>
              <w:jc w:val="center"/>
              <w:rPr>
                <w:rFonts w:ascii="宋体" w:hAnsi="宋体"/>
                <w:color w:val="auto"/>
                <w:szCs w:val="44"/>
              </w:rPr>
            </w:pPr>
          </w:p>
        </w:tc>
        <w:tc>
          <w:tcPr>
            <w:tcW w:w="1774" w:type="dxa"/>
            <w:vAlign w:val="center"/>
          </w:tcPr>
          <w:p w14:paraId="1E808D1C">
            <w:pPr>
              <w:jc w:val="center"/>
              <w:rPr>
                <w:rFonts w:ascii="宋体" w:hAnsi="宋体"/>
                <w:color w:val="auto"/>
                <w:szCs w:val="44"/>
              </w:rPr>
            </w:pPr>
          </w:p>
        </w:tc>
      </w:tr>
      <w:tr w14:paraId="57AA7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36F3E723">
            <w:pPr>
              <w:jc w:val="center"/>
              <w:rPr>
                <w:rFonts w:ascii="宋体" w:hAnsi="宋体"/>
                <w:color w:val="auto"/>
                <w:szCs w:val="44"/>
              </w:rPr>
            </w:pPr>
            <w:r>
              <w:rPr>
                <w:rFonts w:hint="eastAsia" w:ascii="宋体" w:hAnsi="宋体"/>
                <w:color w:val="auto"/>
                <w:szCs w:val="44"/>
              </w:rPr>
              <w:t>…</w:t>
            </w:r>
            <w:r>
              <w:rPr>
                <w:rFonts w:ascii="宋体" w:hAnsi="宋体"/>
                <w:color w:val="auto"/>
                <w:szCs w:val="44"/>
              </w:rPr>
              <w:t>…</w:t>
            </w:r>
          </w:p>
        </w:tc>
        <w:tc>
          <w:tcPr>
            <w:tcW w:w="1790" w:type="dxa"/>
            <w:vAlign w:val="center"/>
          </w:tcPr>
          <w:p w14:paraId="1C7B7701">
            <w:pPr>
              <w:rPr>
                <w:rFonts w:ascii="宋体" w:hAnsi="宋体"/>
                <w:color w:val="auto"/>
                <w:szCs w:val="21"/>
              </w:rPr>
            </w:pPr>
          </w:p>
        </w:tc>
        <w:tc>
          <w:tcPr>
            <w:tcW w:w="1341" w:type="dxa"/>
            <w:vAlign w:val="center"/>
          </w:tcPr>
          <w:p w14:paraId="31DEBEFE">
            <w:pPr>
              <w:jc w:val="center"/>
              <w:rPr>
                <w:color w:val="auto"/>
              </w:rPr>
            </w:pPr>
          </w:p>
        </w:tc>
        <w:tc>
          <w:tcPr>
            <w:tcW w:w="1342" w:type="dxa"/>
            <w:vAlign w:val="center"/>
          </w:tcPr>
          <w:p w14:paraId="7FFE388F">
            <w:pPr>
              <w:jc w:val="center"/>
              <w:rPr>
                <w:rFonts w:ascii="宋体" w:hAnsi="宋体"/>
                <w:color w:val="auto"/>
                <w:szCs w:val="44"/>
              </w:rPr>
            </w:pPr>
          </w:p>
        </w:tc>
        <w:tc>
          <w:tcPr>
            <w:tcW w:w="1342" w:type="dxa"/>
            <w:vAlign w:val="center"/>
          </w:tcPr>
          <w:p w14:paraId="57323DDD">
            <w:pPr>
              <w:jc w:val="center"/>
              <w:rPr>
                <w:rFonts w:ascii="宋体" w:hAnsi="宋体"/>
                <w:color w:val="auto"/>
                <w:szCs w:val="44"/>
              </w:rPr>
            </w:pPr>
          </w:p>
        </w:tc>
        <w:tc>
          <w:tcPr>
            <w:tcW w:w="1341" w:type="dxa"/>
            <w:vAlign w:val="center"/>
          </w:tcPr>
          <w:p w14:paraId="4C863F7E">
            <w:pPr>
              <w:jc w:val="center"/>
              <w:rPr>
                <w:rFonts w:ascii="宋体" w:hAnsi="宋体"/>
                <w:color w:val="auto"/>
                <w:szCs w:val="44"/>
              </w:rPr>
            </w:pPr>
          </w:p>
        </w:tc>
        <w:tc>
          <w:tcPr>
            <w:tcW w:w="1342" w:type="dxa"/>
            <w:vAlign w:val="center"/>
          </w:tcPr>
          <w:p w14:paraId="39B9572B">
            <w:pPr>
              <w:jc w:val="center"/>
              <w:rPr>
                <w:rFonts w:ascii="宋体" w:hAnsi="宋体"/>
                <w:color w:val="auto"/>
                <w:szCs w:val="44"/>
              </w:rPr>
            </w:pPr>
          </w:p>
        </w:tc>
        <w:tc>
          <w:tcPr>
            <w:tcW w:w="1342" w:type="dxa"/>
            <w:vAlign w:val="center"/>
          </w:tcPr>
          <w:p w14:paraId="2CAA2F00">
            <w:pPr>
              <w:jc w:val="center"/>
              <w:rPr>
                <w:rFonts w:ascii="宋体" w:hAnsi="宋体"/>
                <w:color w:val="auto"/>
                <w:szCs w:val="44"/>
              </w:rPr>
            </w:pPr>
          </w:p>
        </w:tc>
        <w:tc>
          <w:tcPr>
            <w:tcW w:w="1351" w:type="dxa"/>
            <w:vAlign w:val="center"/>
          </w:tcPr>
          <w:p w14:paraId="6618C638">
            <w:pPr>
              <w:jc w:val="center"/>
              <w:rPr>
                <w:rFonts w:ascii="宋体" w:hAnsi="宋体"/>
                <w:color w:val="auto"/>
                <w:szCs w:val="44"/>
              </w:rPr>
            </w:pPr>
          </w:p>
        </w:tc>
        <w:tc>
          <w:tcPr>
            <w:tcW w:w="1774" w:type="dxa"/>
            <w:vAlign w:val="center"/>
          </w:tcPr>
          <w:p w14:paraId="4B4D90E9">
            <w:pPr>
              <w:jc w:val="center"/>
              <w:rPr>
                <w:rFonts w:ascii="宋体" w:hAnsi="宋体"/>
                <w:color w:val="auto"/>
                <w:szCs w:val="44"/>
              </w:rPr>
            </w:pPr>
          </w:p>
        </w:tc>
      </w:tr>
      <w:tr w14:paraId="735D8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3750" w:type="dxa"/>
            <w:gridSpan w:val="10"/>
            <w:vAlign w:val="center"/>
          </w:tcPr>
          <w:p w14:paraId="0FCF03FB">
            <w:pPr>
              <w:jc w:val="left"/>
              <w:rPr>
                <w:rFonts w:ascii="宋体" w:hAnsi="宋体"/>
                <w:color w:val="auto"/>
                <w:szCs w:val="44"/>
              </w:rPr>
            </w:pPr>
            <w:r>
              <w:rPr>
                <w:rFonts w:hint="eastAsia" w:ascii="宋体" w:hAnsi="宋体"/>
                <w:color w:val="auto"/>
                <w:szCs w:val="44"/>
              </w:rPr>
              <w:t>技术标评委签名：</w:t>
            </w:r>
          </w:p>
          <w:p w14:paraId="69AC4348">
            <w:pPr>
              <w:jc w:val="center"/>
              <w:rPr>
                <w:rFonts w:ascii="宋体" w:hAnsi="宋体"/>
                <w:color w:val="auto"/>
                <w:szCs w:val="44"/>
              </w:rPr>
            </w:pPr>
          </w:p>
          <w:p w14:paraId="422623E5">
            <w:pPr>
              <w:jc w:val="center"/>
              <w:rPr>
                <w:rFonts w:ascii="宋体" w:hAnsi="宋体"/>
                <w:color w:val="auto"/>
                <w:szCs w:val="44"/>
              </w:rPr>
            </w:pPr>
          </w:p>
          <w:p w14:paraId="17A85239">
            <w:pPr>
              <w:jc w:val="center"/>
              <w:rPr>
                <w:rFonts w:ascii="宋体" w:hAnsi="宋体"/>
                <w:color w:val="auto"/>
                <w:szCs w:val="44"/>
              </w:rPr>
            </w:pPr>
          </w:p>
        </w:tc>
      </w:tr>
    </w:tbl>
    <w:p w14:paraId="52437509">
      <w:pPr>
        <w:ind w:right="420"/>
        <w:jc w:val="right"/>
        <w:rPr>
          <w:color w:val="auto"/>
        </w:rPr>
      </w:pPr>
      <w:r>
        <w:rPr>
          <w:rFonts w:hint="eastAsia"/>
          <w:color w:val="auto"/>
        </w:rPr>
        <w:t xml:space="preserve">日期：    年   </w:t>
      </w:r>
      <w:r>
        <w:rPr>
          <w:color w:val="auto"/>
        </w:rPr>
        <w:t xml:space="preserve"> </w:t>
      </w:r>
      <w:r>
        <w:rPr>
          <w:rFonts w:hint="eastAsia"/>
          <w:color w:val="auto"/>
        </w:rPr>
        <w:t xml:space="preserve"> 月 </w:t>
      </w:r>
      <w:r>
        <w:rPr>
          <w:color w:val="auto"/>
        </w:rPr>
        <w:t xml:space="preserve">  </w:t>
      </w:r>
      <w:r>
        <w:rPr>
          <w:rFonts w:hint="eastAsia"/>
          <w:color w:val="auto"/>
        </w:rPr>
        <w:t xml:space="preserve"> 日</w:t>
      </w:r>
    </w:p>
    <w:bookmarkEnd w:id="693"/>
    <w:p w14:paraId="209C8825">
      <w:pPr>
        <w:rPr>
          <w:color w:val="auto"/>
        </w:rPr>
      </w:pPr>
      <w:r>
        <w:rPr>
          <w:color w:val="auto"/>
        </w:rPr>
        <w:br w:type="page"/>
      </w:r>
    </w:p>
    <w:p w14:paraId="5D1582B9">
      <w:pPr>
        <w:pStyle w:val="27"/>
        <w:rPr>
          <w:color w:val="auto"/>
        </w:rPr>
      </w:pPr>
      <w:bookmarkStart w:id="694" w:name="_Toc8923"/>
      <w:bookmarkStart w:id="695" w:name="_Toc165804458"/>
      <w:r>
        <w:rPr>
          <w:rFonts w:hint="eastAsia"/>
          <w:color w:val="auto"/>
        </w:rPr>
        <w:t>附表A-</w:t>
      </w:r>
      <w:r>
        <w:rPr>
          <w:color w:val="auto"/>
        </w:rPr>
        <w:t>12</w:t>
      </w:r>
      <w:r>
        <w:rPr>
          <w:rFonts w:hint="eastAsia"/>
          <w:color w:val="auto"/>
        </w:rPr>
        <w:t>：技术标评审记录表（个人）</w:t>
      </w:r>
      <w:bookmarkEnd w:id="694"/>
      <w:bookmarkEnd w:id="695"/>
    </w:p>
    <w:p w14:paraId="268734D4">
      <w:pPr>
        <w:adjustRightInd w:val="0"/>
        <w:snapToGrid w:val="0"/>
        <w:spacing w:before="240" w:beforeLines="100" w:after="240" w:afterLines="100" w:line="440" w:lineRule="exact"/>
        <w:jc w:val="center"/>
        <w:rPr>
          <w:rFonts w:ascii="黑体" w:hAnsi="黑体" w:eastAsia="黑体"/>
          <w:color w:val="auto"/>
          <w:sz w:val="36"/>
          <w:szCs w:val="36"/>
        </w:rPr>
      </w:pPr>
      <w:r>
        <w:rPr>
          <w:rFonts w:hint="eastAsia" w:ascii="黑体" w:hAnsi="黑体" w:eastAsia="黑体"/>
          <w:color w:val="auto"/>
          <w:sz w:val="36"/>
          <w:szCs w:val="36"/>
        </w:rPr>
        <w:t>技术标评审记录表（个人）</w:t>
      </w:r>
    </w:p>
    <w:p w14:paraId="667FD0E7">
      <w:pPr>
        <w:rPr>
          <w:rFonts w:ascii="宋体" w:hAnsi="宋体"/>
          <w:color w:val="auto"/>
          <w:szCs w:val="44"/>
        </w:rPr>
      </w:pPr>
      <w:bookmarkStart w:id="696" w:name="_Hlk150332959"/>
      <w:r>
        <w:rPr>
          <w:rFonts w:hint="eastAsia" w:ascii="宋体" w:hAnsi="宋体"/>
          <w:color w:val="auto"/>
          <w:szCs w:val="44"/>
        </w:rPr>
        <w:t>标段名称：</w:t>
      </w:r>
    </w:p>
    <w:p w14:paraId="4D11E2DC">
      <w:pPr>
        <w:rPr>
          <w:color w:val="auto"/>
          <w:szCs w:val="44"/>
        </w:rPr>
      </w:pPr>
      <w:r>
        <w:rPr>
          <w:rFonts w:hint="eastAsia"/>
          <w:color w:val="auto"/>
          <w:szCs w:val="44"/>
        </w:rPr>
        <w:t>标段唯一标识码：</w:t>
      </w:r>
    </w:p>
    <w:tbl>
      <w:tblPr>
        <w:tblStyle w:val="18"/>
        <w:tblW w:w="139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3"/>
        <w:gridCol w:w="2204"/>
        <w:gridCol w:w="555"/>
        <w:gridCol w:w="556"/>
        <w:gridCol w:w="556"/>
        <w:gridCol w:w="556"/>
        <w:gridCol w:w="556"/>
        <w:gridCol w:w="556"/>
        <w:gridCol w:w="556"/>
        <w:gridCol w:w="556"/>
        <w:gridCol w:w="556"/>
        <w:gridCol w:w="556"/>
        <w:gridCol w:w="555"/>
        <w:gridCol w:w="556"/>
        <w:gridCol w:w="556"/>
        <w:gridCol w:w="556"/>
        <w:gridCol w:w="556"/>
        <w:gridCol w:w="556"/>
        <w:gridCol w:w="556"/>
        <w:gridCol w:w="470"/>
        <w:gridCol w:w="1198"/>
      </w:tblGrid>
      <w:tr w14:paraId="6C865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33" w:type="dxa"/>
            <w:vMerge w:val="restart"/>
            <w:vAlign w:val="center"/>
          </w:tcPr>
          <w:p w14:paraId="42A7EC45">
            <w:pPr>
              <w:jc w:val="center"/>
              <w:rPr>
                <w:rFonts w:ascii="宋体" w:hAnsi="宋体"/>
                <w:b/>
                <w:bCs/>
                <w:color w:val="auto"/>
                <w:szCs w:val="21"/>
              </w:rPr>
            </w:pPr>
            <w:r>
              <w:rPr>
                <w:rFonts w:hint="eastAsia" w:ascii="宋体" w:hAnsi="宋体"/>
                <w:b/>
                <w:bCs/>
                <w:color w:val="auto"/>
                <w:szCs w:val="21"/>
              </w:rPr>
              <w:t>序号</w:t>
            </w:r>
          </w:p>
        </w:tc>
        <w:tc>
          <w:tcPr>
            <w:tcW w:w="2204" w:type="dxa"/>
            <w:vMerge w:val="restart"/>
            <w:vAlign w:val="center"/>
          </w:tcPr>
          <w:p w14:paraId="54514E59">
            <w:pPr>
              <w:jc w:val="center"/>
              <w:rPr>
                <w:rFonts w:ascii="宋体" w:hAnsi="宋体"/>
                <w:b/>
                <w:bCs/>
                <w:color w:val="auto"/>
                <w:szCs w:val="21"/>
              </w:rPr>
            </w:pPr>
            <w:r>
              <w:rPr>
                <w:rFonts w:hint="eastAsia" w:ascii="宋体" w:hAnsi="宋体"/>
                <w:b/>
                <w:bCs/>
                <w:color w:val="auto"/>
                <w:szCs w:val="21"/>
              </w:rPr>
              <w:t>投标人名称</w:t>
            </w:r>
          </w:p>
        </w:tc>
        <w:tc>
          <w:tcPr>
            <w:tcW w:w="9920" w:type="dxa"/>
            <w:gridSpan w:val="18"/>
          </w:tcPr>
          <w:p w14:paraId="1170B07A">
            <w:pPr>
              <w:jc w:val="center"/>
              <w:rPr>
                <w:rFonts w:ascii="宋体" w:hAnsi="宋体"/>
                <w:b/>
                <w:bCs/>
                <w:color w:val="auto"/>
                <w:szCs w:val="21"/>
              </w:rPr>
            </w:pPr>
            <w:r>
              <w:rPr>
                <w:rFonts w:hint="eastAsia" w:ascii="宋体" w:hAnsi="宋体"/>
                <w:b/>
                <w:bCs/>
                <w:color w:val="auto"/>
                <w:szCs w:val="21"/>
              </w:rPr>
              <w:t>评审因素及评审得分</w:t>
            </w:r>
          </w:p>
        </w:tc>
        <w:tc>
          <w:tcPr>
            <w:tcW w:w="1198" w:type="dxa"/>
            <w:vMerge w:val="restart"/>
            <w:vAlign w:val="center"/>
          </w:tcPr>
          <w:p w14:paraId="375FAF9E">
            <w:pPr>
              <w:jc w:val="center"/>
              <w:rPr>
                <w:rFonts w:ascii="宋体" w:hAnsi="宋体"/>
                <w:b/>
                <w:bCs/>
                <w:color w:val="auto"/>
                <w:szCs w:val="21"/>
              </w:rPr>
            </w:pPr>
            <w:r>
              <w:rPr>
                <w:rFonts w:hint="eastAsia" w:ascii="宋体" w:hAnsi="宋体"/>
                <w:b/>
                <w:bCs/>
                <w:color w:val="auto"/>
                <w:szCs w:val="44"/>
              </w:rPr>
              <w:t>得分</w:t>
            </w:r>
          </w:p>
        </w:tc>
      </w:tr>
      <w:tr w14:paraId="2BEA3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633" w:type="dxa"/>
            <w:vMerge w:val="continue"/>
            <w:vAlign w:val="center"/>
          </w:tcPr>
          <w:p w14:paraId="02B9ED72">
            <w:pPr>
              <w:jc w:val="center"/>
              <w:rPr>
                <w:rFonts w:ascii="宋体" w:hAnsi="宋体"/>
                <w:b/>
                <w:bCs/>
                <w:color w:val="auto"/>
                <w:szCs w:val="21"/>
              </w:rPr>
            </w:pPr>
          </w:p>
        </w:tc>
        <w:tc>
          <w:tcPr>
            <w:tcW w:w="2204" w:type="dxa"/>
            <w:vMerge w:val="continue"/>
          </w:tcPr>
          <w:p w14:paraId="2F09A532">
            <w:pPr>
              <w:jc w:val="center"/>
              <w:rPr>
                <w:rFonts w:ascii="宋体" w:hAnsi="宋体"/>
                <w:b/>
                <w:bCs/>
                <w:color w:val="auto"/>
                <w:szCs w:val="21"/>
              </w:rPr>
            </w:pPr>
          </w:p>
        </w:tc>
        <w:tc>
          <w:tcPr>
            <w:tcW w:w="1111" w:type="dxa"/>
            <w:gridSpan w:val="2"/>
            <w:vAlign w:val="center"/>
          </w:tcPr>
          <w:p w14:paraId="595EBB8D">
            <w:pPr>
              <w:jc w:val="center"/>
              <w:rPr>
                <w:rFonts w:ascii="宋体" w:hAnsi="宋体"/>
                <w:b/>
                <w:bCs/>
                <w:color w:val="auto"/>
                <w:szCs w:val="21"/>
              </w:rPr>
            </w:pPr>
          </w:p>
        </w:tc>
        <w:tc>
          <w:tcPr>
            <w:tcW w:w="1112" w:type="dxa"/>
            <w:gridSpan w:val="2"/>
            <w:vAlign w:val="center"/>
          </w:tcPr>
          <w:p w14:paraId="6443ED46">
            <w:pPr>
              <w:jc w:val="center"/>
              <w:rPr>
                <w:rFonts w:ascii="宋体" w:hAnsi="宋体"/>
                <w:b/>
                <w:bCs/>
                <w:color w:val="auto"/>
                <w:szCs w:val="21"/>
              </w:rPr>
            </w:pPr>
          </w:p>
        </w:tc>
        <w:tc>
          <w:tcPr>
            <w:tcW w:w="1112" w:type="dxa"/>
            <w:gridSpan w:val="2"/>
            <w:vAlign w:val="center"/>
          </w:tcPr>
          <w:p w14:paraId="2E7EFE52">
            <w:pPr>
              <w:jc w:val="center"/>
              <w:rPr>
                <w:rFonts w:ascii="宋体" w:hAnsi="宋体"/>
                <w:b/>
                <w:bCs/>
                <w:color w:val="auto"/>
                <w:szCs w:val="21"/>
              </w:rPr>
            </w:pPr>
          </w:p>
        </w:tc>
        <w:tc>
          <w:tcPr>
            <w:tcW w:w="1112" w:type="dxa"/>
            <w:gridSpan w:val="2"/>
            <w:vAlign w:val="center"/>
          </w:tcPr>
          <w:p w14:paraId="724AD4E7">
            <w:pPr>
              <w:jc w:val="center"/>
              <w:rPr>
                <w:rFonts w:ascii="宋体" w:hAnsi="宋体"/>
                <w:b/>
                <w:bCs/>
                <w:color w:val="auto"/>
                <w:szCs w:val="21"/>
              </w:rPr>
            </w:pPr>
          </w:p>
        </w:tc>
        <w:tc>
          <w:tcPr>
            <w:tcW w:w="1112" w:type="dxa"/>
            <w:gridSpan w:val="2"/>
            <w:vAlign w:val="center"/>
          </w:tcPr>
          <w:p w14:paraId="24696D36">
            <w:pPr>
              <w:jc w:val="center"/>
              <w:rPr>
                <w:rFonts w:ascii="宋体" w:hAnsi="宋体"/>
                <w:b/>
                <w:bCs/>
                <w:color w:val="auto"/>
                <w:szCs w:val="21"/>
              </w:rPr>
            </w:pPr>
          </w:p>
        </w:tc>
        <w:tc>
          <w:tcPr>
            <w:tcW w:w="1111" w:type="dxa"/>
            <w:gridSpan w:val="2"/>
            <w:vAlign w:val="center"/>
          </w:tcPr>
          <w:p w14:paraId="7AD11947">
            <w:pPr>
              <w:jc w:val="center"/>
              <w:rPr>
                <w:rFonts w:ascii="宋体" w:hAnsi="宋体"/>
                <w:b/>
                <w:bCs/>
                <w:color w:val="auto"/>
                <w:szCs w:val="21"/>
              </w:rPr>
            </w:pPr>
          </w:p>
        </w:tc>
        <w:tc>
          <w:tcPr>
            <w:tcW w:w="1112" w:type="dxa"/>
            <w:gridSpan w:val="2"/>
            <w:vAlign w:val="center"/>
          </w:tcPr>
          <w:p w14:paraId="05DB142A">
            <w:pPr>
              <w:jc w:val="center"/>
              <w:rPr>
                <w:rFonts w:ascii="宋体" w:hAnsi="宋体"/>
                <w:b/>
                <w:bCs/>
                <w:color w:val="auto"/>
                <w:szCs w:val="21"/>
              </w:rPr>
            </w:pPr>
          </w:p>
        </w:tc>
        <w:tc>
          <w:tcPr>
            <w:tcW w:w="1112" w:type="dxa"/>
            <w:gridSpan w:val="2"/>
            <w:vAlign w:val="center"/>
          </w:tcPr>
          <w:p w14:paraId="625FE28F">
            <w:pPr>
              <w:jc w:val="center"/>
              <w:rPr>
                <w:rFonts w:ascii="宋体" w:hAnsi="宋体"/>
                <w:b/>
                <w:bCs/>
                <w:color w:val="auto"/>
                <w:szCs w:val="21"/>
              </w:rPr>
            </w:pPr>
          </w:p>
        </w:tc>
        <w:tc>
          <w:tcPr>
            <w:tcW w:w="1026" w:type="dxa"/>
            <w:gridSpan w:val="2"/>
            <w:vAlign w:val="center"/>
          </w:tcPr>
          <w:p w14:paraId="5AC90367">
            <w:pPr>
              <w:jc w:val="center"/>
              <w:rPr>
                <w:rFonts w:ascii="宋体" w:hAnsi="宋体"/>
                <w:b/>
                <w:bCs/>
                <w:color w:val="auto"/>
                <w:szCs w:val="21"/>
              </w:rPr>
            </w:pPr>
          </w:p>
        </w:tc>
        <w:tc>
          <w:tcPr>
            <w:tcW w:w="1198" w:type="dxa"/>
            <w:vMerge w:val="continue"/>
            <w:vAlign w:val="center"/>
          </w:tcPr>
          <w:p w14:paraId="149844F4">
            <w:pPr>
              <w:jc w:val="center"/>
              <w:rPr>
                <w:rFonts w:ascii="宋体" w:hAnsi="宋体"/>
                <w:b/>
                <w:bCs/>
                <w:color w:val="auto"/>
                <w:szCs w:val="21"/>
              </w:rPr>
            </w:pPr>
          </w:p>
        </w:tc>
      </w:tr>
      <w:tr w14:paraId="73E16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633" w:type="dxa"/>
            <w:vMerge w:val="continue"/>
            <w:vAlign w:val="center"/>
          </w:tcPr>
          <w:p w14:paraId="169F7246">
            <w:pPr>
              <w:jc w:val="center"/>
              <w:rPr>
                <w:rFonts w:ascii="宋体" w:hAnsi="宋体"/>
                <w:b/>
                <w:bCs/>
                <w:color w:val="auto"/>
                <w:szCs w:val="21"/>
              </w:rPr>
            </w:pPr>
          </w:p>
        </w:tc>
        <w:tc>
          <w:tcPr>
            <w:tcW w:w="2204" w:type="dxa"/>
            <w:vMerge w:val="continue"/>
          </w:tcPr>
          <w:p w14:paraId="12A7F994">
            <w:pPr>
              <w:jc w:val="center"/>
              <w:rPr>
                <w:rFonts w:ascii="宋体" w:hAnsi="宋体"/>
                <w:b/>
                <w:bCs/>
                <w:color w:val="auto"/>
                <w:szCs w:val="21"/>
              </w:rPr>
            </w:pPr>
          </w:p>
        </w:tc>
        <w:tc>
          <w:tcPr>
            <w:tcW w:w="555" w:type="dxa"/>
            <w:vAlign w:val="center"/>
          </w:tcPr>
          <w:p w14:paraId="272F74E5">
            <w:pPr>
              <w:jc w:val="center"/>
              <w:rPr>
                <w:rFonts w:ascii="宋体" w:hAnsi="宋体"/>
                <w:b/>
                <w:bCs/>
                <w:color w:val="auto"/>
                <w:szCs w:val="21"/>
              </w:rPr>
            </w:pPr>
            <w:r>
              <w:rPr>
                <w:rFonts w:hint="eastAsia" w:ascii="宋体" w:hAnsi="宋体"/>
                <w:b/>
                <w:bCs/>
                <w:color w:val="auto"/>
                <w:szCs w:val="21"/>
              </w:rPr>
              <w:t>暗标编号</w:t>
            </w:r>
          </w:p>
        </w:tc>
        <w:tc>
          <w:tcPr>
            <w:tcW w:w="556" w:type="dxa"/>
            <w:vAlign w:val="center"/>
          </w:tcPr>
          <w:p w14:paraId="3F51FDDC">
            <w:pPr>
              <w:jc w:val="center"/>
              <w:rPr>
                <w:rFonts w:ascii="宋体" w:hAnsi="宋体"/>
                <w:b/>
                <w:bCs/>
                <w:color w:val="auto"/>
                <w:szCs w:val="21"/>
              </w:rPr>
            </w:pPr>
            <w:r>
              <w:rPr>
                <w:rFonts w:hint="eastAsia" w:ascii="宋体" w:hAnsi="宋体"/>
                <w:b/>
                <w:bCs/>
                <w:color w:val="auto"/>
                <w:szCs w:val="21"/>
              </w:rPr>
              <w:t>得分</w:t>
            </w:r>
          </w:p>
        </w:tc>
        <w:tc>
          <w:tcPr>
            <w:tcW w:w="556" w:type="dxa"/>
            <w:vAlign w:val="center"/>
          </w:tcPr>
          <w:p w14:paraId="5E320188">
            <w:pPr>
              <w:jc w:val="center"/>
              <w:rPr>
                <w:rFonts w:ascii="宋体" w:hAnsi="宋体"/>
                <w:b/>
                <w:bCs/>
                <w:color w:val="auto"/>
                <w:szCs w:val="21"/>
              </w:rPr>
            </w:pPr>
            <w:r>
              <w:rPr>
                <w:rFonts w:hint="eastAsia" w:ascii="宋体" w:hAnsi="宋体"/>
                <w:b/>
                <w:bCs/>
                <w:color w:val="auto"/>
                <w:szCs w:val="21"/>
              </w:rPr>
              <w:t>暗标编号</w:t>
            </w:r>
          </w:p>
        </w:tc>
        <w:tc>
          <w:tcPr>
            <w:tcW w:w="556" w:type="dxa"/>
            <w:vAlign w:val="center"/>
          </w:tcPr>
          <w:p w14:paraId="06700B2E">
            <w:pPr>
              <w:jc w:val="center"/>
              <w:rPr>
                <w:rFonts w:ascii="宋体" w:hAnsi="宋体"/>
                <w:b/>
                <w:bCs/>
                <w:color w:val="auto"/>
                <w:szCs w:val="21"/>
              </w:rPr>
            </w:pPr>
            <w:r>
              <w:rPr>
                <w:rFonts w:hint="eastAsia" w:ascii="宋体" w:hAnsi="宋体"/>
                <w:b/>
                <w:bCs/>
                <w:color w:val="auto"/>
                <w:szCs w:val="21"/>
              </w:rPr>
              <w:t>得分</w:t>
            </w:r>
          </w:p>
        </w:tc>
        <w:tc>
          <w:tcPr>
            <w:tcW w:w="556" w:type="dxa"/>
            <w:vAlign w:val="center"/>
          </w:tcPr>
          <w:p w14:paraId="3675F16B">
            <w:pPr>
              <w:jc w:val="center"/>
              <w:rPr>
                <w:rFonts w:ascii="宋体" w:hAnsi="宋体"/>
                <w:b/>
                <w:bCs/>
                <w:color w:val="auto"/>
                <w:szCs w:val="21"/>
              </w:rPr>
            </w:pPr>
            <w:r>
              <w:rPr>
                <w:rFonts w:hint="eastAsia" w:ascii="宋体" w:hAnsi="宋体"/>
                <w:b/>
                <w:bCs/>
                <w:color w:val="auto"/>
                <w:szCs w:val="21"/>
              </w:rPr>
              <w:t>暗标编号</w:t>
            </w:r>
          </w:p>
        </w:tc>
        <w:tc>
          <w:tcPr>
            <w:tcW w:w="556" w:type="dxa"/>
            <w:vAlign w:val="center"/>
          </w:tcPr>
          <w:p w14:paraId="753496D1">
            <w:pPr>
              <w:jc w:val="center"/>
              <w:rPr>
                <w:rFonts w:ascii="宋体" w:hAnsi="宋体"/>
                <w:b/>
                <w:bCs/>
                <w:color w:val="auto"/>
                <w:szCs w:val="21"/>
              </w:rPr>
            </w:pPr>
            <w:r>
              <w:rPr>
                <w:rFonts w:hint="eastAsia" w:ascii="宋体" w:hAnsi="宋体"/>
                <w:b/>
                <w:bCs/>
                <w:color w:val="auto"/>
                <w:szCs w:val="21"/>
              </w:rPr>
              <w:t>得分</w:t>
            </w:r>
          </w:p>
        </w:tc>
        <w:tc>
          <w:tcPr>
            <w:tcW w:w="556" w:type="dxa"/>
            <w:vAlign w:val="center"/>
          </w:tcPr>
          <w:p w14:paraId="52A7D84D">
            <w:pPr>
              <w:jc w:val="center"/>
              <w:rPr>
                <w:rFonts w:ascii="宋体" w:hAnsi="宋体"/>
                <w:b/>
                <w:bCs/>
                <w:color w:val="auto"/>
                <w:szCs w:val="21"/>
              </w:rPr>
            </w:pPr>
            <w:r>
              <w:rPr>
                <w:rFonts w:hint="eastAsia" w:ascii="宋体" w:hAnsi="宋体"/>
                <w:b/>
                <w:bCs/>
                <w:color w:val="auto"/>
                <w:szCs w:val="21"/>
              </w:rPr>
              <w:t>暗标编号</w:t>
            </w:r>
          </w:p>
        </w:tc>
        <w:tc>
          <w:tcPr>
            <w:tcW w:w="556" w:type="dxa"/>
            <w:vAlign w:val="center"/>
          </w:tcPr>
          <w:p w14:paraId="777D06E9">
            <w:pPr>
              <w:jc w:val="center"/>
              <w:rPr>
                <w:rFonts w:ascii="宋体" w:hAnsi="宋体"/>
                <w:b/>
                <w:bCs/>
                <w:color w:val="auto"/>
                <w:szCs w:val="21"/>
              </w:rPr>
            </w:pPr>
            <w:r>
              <w:rPr>
                <w:rFonts w:hint="eastAsia" w:ascii="宋体" w:hAnsi="宋体"/>
                <w:b/>
                <w:bCs/>
                <w:color w:val="auto"/>
                <w:szCs w:val="21"/>
              </w:rPr>
              <w:t>得分</w:t>
            </w:r>
          </w:p>
        </w:tc>
        <w:tc>
          <w:tcPr>
            <w:tcW w:w="556" w:type="dxa"/>
            <w:vAlign w:val="center"/>
          </w:tcPr>
          <w:p w14:paraId="76A216A5">
            <w:pPr>
              <w:jc w:val="center"/>
              <w:rPr>
                <w:rFonts w:ascii="宋体" w:hAnsi="宋体"/>
                <w:b/>
                <w:bCs/>
                <w:color w:val="auto"/>
                <w:szCs w:val="21"/>
              </w:rPr>
            </w:pPr>
            <w:r>
              <w:rPr>
                <w:rFonts w:hint="eastAsia" w:ascii="宋体" w:hAnsi="宋体"/>
                <w:b/>
                <w:bCs/>
                <w:color w:val="auto"/>
                <w:szCs w:val="21"/>
              </w:rPr>
              <w:t>暗标编号</w:t>
            </w:r>
          </w:p>
        </w:tc>
        <w:tc>
          <w:tcPr>
            <w:tcW w:w="556" w:type="dxa"/>
            <w:vAlign w:val="center"/>
          </w:tcPr>
          <w:p w14:paraId="761C1A64">
            <w:pPr>
              <w:jc w:val="center"/>
              <w:rPr>
                <w:rFonts w:ascii="宋体" w:hAnsi="宋体"/>
                <w:b/>
                <w:bCs/>
                <w:color w:val="auto"/>
                <w:szCs w:val="21"/>
              </w:rPr>
            </w:pPr>
            <w:r>
              <w:rPr>
                <w:rFonts w:hint="eastAsia" w:ascii="宋体" w:hAnsi="宋体"/>
                <w:b/>
                <w:bCs/>
                <w:color w:val="auto"/>
                <w:szCs w:val="21"/>
              </w:rPr>
              <w:t>得分</w:t>
            </w:r>
          </w:p>
        </w:tc>
        <w:tc>
          <w:tcPr>
            <w:tcW w:w="555" w:type="dxa"/>
            <w:vAlign w:val="center"/>
          </w:tcPr>
          <w:p w14:paraId="7F4A3B32">
            <w:pPr>
              <w:jc w:val="center"/>
              <w:rPr>
                <w:rFonts w:ascii="宋体" w:hAnsi="宋体"/>
                <w:b/>
                <w:bCs/>
                <w:color w:val="auto"/>
                <w:szCs w:val="21"/>
              </w:rPr>
            </w:pPr>
            <w:r>
              <w:rPr>
                <w:rFonts w:hint="eastAsia" w:ascii="宋体" w:hAnsi="宋体"/>
                <w:b/>
                <w:bCs/>
                <w:color w:val="auto"/>
                <w:szCs w:val="21"/>
              </w:rPr>
              <w:t>暗标编号</w:t>
            </w:r>
          </w:p>
        </w:tc>
        <w:tc>
          <w:tcPr>
            <w:tcW w:w="556" w:type="dxa"/>
            <w:vAlign w:val="center"/>
          </w:tcPr>
          <w:p w14:paraId="68DEA2CB">
            <w:pPr>
              <w:jc w:val="center"/>
              <w:rPr>
                <w:rFonts w:ascii="宋体" w:hAnsi="宋体"/>
                <w:b/>
                <w:bCs/>
                <w:color w:val="auto"/>
                <w:szCs w:val="21"/>
              </w:rPr>
            </w:pPr>
            <w:r>
              <w:rPr>
                <w:rFonts w:hint="eastAsia" w:ascii="宋体" w:hAnsi="宋体"/>
                <w:b/>
                <w:bCs/>
                <w:color w:val="auto"/>
                <w:szCs w:val="21"/>
              </w:rPr>
              <w:t>得分</w:t>
            </w:r>
          </w:p>
        </w:tc>
        <w:tc>
          <w:tcPr>
            <w:tcW w:w="556" w:type="dxa"/>
            <w:vAlign w:val="center"/>
          </w:tcPr>
          <w:p w14:paraId="08D7C0E3">
            <w:pPr>
              <w:jc w:val="center"/>
              <w:rPr>
                <w:rFonts w:ascii="宋体" w:hAnsi="宋体"/>
                <w:b/>
                <w:bCs/>
                <w:color w:val="auto"/>
                <w:szCs w:val="21"/>
              </w:rPr>
            </w:pPr>
            <w:r>
              <w:rPr>
                <w:rFonts w:hint="eastAsia" w:ascii="宋体" w:hAnsi="宋体"/>
                <w:b/>
                <w:bCs/>
                <w:color w:val="auto"/>
                <w:szCs w:val="21"/>
              </w:rPr>
              <w:t>暗标编号</w:t>
            </w:r>
          </w:p>
        </w:tc>
        <w:tc>
          <w:tcPr>
            <w:tcW w:w="556" w:type="dxa"/>
            <w:vAlign w:val="center"/>
          </w:tcPr>
          <w:p w14:paraId="5BAACC86">
            <w:pPr>
              <w:jc w:val="center"/>
              <w:rPr>
                <w:rFonts w:ascii="宋体" w:hAnsi="宋体"/>
                <w:b/>
                <w:bCs/>
                <w:color w:val="auto"/>
                <w:szCs w:val="21"/>
              </w:rPr>
            </w:pPr>
            <w:r>
              <w:rPr>
                <w:rFonts w:hint="eastAsia" w:ascii="宋体" w:hAnsi="宋体"/>
                <w:b/>
                <w:bCs/>
                <w:color w:val="auto"/>
                <w:szCs w:val="21"/>
              </w:rPr>
              <w:t>得分</w:t>
            </w:r>
          </w:p>
        </w:tc>
        <w:tc>
          <w:tcPr>
            <w:tcW w:w="556" w:type="dxa"/>
            <w:vAlign w:val="center"/>
          </w:tcPr>
          <w:p w14:paraId="7B996E5D">
            <w:pPr>
              <w:jc w:val="center"/>
              <w:rPr>
                <w:rFonts w:ascii="宋体" w:hAnsi="宋体"/>
                <w:b/>
                <w:bCs/>
                <w:color w:val="auto"/>
                <w:szCs w:val="21"/>
              </w:rPr>
            </w:pPr>
            <w:r>
              <w:rPr>
                <w:rFonts w:hint="eastAsia" w:ascii="宋体" w:hAnsi="宋体"/>
                <w:b/>
                <w:bCs/>
                <w:color w:val="auto"/>
                <w:szCs w:val="21"/>
              </w:rPr>
              <w:t>暗标编号</w:t>
            </w:r>
          </w:p>
        </w:tc>
        <w:tc>
          <w:tcPr>
            <w:tcW w:w="556" w:type="dxa"/>
            <w:vAlign w:val="center"/>
          </w:tcPr>
          <w:p w14:paraId="4EDC9EA8">
            <w:pPr>
              <w:jc w:val="center"/>
              <w:rPr>
                <w:rFonts w:ascii="宋体" w:hAnsi="宋体"/>
                <w:b/>
                <w:bCs/>
                <w:color w:val="auto"/>
                <w:szCs w:val="21"/>
              </w:rPr>
            </w:pPr>
            <w:r>
              <w:rPr>
                <w:rFonts w:hint="eastAsia" w:ascii="宋体" w:hAnsi="宋体"/>
                <w:b/>
                <w:bCs/>
                <w:color w:val="auto"/>
                <w:szCs w:val="21"/>
              </w:rPr>
              <w:t>得分</w:t>
            </w:r>
          </w:p>
        </w:tc>
        <w:tc>
          <w:tcPr>
            <w:tcW w:w="556" w:type="dxa"/>
            <w:vAlign w:val="center"/>
          </w:tcPr>
          <w:p w14:paraId="2D067340">
            <w:pPr>
              <w:jc w:val="center"/>
              <w:rPr>
                <w:rFonts w:ascii="宋体" w:hAnsi="宋体"/>
                <w:b/>
                <w:bCs/>
                <w:color w:val="auto"/>
                <w:szCs w:val="21"/>
              </w:rPr>
            </w:pPr>
            <w:r>
              <w:rPr>
                <w:rFonts w:hint="eastAsia" w:ascii="宋体" w:hAnsi="宋体"/>
                <w:b/>
                <w:bCs/>
                <w:color w:val="auto"/>
                <w:szCs w:val="21"/>
              </w:rPr>
              <w:t>暗标编号</w:t>
            </w:r>
          </w:p>
        </w:tc>
        <w:tc>
          <w:tcPr>
            <w:tcW w:w="470" w:type="dxa"/>
            <w:vAlign w:val="center"/>
          </w:tcPr>
          <w:p w14:paraId="040F74E1">
            <w:pPr>
              <w:jc w:val="center"/>
              <w:rPr>
                <w:rFonts w:ascii="宋体" w:hAnsi="宋体"/>
                <w:b/>
                <w:bCs/>
                <w:color w:val="auto"/>
                <w:szCs w:val="21"/>
              </w:rPr>
            </w:pPr>
            <w:r>
              <w:rPr>
                <w:rFonts w:hint="eastAsia" w:ascii="宋体" w:hAnsi="宋体"/>
                <w:b/>
                <w:bCs/>
                <w:color w:val="auto"/>
                <w:szCs w:val="21"/>
              </w:rPr>
              <w:t>得分</w:t>
            </w:r>
          </w:p>
        </w:tc>
        <w:tc>
          <w:tcPr>
            <w:tcW w:w="1198" w:type="dxa"/>
            <w:vMerge w:val="continue"/>
            <w:vAlign w:val="center"/>
          </w:tcPr>
          <w:p w14:paraId="601F073D">
            <w:pPr>
              <w:jc w:val="center"/>
              <w:rPr>
                <w:rFonts w:ascii="宋体" w:hAnsi="宋体"/>
                <w:b/>
                <w:bCs/>
                <w:color w:val="auto"/>
                <w:szCs w:val="21"/>
              </w:rPr>
            </w:pPr>
          </w:p>
        </w:tc>
      </w:tr>
      <w:tr w14:paraId="50CC9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3A84C5C9">
            <w:pPr>
              <w:jc w:val="center"/>
              <w:rPr>
                <w:rFonts w:ascii="宋体" w:hAnsi="宋体"/>
                <w:color w:val="auto"/>
                <w:szCs w:val="21"/>
              </w:rPr>
            </w:pPr>
            <w:r>
              <w:rPr>
                <w:rFonts w:hint="eastAsia" w:ascii="宋体" w:hAnsi="宋体"/>
                <w:color w:val="auto"/>
                <w:szCs w:val="21"/>
              </w:rPr>
              <w:t>1</w:t>
            </w:r>
          </w:p>
        </w:tc>
        <w:tc>
          <w:tcPr>
            <w:tcW w:w="2204" w:type="dxa"/>
            <w:vAlign w:val="center"/>
          </w:tcPr>
          <w:p w14:paraId="3ED4855F">
            <w:pPr>
              <w:jc w:val="center"/>
              <w:rPr>
                <w:rFonts w:ascii="宋体" w:hAnsi="宋体"/>
                <w:color w:val="auto"/>
                <w:szCs w:val="21"/>
              </w:rPr>
            </w:pPr>
          </w:p>
        </w:tc>
        <w:tc>
          <w:tcPr>
            <w:tcW w:w="555" w:type="dxa"/>
            <w:vAlign w:val="center"/>
          </w:tcPr>
          <w:p w14:paraId="3711B101">
            <w:pPr>
              <w:jc w:val="center"/>
              <w:rPr>
                <w:rFonts w:ascii="宋体" w:hAnsi="宋体"/>
                <w:color w:val="auto"/>
                <w:szCs w:val="21"/>
              </w:rPr>
            </w:pPr>
          </w:p>
        </w:tc>
        <w:tc>
          <w:tcPr>
            <w:tcW w:w="556" w:type="dxa"/>
            <w:vAlign w:val="center"/>
          </w:tcPr>
          <w:p w14:paraId="24F37935">
            <w:pPr>
              <w:jc w:val="center"/>
              <w:rPr>
                <w:rFonts w:ascii="宋体" w:hAnsi="宋体"/>
                <w:color w:val="auto"/>
                <w:szCs w:val="21"/>
              </w:rPr>
            </w:pPr>
          </w:p>
        </w:tc>
        <w:tc>
          <w:tcPr>
            <w:tcW w:w="556" w:type="dxa"/>
            <w:vAlign w:val="center"/>
          </w:tcPr>
          <w:p w14:paraId="601823A5">
            <w:pPr>
              <w:jc w:val="center"/>
              <w:rPr>
                <w:rFonts w:ascii="宋体" w:hAnsi="宋体"/>
                <w:color w:val="auto"/>
                <w:szCs w:val="21"/>
              </w:rPr>
            </w:pPr>
          </w:p>
        </w:tc>
        <w:tc>
          <w:tcPr>
            <w:tcW w:w="556" w:type="dxa"/>
            <w:vAlign w:val="center"/>
          </w:tcPr>
          <w:p w14:paraId="227CF015">
            <w:pPr>
              <w:jc w:val="center"/>
              <w:rPr>
                <w:rFonts w:ascii="宋体" w:hAnsi="宋体"/>
                <w:color w:val="auto"/>
                <w:szCs w:val="21"/>
              </w:rPr>
            </w:pPr>
          </w:p>
        </w:tc>
        <w:tc>
          <w:tcPr>
            <w:tcW w:w="556" w:type="dxa"/>
            <w:vAlign w:val="center"/>
          </w:tcPr>
          <w:p w14:paraId="571034BB">
            <w:pPr>
              <w:jc w:val="center"/>
              <w:rPr>
                <w:rFonts w:ascii="宋体" w:hAnsi="宋体"/>
                <w:color w:val="auto"/>
                <w:szCs w:val="21"/>
              </w:rPr>
            </w:pPr>
          </w:p>
        </w:tc>
        <w:tc>
          <w:tcPr>
            <w:tcW w:w="556" w:type="dxa"/>
            <w:vAlign w:val="center"/>
          </w:tcPr>
          <w:p w14:paraId="3658A115">
            <w:pPr>
              <w:jc w:val="center"/>
              <w:rPr>
                <w:rFonts w:ascii="宋体" w:hAnsi="宋体"/>
                <w:color w:val="auto"/>
                <w:szCs w:val="21"/>
              </w:rPr>
            </w:pPr>
          </w:p>
        </w:tc>
        <w:tc>
          <w:tcPr>
            <w:tcW w:w="556" w:type="dxa"/>
            <w:vAlign w:val="center"/>
          </w:tcPr>
          <w:p w14:paraId="36A6E209">
            <w:pPr>
              <w:jc w:val="center"/>
              <w:rPr>
                <w:rFonts w:ascii="宋体" w:hAnsi="宋体"/>
                <w:color w:val="auto"/>
                <w:szCs w:val="21"/>
              </w:rPr>
            </w:pPr>
          </w:p>
        </w:tc>
        <w:tc>
          <w:tcPr>
            <w:tcW w:w="556" w:type="dxa"/>
            <w:vAlign w:val="center"/>
          </w:tcPr>
          <w:p w14:paraId="3762294C">
            <w:pPr>
              <w:jc w:val="center"/>
              <w:rPr>
                <w:rFonts w:ascii="宋体" w:hAnsi="宋体"/>
                <w:color w:val="auto"/>
                <w:szCs w:val="21"/>
              </w:rPr>
            </w:pPr>
          </w:p>
        </w:tc>
        <w:tc>
          <w:tcPr>
            <w:tcW w:w="556" w:type="dxa"/>
            <w:vAlign w:val="center"/>
          </w:tcPr>
          <w:p w14:paraId="400DB216">
            <w:pPr>
              <w:jc w:val="center"/>
              <w:rPr>
                <w:rFonts w:ascii="宋体" w:hAnsi="宋体"/>
                <w:color w:val="auto"/>
                <w:szCs w:val="21"/>
              </w:rPr>
            </w:pPr>
          </w:p>
        </w:tc>
        <w:tc>
          <w:tcPr>
            <w:tcW w:w="556" w:type="dxa"/>
            <w:vAlign w:val="center"/>
          </w:tcPr>
          <w:p w14:paraId="7B4CB651">
            <w:pPr>
              <w:jc w:val="center"/>
              <w:rPr>
                <w:rFonts w:ascii="宋体" w:hAnsi="宋体"/>
                <w:color w:val="auto"/>
                <w:szCs w:val="21"/>
              </w:rPr>
            </w:pPr>
          </w:p>
        </w:tc>
        <w:tc>
          <w:tcPr>
            <w:tcW w:w="555" w:type="dxa"/>
            <w:vAlign w:val="center"/>
          </w:tcPr>
          <w:p w14:paraId="53658273">
            <w:pPr>
              <w:jc w:val="center"/>
              <w:rPr>
                <w:rFonts w:ascii="宋体" w:hAnsi="宋体"/>
                <w:color w:val="auto"/>
                <w:szCs w:val="21"/>
              </w:rPr>
            </w:pPr>
          </w:p>
        </w:tc>
        <w:tc>
          <w:tcPr>
            <w:tcW w:w="556" w:type="dxa"/>
            <w:vAlign w:val="center"/>
          </w:tcPr>
          <w:p w14:paraId="67CC70C1">
            <w:pPr>
              <w:jc w:val="center"/>
              <w:rPr>
                <w:rFonts w:ascii="宋体" w:hAnsi="宋体"/>
                <w:color w:val="auto"/>
                <w:szCs w:val="21"/>
              </w:rPr>
            </w:pPr>
          </w:p>
        </w:tc>
        <w:tc>
          <w:tcPr>
            <w:tcW w:w="556" w:type="dxa"/>
            <w:vAlign w:val="center"/>
          </w:tcPr>
          <w:p w14:paraId="521E1539">
            <w:pPr>
              <w:jc w:val="center"/>
              <w:rPr>
                <w:rFonts w:ascii="宋体" w:hAnsi="宋体"/>
                <w:color w:val="auto"/>
                <w:szCs w:val="21"/>
              </w:rPr>
            </w:pPr>
          </w:p>
        </w:tc>
        <w:tc>
          <w:tcPr>
            <w:tcW w:w="556" w:type="dxa"/>
            <w:vAlign w:val="center"/>
          </w:tcPr>
          <w:p w14:paraId="6367A81C">
            <w:pPr>
              <w:jc w:val="center"/>
              <w:rPr>
                <w:rFonts w:ascii="宋体" w:hAnsi="宋体"/>
                <w:color w:val="auto"/>
                <w:szCs w:val="21"/>
              </w:rPr>
            </w:pPr>
          </w:p>
        </w:tc>
        <w:tc>
          <w:tcPr>
            <w:tcW w:w="556" w:type="dxa"/>
          </w:tcPr>
          <w:p w14:paraId="0FC5517B">
            <w:pPr>
              <w:jc w:val="center"/>
              <w:rPr>
                <w:rFonts w:ascii="宋体" w:hAnsi="宋体"/>
                <w:color w:val="auto"/>
                <w:szCs w:val="21"/>
              </w:rPr>
            </w:pPr>
          </w:p>
        </w:tc>
        <w:tc>
          <w:tcPr>
            <w:tcW w:w="556" w:type="dxa"/>
          </w:tcPr>
          <w:p w14:paraId="65906BFF">
            <w:pPr>
              <w:jc w:val="center"/>
              <w:rPr>
                <w:rFonts w:ascii="宋体" w:hAnsi="宋体"/>
                <w:color w:val="auto"/>
                <w:szCs w:val="21"/>
              </w:rPr>
            </w:pPr>
          </w:p>
        </w:tc>
        <w:tc>
          <w:tcPr>
            <w:tcW w:w="556" w:type="dxa"/>
            <w:vAlign w:val="center"/>
          </w:tcPr>
          <w:p w14:paraId="390E86B7">
            <w:pPr>
              <w:jc w:val="center"/>
              <w:rPr>
                <w:rFonts w:ascii="宋体" w:hAnsi="宋体"/>
                <w:color w:val="auto"/>
                <w:szCs w:val="21"/>
              </w:rPr>
            </w:pPr>
          </w:p>
        </w:tc>
        <w:tc>
          <w:tcPr>
            <w:tcW w:w="470" w:type="dxa"/>
            <w:vAlign w:val="center"/>
          </w:tcPr>
          <w:p w14:paraId="4625BD20">
            <w:pPr>
              <w:jc w:val="center"/>
              <w:rPr>
                <w:rFonts w:ascii="宋体" w:hAnsi="宋体"/>
                <w:color w:val="auto"/>
                <w:szCs w:val="21"/>
              </w:rPr>
            </w:pPr>
          </w:p>
        </w:tc>
        <w:tc>
          <w:tcPr>
            <w:tcW w:w="1198" w:type="dxa"/>
            <w:vAlign w:val="center"/>
          </w:tcPr>
          <w:p w14:paraId="1F0D2C40">
            <w:pPr>
              <w:jc w:val="center"/>
              <w:rPr>
                <w:rFonts w:ascii="宋体" w:hAnsi="宋体"/>
                <w:color w:val="auto"/>
                <w:szCs w:val="21"/>
              </w:rPr>
            </w:pPr>
          </w:p>
        </w:tc>
      </w:tr>
      <w:tr w14:paraId="4A356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7FBDF1E0">
            <w:pPr>
              <w:jc w:val="center"/>
              <w:rPr>
                <w:rFonts w:ascii="宋体" w:hAnsi="宋体"/>
                <w:color w:val="auto"/>
                <w:szCs w:val="21"/>
              </w:rPr>
            </w:pPr>
            <w:r>
              <w:rPr>
                <w:rFonts w:hint="eastAsia" w:ascii="宋体" w:hAnsi="宋体"/>
                <w:color w:val="auto"/>
                <w:szCs w:val="21"/>
              </w:rPr>
              <w:t>2</w:t>
            </w:r>
          </w:p>
        </w:tc>
        <w:tc>
          <w:tcPr>
            <w:tcW w:w="2204" w:type="dxa"/>
            <w:vAlign w:val="center"/>
          </w:tcPr>
          <w:p w14:paraId="4B894A85">
            <w:pPr>
              <w:jc w:val="center"/>
              <w:rPr>
                <w:rFonts w:ascii="宋体" w:hAnsi="宋体"/>
                <w:color w:val="auto"/>
                <w:szCs w:val="21"/>
              </w:rPr>
            </w:pPr>
          </w:p>
        </w:tc>
        <w:tc>
          <w:tcPr>
            <w:tcW w:w="555" w:type="dxa"/>
            <w:vAlign w:val="center"/>
          </w:tcPr>
          <w:p w14:paraId="6B721727">
            <w:pPr>
              <w:jc w:val="center"/>
              <w:rPr>
                <w:rFonts w:ascii="宋体" w:hAnsi="宋体"/>
                <w:color w:val="auto"/>
                <w:szCs w:val="21"/>
              </w:rPr>
            </w:pPr>
          </w:p>
        </w:tc>
        <w:tc>
          <w:tcPr>
            <w:tcW w:w="556" w:type="dxa"/>
            <w:vAlign w:val="center"/>
          </w:tcPr>
          <w:p w14:paraId="49C64494">
            <w:pPr>
              <w:jc w:val="center"/>
              <w:rPr>
                <w:rFonts w:ascii="宋体" w:hAnsi="宋体"/>
                <w:color w:val="auto"/>
                <w:szCs w:val="21"/>
              </w:rPr>
            </w:pPr>
          </w:p>
        </w:tc>
        <w:tc>
          <w:tcPr>
            <w:tcW w:w="556" w:type="dxa"/>
            <w:vAlign w:val="center"/>
          </w:tcPr>
          <w:p w14:paraId="5E6DDAAF">
            <w:pPr>
              <w:jc w:val="center"/>
              <w:rPr>
                <w:rFonts w:ascii="宋体" w:hAnsi="宋体"/>
                <w:color w:val="auto"/>
                <w:szCs w:val="21"/>
              </w:rPr>
            </w:pPr>
          </w:p>
        </w:tc>
        <w:tc>
          <w:tcPr>
            <w:tcW w:w="556" w:type="dxa"/>
            <w:vAlign w:val="center"/>
          </w:tcPr>
          <w:p w14:paraId="4AB65A8F">
            <w:pPr>
              <w:jc w:val="center"/>
              <w:rPr>
                <w:rFonts w:ascii="宋体" w:hAnsi="宋体"/>
                <w:color w:val="auto"/>
                <w:szCs w:val="21"/>
              </w:rPr>
            </w:pPr>
          </w:p>
        </w:tc>
        <w:tc>
          <w:tcPr>
            <w:tcW w:w="556" w:type="dxa"/>
            <w:vAlign w:val="center"/>
          </w:tcPr>
          <w:p w14:paraId="340AF6E6">
            <w:pPr>
              <w:jc w:val="center"/>
              <w:rPr>
                <w:rFonts w:ascii="宋体" w:hAnsi="宋体"/>
                <w:color w:val="auto"/>
                <w:szCs w:val="21"/>
              </w:rPr>
            </w:pPr>
          </w:p>
        </w:tc>
        <w:tc>
          <w:tcPr>
            <w:tcW w:w="556" w:type="dxa"/>
            <w:vAlign w:val="center"/>
          </w:tcPr>
          <w:p w14:paraId="5B922C6C">
            <w:pPr>
              <w:jc w:val="center"/>
              <w:rPr>
                <w:rFonts w:ascii="宋体" w:hAnsi="宋体"/>
                <w:color w:val="auto"/>
                <w:szCs w:val="21"/>
              </w:rPr>
            </w:pPr>
          </w:p>
        </w:tc>
        <w:tc>
          <w:tcPr>
            <w:tcW w:w="556" w:type="dxa"/>
            <w:vAlign w:val="center"/>
          </w:tcPr>
          <w:p w14:paraId="541BE7E3">
            <w:pPr>
              <w:jc w:val="center"/>
              <w:rPr>
                <w:rFonts w:ascii="宋体" w:hAnsi="宋体"/>
                <w:color w:val="auto"/>
                <w:szCs w:val="21"/>
              </w:rPr>
            </w:pPr>
          </w:p>
        </w:tc>
        <w:tc>
          <w:tcPr>
            <w:tcW w:w="556" w:type="dxa"/>
            <w:vAlign w:val="center"/>
          </w:tcPr>
          <w:p w14:paraId="254F7340">
            <w:pPr>
              <w:jc w:val="center"/>
              <w:rPr>
                <w:rFonts w:ascii="宋体" w:hAnsi="宋体"/>
                <w:color w:val="auto"/>
                <w:szCs w:val="21"/>
              </w:rPr>
            </w:pPr>
          </w:p>
        </w:tc>
        <w:tc>
          <w:tcPr>
            <w:tcW w:w="556" w:type="dxa"/>
            <w:vAlign w:val="center"/>
          </w:tcPr>
          <w:p w14:paraId="17E8E7C3">
            <w:pPr>
              <w:jc w:val="center"/>
              <w:rPr>
                <w:rFonts w:ascii="宋体" w:hAnsi="宋体"/>
                <w:color w:val="auto"/>
                <w:szCs w:val="21"/>
              </w:rPr>
            </w:pPr>
          </w:p>
        </w:tc>
        <w:tc>
          <w:tcPr>
            <w:tcW w:w="556" w:type="dxa"/>
            <w:vAlign w:val="center"/>
          </w:tcPr>
          <w:p w14:paraId="2C0B55C9">
            <w:pPr>
              <w:jc w:val="center"/>
              <w:rPr>
                <w:rFonts w:ascii="宋体" w:hAnsi="宋体"/>
                <w:color w:val="auto"/>
                <w:szCs w:val="21"/>
              </w:rPr>
            </w:pPr>
          </w:p>
        </w:tc>
        <w:tc>
          <w:tcPr>
            <w:tcW w:w="555" w:type="dxa"/>
            <w:vAlign w:val="center"/>
          </w:tcPr>
          <w:p w14:paraId="2F4ADF47">
            <w:pPr>
              <w:jc w:val="center"/>
              <w:rPr>
                <w:rFonts w:ascii="宋体" w:hAnsi="宋体"/>
                <w:color w:val="auto"/>
                <w:szCs w:val="21"/>
              </w:rPr>
            </w:pPr>
          </w:p>
        </w:tc>
        <w:tc>
          <w:tcPr>
            <w:tcW w:w="556" w:type="dxa"/>
            <w:vAlign w:val="center"/>
          </w:tcPr>
          <w:p w14:paraId="532AFA90">
            <w:pPr>
              <w:jc w:val="center"/>
              <w:rPr>
                <w:rFonts w:ascii="宋体" w:hAnsi="宋体"/>
                <w:color w:val="auto"/>
                <w:szCs w:val="21"/>
              </w:rPr>
            </w:pPr>
          </w:p>
        </w:tc>
        <w:tc>
          <w:tcPr>
            <w:tcW w:w="556" w:type="dxa"/>
            <w:vAlign w:val="center"/>
          </w:tcPr>
          <w:p w14:paraId="3C54FA64">
            <w:pPr>
              <w:jc w:val="center"/>
              <w:rPr>
                <w:rFonts w:ascii="宋体" w:hAnsi="宋体"/>
                <w:color w:val="auto"/>
                <w:szCs w:val="21"/>
              </w:rPr>
            </w:pPr>
          </w:p>
        </w:tc>
        <w:tc>
          <w:tcPr>
            <w:tcW w:w="556" w:type="dxa"/>
            <w:vAlign w:val="center"/>
          </w:tcPr>
          <w:p w14:paraId="6D9160CB">
            <w:pPr>
              <w:jc w:val="center"/>
              <w:rPr>
                <w:rFonts w:ascii="宋体" w:hAnsi="宋体"/>
                <w:color w:val="auto"/>
                <w:szCs w:val="21"/>
              </w:rPr>
            </w:pPr>
          </w:p>
        </w:tc>
        <w:tc>
          <w:tcPr>
            <w:tcW w:w="556" w:type="dxa"/>
          </w:tcPr>
          <w:p w14:paraId="270202CC">
            <w:pPr>
              <w:jc w:val="center"/>
              <w:rPr>
                <w:rFonts w:ascii="宋体" w:hAnsi="宋体"/>
                <w:color w:val="auto"/>
                <w:szCs w:val="21"/>
              </w:rPr>
            </w:pPr>
          </w:p>
        </w:tc>
        <w:tc>
          <w:tcPr>
            <w:tcW w:w="556" w:type="dxa"/>
          </w:tcPr>
          <w:p w14:paraId="6F9A63A8">
            <w:pPr>
              <w:jc w:val="center"/>
              <w:rPr>
                <w:rFonts w:ascii="宋体" w:hAnsi="宋体"/>
                <w:color w:val="auto"/>
                <w:szCs w:val="21"/>
              </w:rPr>
            </w:pPr>
          </w:p>
        </w:tc>
        <w:tc>
          <w:tcPr>
            <w:tcW w:w="556" w:type="dxa"/>
            <w:vAlign w:val="center"/>
          </w:tcPr>
          <w:p w14:paraId="12521E6A">
            <w:pPr>
              <w:jc w:val="center"/>
              <w:rPr>
                <w:rFonts w:ascii="宋体" w:hAnsi="宋体"/>
                <w:color w:val="auto"/>
                <w:szCs w:val="21"/>
              </w:rPr>
            </w:pPr>
          </w:p>
        </w:tc>
        <w:tc>
          <w:tcPr>
            <w:tcW w:w="470" w:type="dxa"/>
            <w:vAlign w:val="center"/>
          </w:tcPr>
          <w:p w14:paraId="0D2DD58C">
            <w:pPr>
              <w:jc w:val="center"/>
              <w:rPr>
                <w:rFonts w:ascii="宋体" w:hAnsi="宋体"/>
                <w:color w:val="auto"/>
                <w:szCs w:val="21"/>
              </w:rPr>
            </w:pPr>
          </w:p>
        </w:tc>
        <w:tc>
          <w:tcPr>
            <w:tcW w:w="1198" w:type="dxa"/>
            <w:vAlign w:val="center"/>
          </w:tcPr>
          <w:p w14:paraId="660361A2">
            <w:pPr>
              <w:jc w:val="center"/>
              <w:rPr>
                <w:rFonts w:ascii="宋体" w:hAnsi="宋体"/>
                <w:color w:val="auto"/>
                <w:szCs w:val="21"/>
              </w:rPr>
            </w:pPr>
          </w:p>
        </w:tc>
      </w:tr>
      <w:tr w14:paraId="5CA1A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5F364F92">
            <w:pPr>
              <w:jc w:val="center"/>
              <w:rPr>
                <w:rFonts w:ascii="宋体" w:hAnsi="宋体"/>
                <w:color w:val="auto"/>
                <w:szCs w:val="21"/>
              </w:rPr>
            </w:pPr>
            <w:r>
              <w:rPr>
                <w:rFonts w:hint="eastAsia" w:ascii="宋体" w:hAnsi="宋体"/>
                <w:color w:val="auto"/>
                <w:szCs w:val="21"/>
              </w:rPr>
              <w:t>3</w:t>
            </w:r>
          </w:p>
        </w:tc>
        <w:tc>
          <w:tcPr>
            <w:tcW w:w="2204" w:type="dxa"/>
            <w:vAlign w:val="center"/>
          </w:tcPr>
          <w:p w14:paraId="10734EAE">
            <w:pPr>
              <w:jc w:val="center"/>
              <w:rPr>
                <w:rFonts w:ascii="宋体" w:hAnsi="宋体"/>
                <w:color w:val="auto"/>
                <w:szCs w:val="21"/>
              </w:rPr>
            </w:pPr>
          </w:p>
        </w:tc>
        <w:tc>
          <w:tcPr>
            <w:tcW w:w="555" w:type="dxa"/>
            <w:vAlign w:val="center"/>
          </w:tcPr>
          <w:p w14:paraId="5149C29C">
            <w:pPr>
              <w:jc w:val="center"/>
              <w:rPr>
                <w:rFonts w:ascii="宋体" w:hAnsi="宋体"/>
                <w:color w:val="auto"/>
                <w:szCs w:val="21"/>
              </w:rPr>
            </w:pPr>
          </w:p>
        </w:tc>
        <w:tc>
          <w:tcPr>
            <w:tcW w:w="556" w:type="dxa"/>
            <w:vAlign w:val="center"/>
          </w:tcPr>
          <w:p w14:paraId="73994355">
            <w:pPr>
              <w:jc w:val="center"/>
              <w:rPr>
                <w:rFonts w:ascii="宋体" w:hAnsi="宋体"/>
                <w:color w:val="auto"/>
                <w:szCs w:val="21"/>
              </w:rPr>
            </w:pPr>
          </w:p>
        </w:tc>
        <w:tc>
          <w:tcPr>
            <w:tcW w:w="556" w:type="dxa"/>
            <w:vAlign w:val="center"/>
          </w:tcPr>
          <w:p w14:paraId="4F8DD98F">
            <w:pPr>
              <w:jc w:val="center"/>
              <w:rPr>
                <w:rFonts w:ascii="宋体" w:hAnsi="宋体"/>
                <w:color w:val="auto"/>
                <w:szCs w:val="21"/>
              </w:rPr>
            </w:pPr>
          </w:p>
        </w:tc>
        <w:tc>
          <w:tcPr>
            <w:tcW w:w="556" w:type="dxa"/>
            <w:vAlign w:val="center"/>
          </w:tcPr>
          <w:p w14:paraId="281681FC">
            <w:pPr>
              <w:jc w:val="center"/>
              <w:rPr>
                <w:rFonts w:ascii="宋体" w:hAnsi="宋体"/>
                <w:color w:val="auto"/>
                <w:szCs w:val="21"/>
              </w:rPr>
            </w:pPr>
          </w:p>
        </w:tc>
        <w:tc>
          <w:tcPr>
            <w:tcW w:w="556" w:type="dxa"/>
            <w:vAlign w:val="center"/>
          </w:tcPr>
          <w:p w14:paraId="4F49B1A9">
            <w:pPr>
              <w:jc w:val="center"/>
              <w:rPr>
                <w:rFonts w:ascii="宋体" w:hAnsi="宋体"/>
                <w:color w:val="auto"/>
                <w:szCs w:val="21"/>
              </w:rPr>
            </w:pPr>
          </w:p>
        </w:tc>
        <w:tc>
          <w:tcPr>
            <w:tcW w:w="556" w:type="dxa"/>
            <w:vAlign w:val="center"/>
          </w:tcPr>
          <w:p w14:paraId="6F5BE29C">
            <w:pPr>
              <w:jc w:val="center"/>
              <w:rPr>
                <w:rFonts w:ascii="宋体" w:hAnsi="宋体"/>
                <w:color w:val="auto"/>
                <w:szCs w:val="21"/>
              </w:rPr>
            </w:pPr>
          </w:p>
        </w:tc>
        <w:tc>
          <w:tcPr>
            <w:tcW w:w="556" w:type="dxa"/>
            <w:vAlign w:val="center"/>
          </w:tcPr>
          <w:p w14:paraId="21D445D9">
            <w:pPr>
              <w:jc w:val="center"/>
              <w:rPr>
                <w:rFonts w:ascii="宋体" w:hAnsi="宋体"/>
                <w:color w:val="auto"/>
                <w:szCs w:val="21"/>
              </w:rPr>
            </w:pPr>
          </w:p>
        </w:tc>
        <w:tc>
          <w:tcPr>
            <w:tcW w:w="556" w:type="dxa"/>
            <w:vAlign w:val="center"/>
          </w:tcPr>
          <w:p w14:paraId="011553C0">
            <w:pPr>
              <w:jc w:val="center"/>
              <w:rPr>
                <w:rFonts w:ascii="宋体" w:hAnsi="宋体"/>
                <w:color w:val="auto"/>
                <w:szCs w:val="21"/>
              </w:rPr>
            </w:pPr>
          </w:p>
        </w:tc>
        <w:tc>
          <w:tcPr>
            <w:tcW w:w="556" w:type="dxa"/>
            <w:vAlign w:val="center"/>
          </w:tcPr>
          <w:p w14:paraId="5446CBB5">
            <w:pPr>
              <w:jc w:val="center"/>
              <w:rPr>
                <w:rFonts w:ascii="宋体" w:hAnsi="宋体"/>
                <w:color w:val="auto"/>
                <w:szCs w:val="21"/>
              </w:rPr>
            </w:pPr>
          </w:p>
        </w:tc>
        <w:tc>
          <w:tcPr>
            <w:tcW w:w="556" w:type="dxa"/>
            <w:vAlign w:val="center"/>
          </w:tcPr>
          <w:p w14:paraId="130D7CDF">
            <w:pPr>
              <w:jc w:val="center"/>
              <w:rPr>
                <w:rFonts w:ascii="宋体" w:hAnsi="宋体"/>
                <w:color w:val="auto"/>
                <w:szCs w:val="21"/>
              </w:rPr>
            </w:pPr>
          </w:p>
        </w:tc>
        <w:tc>
          <w:tcPr>
            <w:tcW w:w="555" w:type="dxa"/>
            <w:vAlign w:val="center"/>
          </w:tcPr>
          <w:p w14:paraId="7B2AA5FF">
            <w:pPr>
              <w:jc w:val="center"/>
              <w:rPr>
                <w:rFonts w:ascii="宋体" w:hAnsi="宋体"/>
                <w:color w:val="auto"/>
                <w:szCs w:val="21"/>
              </w:rPr>
            </w:pPr>
          </w:p>
        </w:tc>
        <w:tc>
          <w:tcPr>
            <w:tcW w:w="556" w:type="dxa"/>
            <w:vAlign w:val="center"/>
          </w:tcPr>
          <w:p w14:paraId="451C538C">
            <w:pPr>
              <w:jc w:val="center"/>
              <w:rPr>
                <w:rFonts w:ascii="宋体" w:hAnsi="宋体"/>
                <w:color w:val="auto"/>
                <w:szCs w:val="21"/>
              </w:rPr>
            </w:pPr>
          </w:p>
        </w:tc>
        <w:tc>
          <w:tcPr>
            <w:tcW w:w="556" w:type="dxa"/>
            <w:vAlign w:val="center"/>
          </w:tcPr>
          <w:p w14:paraId="73876360">
            <w:pPr>
              <w:jc w:val="center"/>
              <w:rPr>
                <w:rFonts w:ascii="宋体" w:hAnsi="宋体"/>
                <w:color w:val="auto"/>
                <w:szCs w:val="21"/>
              </w:rPr>
            </w:pPr>
          </w:p>
        </w:tc>
        <w:tc>
          <w:tcPr>
            <w:tcW w:w="556" w:type="dxa"/>
            <w:vAlign w:val="center"/>
          </w:tcPr>
          <w:p w14:paraId="56C002BD">
            <w:pPr>
              <w:jc w:val="center"/>
              <w:rPr>
                <w:rFonts w:ascii="宋体" w:hAnsi="宋体"/>
                <w:color w:val="auto"/>
                <w:szCs w:val="21"/>
              </w:rPr>
            </w:pPr>
          </w:p>
        </w:tc>
        <w:tc>
          <w:tcPr>
            <w:tcW w:w="556" w:type="dxa"/>
          </w:tcPr>
          <w:p w14:paraId="7F5B34AB">
            <w:pPr>
              <w:jc w:val="center"/>
              <w:rPr>
                <w:rFonts w:ascii="宋体" w:hAnsi="宋体"/>
                <w:color w:val="auto"/>
                <w:szCs w:val="21"/>
              </w:rPr>
            </w:pPr>
          </w:p>
        </w:tc>
        <w:tc>
          <w:tcPr>
            <w:tcW w:w="556" w:type="dxa"/>
          </w:tcPr>
          <w:p w14:paraId="4356FB4E">
            <w:pPr>
              <w:jc w:val="center"/>
              <w:rPr>
                <w:rFonts w:ascii="宋体" w:hAnsi="宋体"/>
                <w:color w:val="auto"/>
                <w:szCs w:val="21"/>
              </w:rPr>
            </w:pPr>
          </w:p>
        </w:tc>
        <w:tc>
          <w:tcPr>
            <w:tcW w:w="556" w:type="dxa"/>
            <w:vAlign w:val="center"/>
          </w:tcPr>
          <w:p w14:paraId="0B9E5813">
            <w:pPr>
              <w:jc w:val="center"/>
              <w:rPr>
                <w:rFonts w:ascii="宋体" w:hAnsi="宋体"/>
                <w:color w:val="auto"/>
                <w:szCs w:val="21"/>
              </w:rPr>
            </w:pPr>
          </w:p>
        </w:tc>
        <w:tc>
          <w:tcPr>
            <w:tcW w:w="470" w:type="dxa"/>
            <w:vAlign w:val="center"/>
          </w:tcPr>
          <w:p w14:paraId="009660AB">
            <w:pPr>
              <w:jc w:val="center"/>
              <w:rPr>
                <w:rFonts w:ascii="宋体" w:hAnsi="宋体"/>
                <w:color w:val="auto"/>
                <w:szCs w:val="21"/>
              </w:rPr>
            </w:pPr>
          </w:p>
        </w:tc>
        <w:tc>
          <w:tcPr>
            <w:tcW w:w="1198" w:type="dxa"/>
            <w:vAlign w:val="center"/>
          </w:tcPr>
          <w:p w14:paraId="396C44F6">
            <w:pPr>
              <w:jc w:val="center"/>
              <w:rPr>
                <w:rFonts w:ascii="宋体" w:hAnsi="宋体"/>
                <w:color w:val="auto"/>
                <w:szCs w:val="21"/>
              </w:rPr>
            </w:pPr>
          </w:p>
        </w:tc>
      </w:tr>
      <w:tr w14:paraId="5A48F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721F5F40">
            <w:pPr>
              <w:jc w:val="center"/>
              <w:rPr>
                <w:rFonts w:ascii="宋体" w:hAnsi="宋体"/>
                <w:color w:val="auto"/>
                <w:szCs w:val="21"/>
              </w:rPr>
            </w:pPr>
            <w:r>
              <w:rPr>
                <w:rFonts w:hint="eastAsia" w:ascii="宋体" w:hAnsi="宋体"/>
                <w:color w:val="auto"/>
                <w:szCs w:val="21"/>
              </w:rPr>
              <w:t>4</w:t>
            </w:r>
          </w:p>
        </w:tc>
        <w:tc>
          <w:tcPr>
            <w:tcW w:w="2204" w:type="dxa"/>
            <w:vAlign w:val="center"/>
          </w:tcPr>
          <w:p w14:paraId="11717BEF">
            <w:pPr>
              <w:jc w:val="center"/>
              <w:rPr>
                <w:rFonts w:ascii="宋体" w:hAnsi="宋体"/>
                <w:color w:val="auto"/>
                <w:szCs w:val="21"/>
              </w:rPr>
            </w:pPr>
          </w:p>
        </w:tc>
        <w:tc>
          <w:tcPr>
            <w:tcW w:w="555" w:type="dxa"/>
            <w:vAlign w:val="center"/>
          </w:tcPr>
          <w:p w14:paraId="23436E0B">
            <w:pPr>
              <w:jc w:val="center"/>
              <w:rPr>
                <w:rFonts w:ascii="宋体" w:hAnsi="宋体"/>
                <w:color w:val="auto"/>
                <w:szCs w:val="21"/>
              </w:rPr>
            </w:pPr>
          </w:p>
        </w:tc>
        <w:tc>
          <w:tcPr>
            <w:tcW w:w="556" w:type="dxa"/>
            <w:vAlign w:val="center"/>
          </w:tcPr>
          <w:p w14:paraId="7BEBBFBF">
            <w:pPr>
              <w:jc w:val="center"/>
              <w:rPr>
                <w:rFonts w:ascii="宋体" w:hAnsi="宋体"/>
                <w:color w:val="auto"/>
                <w:szCs w:val="21"/>
              </w:rPr>
            </w:pPr>
          </w:p>
        </w:tc>
        <w:tc>
          <w:tcPr>
            <w:tcW w:w="556" w:type="dxa"/>
            <w:vAlign w:val="center"/>
          </w:tcPr>
          <w:p w14:paraId="215A0B02">
            <w:pPr>
              <w:jc w:val="center"/>
              <w:rPr>
                <w:rFonts w:ascii="宋体" w:hAnsi="宋体"/>
                <w:color w:val="auto"/>
                <w:szCs w:val="21"/>
              </w:rPr>
            </w:pPr>
          </w:p>
        </w:tc>
        <w:tc>
          <w:tcPr>
            <w:tcW w:w="556" w:type="dxa"/>
            <w:vAlign w:val="center"/>
          </w:tcPr>
          <w:p w14:paraId="1D35D678">
            <w:pPr>
              <w:jc w:val="center"/>
              <w:rPr>
                <w:rFonts w:ascii="宋体" w:hAnsi="宋体"/>
                <w:color w:val="auto"/>
                <w:szCs w:val="21"/>
              </w:rPr>
            </w:pPr>
          </w:p>
        </w:tc>
        <w:tc>
          <w:tcPr>
            <w:tcW w:w="556" w:type="dxa"/>
            <w:vAlign w:val="center"/>
          </w:tcPr>
          <w:p w14:paraId="5BDD15A3">
            <w:pPr>
              <w:jc w:val="center"/>
              <w:rPr>
                <w:rFonts w:ascii="宋体" w:hAnsi="宋体"/>
                <w:color w:val="auto"/>
                <w:szCs w:val="21"/>
              </w:rPr>
            </w:pPr>
          </w:p>
        </w:tc>
        <w:tc>
          <w:tcPr>
            <w:tcW w:w="556" w:type="dxa"/>
            <w:vAlign w:val="center"/>
          </w:tcPr>
          <w:p w14:paraId="73AF5CB3">
            <w:pPr>
              <w:jc w:val="center"/>
              <w:rPr>
                <w:rFonts w:ascii="宋体" w:hAnsi="宋体"/>
                <w:color w:val="auto"/>
                <w:szCs w:val="21"/>
              </w:rPr>
            </w:pPr>
          </w:p>
        </w:tc>
        <w:tc>
          <w:tcPr>
            <w:tcW w:w="556" w:type="dxa"/>
            <w:vAlign w:val="center"/>
          </w:tcPr>
          <w:p w14:paraId="290A0BD8">
            <w:pPr>
              <w:jc w:val="center"/>
              <w:rPr>
                <w:rFonts w:ascii="宋体" w:hAnsi="宋体"/>
                <w:color w:val="auto"/>
                <w:szCs w:val="21"/>
              </w:rPr>
            </w:pPr>
          </w:p>
        </w:tc>
        <w:tc>
          <w:tcPr>
            <w:tcW w:w="556" w:type="dxa"/>
            <w:vAlign w:val="center"/>
          </w:tcPr>
          <w:p w14:paraId="7FFE5A40">
            <w:pPr>
              <w:jc w:val="center"/>
              <w:rPr>
                <w:rFonts w:ascii="宋体" w:hAnsi="宋体"/>
                <w:color w:val="auto"/>
                <w:szCs w:val="21"/>
              </w:rPr>
            </w:pPr>
          </w:p>
        </w:tc>
        <w:tc>
          <w:tcPr>
            <w:tcW w:w="556" w:type="dxa"/>
            <w:vAlign w:val="center"/>
          </w:tcPr>
          <w:p w14:paraId="50CFC037">
            <w:pPr>
              <w:jc w:val="center"/>
              <w:rPr>
                <w:rFonts w:ascii="宋体" w:hAnsi="宋体"/>
                <w:color w:val="auto"/>
                <w:szCs w:val="21"/>
              </w:rPr>
            </w:pPr>
          </w:p>
        </w:tc>
        <w:tc>
          <w:tcPr>
            <w:tcW w:w="556" w:type="dxa"/>
            <w:vAlign w:val="center"/>
          </w:tcPr>
          <w:p w14:paraId="5B6405BA">
            <w:pPr>
              <w:jc w:val="center"/>
              <w:rPr>
                <w:rFonts w:ascii="宋体" w:hAnsi="宋体"/>
                <w:color w:val="auto"/>
                <w:szCs w:val="21"/>
              </w:rPr>
            </w:pPr>
          </w:p>
        </w:tc>
        <w:tc>
          <w:tcPr>
            <w:tcW w:w="555" w:type="dxa"/>
            <w:vAlign w:val="center"/>
          </w:tcPr>
          <w:p w14:paraId="19033F2A">
            <w:pPr>
              <w:jc w:val="center"/>
              <w:rPr>
                <w:rFonts w:ascii="宋体" w:hAnsi="宋体"/>
                <w:color w:val="auto"/>
                <w:szCs w:val="21"/>
              </w:rPr>
            </w:pPr>
          </w:p>
        </w:tc>
        <w:tc>
          <w:tcPr>
            <w:tcW w:w="556" w:type="dxa"/>
            <w:vAlign w:val="center"/>
          </w:tcPr>
          <w:p w14:paraId="056A9E9E">
            <w:pPr>
              <w:jc w:val="center"/>
              <w:rPr>
                <w:rFonts w:ascii="宋体" w:hAnsi="宋体"/>
                <w:color w:val="auto"/>
                <w:szCs w:val="21"/>
              </w:rPr>
            </w:pPr>
          </w:p>
        </w:tc>
        <w:tc>
          <w:tcPr>
            <w:tcW w:w="556" w:type="dxa"/>
            <w:vAlign w:val="center"/>
          </w:tcPr>
          <w:p w14:paraId="359C9272">
            <w:pPr>
              <w:jc w:val="center"/>
              <w:rPr>
                <w:rFonts w:ascii="宋体" w:hAnsi="宋体"/>
                <w:color w:val="auto"/>
                <w:szCs w:val="21"/>
              </w:rPr>
            </w:pPr>
          </w:p>
        </w:tc>
        <w:tc>
          <w:tcPr>
            <w:tcW w:w="556" w:type="dxa"/>
            <w:vAlign w:val="center"/>
          </w:tcPr>
          <w:p w14:paraId="22C0FCB5">
            <w:pPr>
              <w:jc w:val="center"/>
              <w:rPr>
                <w:rFonts w:ascii="宋体" w:hAnsi="宋体"/>
                <w:color w:val="auto"/>
                <w:szCs w:val="21"/>
              </w:rPr>
            </w:pPr>
          </w:p>
        </w:tc>
        <w:tc>
          <w:tcPr>
            <w:tcW w:w="556" w:type="dxa"/>
          </w:tcPr>
          <w:p w14:paraId="51EFB252">
            <w:pPr>
              <w:jc w:val="center"/>
              <w:rPr>
                <w:rFonts w:ascii="宋体" w:hAnsi="宋体"/>
                <w:color w:val="auto"/>
                <w:szCs w:val="21"/>
              </w:rPr>
            </w:pPr>
          </w:p>
        </w:tc>
        <w:tc>
          <w:tcPr>
            <w:tcW w:w="556" w:type="dxa"/>
          </w:tcPr>
          <w:p w14:paraId="79127187">
            <w:pPr>
              <w:jc w:val="center"/>
              <w:rPr>
                <w:rFonts w:ascii="宋体" w:hAnsi="宋体"/>
                <w:color w:val="auto"/>
                <w:szCs w:val="21"/>
              </w:rPr>
            </w:pPr>
          </w:p>
        </w:tc>
        <w:tc>
          <w:tcPr>
            <w:tcW w:w="556" w:type="dxa"/>
            <w:vAlign w:val="center"/>
          </w:tcPr>
          <w:p w14:paraId="1F1C0828">
            <w:pPr>
              <w:jc w:val="center"/>
              <w:rPr>
                <w:rFonts w:ascii="宋体" w:hAnsi="宋体"/>
                <w:color w:val="auto"/>
                <w:szCs w:val="21"/>
              </w:rPr>
            </w:pPr>
          </w:p>
        </w:tc>
        <w:tc>
          <w:tcPr>
            <w:tcW w:w="470" w:type="dxa"/>
            <w:vAlign w:val="center"/>
          </w:tcPr>
          <w:p w14:paraId="13DC417F">
            <w:pPr>
              <w:jc w:val="center"/>
              <w:rPr>
                <w:rFonts w:ascii="宋体" w:hAnsi="宋体"/>
                <w:color w:val="auto"/>
                <w:szCs w:val="21"/>
              </w:rPr>
            </w:pPr>
          </w:p>
        </w:tc>
        <w:tc>
          <w:tcPr>
            <w:tcW w:w="1198" w:type="dxa"/>
            <w:vAlign w:val="center"/>
          </w:tcPr>
          <w:p w14:paraId="18B3AA62">
            <w:pPr>
              <w:jc w:val="center"/>
              <w:rPr>
                <w:rFonts w:ascii="宋体" w:hAnsi="宋体"/>
                <w:color w:val="auto"/>
                <w:szCs w:val="21"/>
              </w:rPr>
            </w:pPr>
          </w:p>
        </w:tc>
      </w:tr>
      <w:tr w14:paraId="650C0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1EEDCF62">
            <w:pPr>
              <w:jc w:val="center"/>
              <w:rPr>
                <w:rFonts w:ascii="宋体" w:hAnsi="宋体"/>
                <w:color w:val="auto"/>
                <w:szCs w:val="21"/>
              </w:rPr>
            </w:pPr>
            <w:r>
              <w:rPr>
                <w:rFonts w:hint="eastAsia" w:ascii="宋体" w:hAnsi="宋体"/>
                <w:color w:val="auto"/>
                <w:szCs w:val="21"/>
              </w:rPr>
              <w:t>5</w:t>
            </w:r>
          </w:p>
        </w:tc>
        <w:tc>
          <w:tcPr>
            <w:tcW w:w="2204" w:type="dxa"/>
            <w:vAlign w:val="center"/>
          </w:tcPr>
          <w:p w14:paraId="75614226">
            <w:pPr>
              <w:jc w:val="center"/>
              <w:rPr>
                <w:rFonts w:ascii="宋体" w:hAnsi="宋体"/>
                <w:color w:val="auto"/>
                <w:szCs w:val="21"/>
              </w:rPr>
            </w:pPr>
          </w:p>
        </w:tc>
        <w:tc>
          <w:tcPr>
            <w:tcW w:w="555" w:type="dxa"/>
            <w:vAlign w:val="center"/>
          </w:tcPr>
          <w:p w14:paraId="76C36BC5">
            <w:pPr>
              <w:jc w:val="center"/>
              <w:rPr>
                <w:rFonts w:ascii="宋体" w:hAnsi="宋体"/>
                <w:color w:val="auto"/>
                <w:szCs w:val="21"/>
              </w:rPr>
            </w:pPr>
          </w:p>
        </w:tc>
        <w:tc>
          <w:tcPr>
            <w:tcW w:w="556" w:type="dxa"/>
            <w:vAlign w:val="center"/>
          </w:tcPr>
          <w:p w14:paraId="25B48134">
            <w:pPr>
              <w:jc w:val="center"/>
              <w:rPr>
                <w:rFonts w:ascii="宋体" w:hAnsi="宋体"/>
                <w:color w:val="auto"/>
                <w:szCs w:val="21"/>
              </w:rPr>
            </w:pPr>
          </w:p>
        </w:tc>
        <w:tc>
          <w:tcPr>
            <w:tcW w:w="556" w:type="dxa"/>
            <w:vAlign w:val="center"/>
          </w:tcPr>
          <w:p w14:paraId="4402811A">
            <w:pPr>
              <w:jc w:val="center"/>
              <w:rPr>
                <w:rFonts w:ascii="宋体" w:hAnsi="宋体"/>
                <w:color w:val="auto"/>
                <w:szCs w:val="21"/>
              </w:rPr>
            </w:pPr>
          </w:p>
        </w:tc>
        <w:tc>
          <w:tcPr>
            <w:tcW w:w="556" w:type="dxa"/>
            <w:vAlign w:val="center"/>
          </w:tcPr>
          <w:p w14:paraId="6EA4F834">
            <w:pPr>
              <w:jc w:val="center"/>
              <w:rPr>
                <w:rFonts w:ascii="宋体" w:hAnsi="宋体"/>
                <w:color w:val="auto"/>
                <w:szCs w:val="21"/>
              </w:rPr>
            </w:pPr>
          </w:p>
        </w:tc>
        <w:tc>
          <w:tcPr>
            <w:tcW w:w="556" w:type="dxa"/>
            <w:vAlign w:val="center"/>
          </w:tcPr>
          <w:p w14:paraId="58ECA19B">
            <w:pPr>
              <w:jc w:val="center"/>
              <w:rPr>
                <w:rFonts w:ascii="宋体" w:hAnsi="宋体"/>
                <w:color w:val="auto"/>
                <w:szCs w:val="21"/>
              </w:rPr>
            </w:pPr>
          </w:p>
        </w:tc>
        <w:tc>
          <w:tcPr>
            <w:tcW w:w="556" w:type="dxa"/>
            <w:vAlign w:val="center"/>
          </w:tcPr>
          <w:p w14:paraId="6DE2E4AA">
            <w:pPr>
              <w:jc w:val="center"/>
              <w:rPr>
                <w:rFonts w:ascii="宋体" w:hAnsi="宋体"/>
                <w:color w:val="auto"/>
                <w:szCs w:val="21"/>
              </w:rPr>
            </w:pPr>
          </w:p>
        </w:tc>
        <w:tc>
          <w:tcPr>
            <w:tcW w:w="556" w:type="dxa"/>
            <w:vAlign w:val="center"/>
          </w:tcPr>
          <w:p w14:paraId="1FFBF013">
            <w:pPr>
              <w:jc w:val="center"/>
              <w:rPr>
                <w:rFonts w:ascii="宋体" w:hAnsi="宋体"/>
                <w:color w:val="auto"/>
                <w:szCs w:val="21"/>
              </w:rPr>
            </w:pPr>
          </w:p>
        </w:tc>
        <w:tc>
          <w:tcPr>
            <w:tcW w:w="556" w:type="dxa"/>
            <w:vAlign w:val="center"/>
          </w:tcPr>
          <w:p w14:paraId="1A7E8F7C">
            <w:pPr>
              <w:jc w:val="center"/>
              <w:rPr>
                <w:rFonts w:ascii="宋体" w:hAnsi="宋体"/>
                <w:color w:val="auto"/>
                <w:szCs w:val="21"/>
              </w:rPr>
            </w:pPr>
          </w:p>
        </w:tc>
        <w:tc>
          <w:tcPr>
            <w:tcW w:w="556" w:type="dxa"/>
            <w:vAlign w:val="center"/>
          </w:tcPr>
          <w:p w14:paraId="1E86F9CA">
            <w:pPr>
              <w:jc w:val="center"/>
              <w:rPr>
                <w:rFonts w:ascii="宋体" w:hAnsi="宋体"/>
                <w:color w:val="auto"/>
                <w:szCs w:val="21"/>
              </w:rPr>
            </w:pPr>
          </w:p>
        </w:tc>
        <w:tc>
          <w:tcPr>
            <w:tcW w:w="556" w:type="dxa"/>
            <w:vAlign w:val="center"/>
          </w:tcPr>
          <w:p w14:paraId="534E1B3F">
            <w:pPr>
              <w:jc w:val="center"/>
              <w:rPr>
                <w:rFonts w:ascii="宋体" w:hAnsi="宋体"/>
                <w:color w:val="auto"/>
                <w:szCs w:val="21"/>
              </w:rPr>
            </w:pPr>
          </w:p>
        </w:tc>
        <w:tc>
          <w:tcPr>
            <w:tcW w:w="555" w:type="dxa"/>
            <w:vAlign w:val="center"/>
          </w:tcPr>
          <w:p w14:paraId="4DF76BC7">
            <w:pPr>
              <w:jc w:val="center"/>
              <w:rPr>
                <w:rFonts w:ascii="宋体" w:hAnsi="宋体"/>
                <w:color w:val="auto"/>
                <w:szCs w:val="21"/>
              </w:rPr>
            </w:pPr>
          </w:p>
        </w:tc>
        <w:tc>
          <w:tcPr>
            <w:tcW w:w="556" w:type="dxa"/>
            <w:vAlign w:val="center"/>
          </w:tcPr>
          <w:p w14:paraId="1827A1CD">
            <w:pPr>
              <w:jc w:val="center"/>
              <w:rPr>
                <w:rFonts w:ascii="宋体" w:hAnsi="宋体"/>
                <w:color w:val="auto"/>
                <w:szCs w:val="21"/>
              </w:rPr>
            </w:pPr>
          </w:p>
        </w:tc>
        <w:tc>
          <w:tcPr>
            <w:tcW w:w="556" w:type="dxa"/>
            <w:vAlign w:val="center"/>
          </w:tcPr>
          <w:p w14:paraId="6D00D553">
            <w:pPr>
              <w:jc w:val="center"/>
              <w:rPr>
                <w:rFonts w:ascii="宋体" w:hAnsi="宋体"/>
                <w:color w:val="auto"/>
                <w:szCs w:val="21"/>
              </w:rPr>
            </w:pPr>
          </w:p>
        </w:tc>
        <w:tc>
          <w:tcPr>
            <w:tcW w:w="556" w:type="dxa"/>
            <w:vAlign w:val="center"/>
          </w:tcPr>
          <w:p w14:paraId="2A375E94">
            <w:pPr>
              <w:jc w:val="center"/>
              <w:rPr>
                <w:rFonts w:ascii="宋体" w:hAnsi="宋体"/>
                <w:color w:val="auto"/>
                <w:szCs w:val="21"/>
              </w:rPr>
            </w:pPr>
          </w:p>
        </w:tc>
        <w:tc>
          <w:tcPr>
            <w:tcW w:w="556" w:type="dxa"/>
          </w:tcPr>
          <w:p w14:paraId="674D94EE">
            <w:pPr>
              <w:jc w:val="center"/>
              <w:rPr>
                <w:rFonts w:ascii="宋体" w:hAnsi="宋体"/>
                <w:color w:val="auto"/>
                <w:szCs w:val="21"/>
              </w:rPr>
            </w:pPr>
          </w:p>
        </w:tc>
        <w:tc>
          <w:tcPr>
            <w:tcW w:w="556" w:type="dxa"/>
          </w:tcPr>
          <w:p w14:paraId="49B961C5">
            <w:pPr>
              <w:jc w:val="center"/>
              <w:rPr>
                <w:rFonts w:ascii="宋体" w:hAnsi="宋体"/>
                <w:color w:val="auto"/>
                <w:szCs w:val="21"/>
              </w:rPr>
            </w:pPr>
          </w:p>
        </w:tc>
        <w:tc>
          <w:tcPr>
            <w:tcW w:w="556" w:type="dxa"/>
            <w:vAlign w:val="center"/>
          </w:tcPr>
          <w:p w14:paraId="2E8918C5">
            <w:pPr>
              <w:jc w:val="center"/>
              <w:rPr>
                <w:rFonts w:ascii="宋体" w:hAnsi="宋体"/>
                <w:color w:val="auto"/>
                <w:szCs w:val="21"/>
              </w:rPr>
            </w:pPr>
          </w:p>
        </w:tc>
        <w:tc>
          <w:tcPr>
            <w:tcW w:w="470" w:type="dxa"/>
            <w:vAlign w:val="center"/>
          </w:tcPr>
          <w:p w14:paraId="23C4F5A9">
            <w:pPr>
              <w:jc w:val="center"/>
              <w:rPr>
                <w:rFonts w:ascii="宋体" w:hAnsi="宋体"/>
                <w:color w:val="auto"/>
                <w:szCs w:val="21"/>
              </w:rPr>
            </w:pPr>
          </w:p>
        </w:tc>
        <w:tc>
          <w:tcPr>
            <w:tcW w:w="1198" w:type="dxa"/>
            <w:vAlign w:val="center"/>
          </w:tcPr>
          <w:p w14:paraId="4E139823">
            <w:pPr>
              <w:jc w:val="center"/>
              <w:rPr>
                <w:rFonts w:ascii="宋体" w:hAnsi="宋体"/>
                <w:color w:val="auto"/>
                <w:szCs w:val="21"/>
              </w:rPr>
            </w:pPr>
          </w:p>
        </w:tc>
      </w:tr>
      <w:tr w14:paraId="54136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1C1C3372">
            <w:pPr>
              <w:jc w:val="center"/>
              <w:rPr>
                <w:rFonts w:ascii="宋体" w:hAnsi="宋体"/>
                <w:color w:val="auto"/>
                <w:szCs w:val="21"/>
              </w:rPr>
            </w:pPr>
            <w:r>
              <w:rPr>
                <w:rFonts w:hint="eastAsia" w:ascii="黑体" w:hAnsi="黑体" w:eastAsia="黑体"/>
                <w:color w:val="auto"/>
                <w:szCs w:val="44"/>
              </w:rPr>
              <w:t>…</w:t>
            </w:r>
          </w:p>
        </w:tc>
        <w:tc>
          <w:tcPr>
            <w:tcW w:w="2204" w:type="dxa"/>
            <w:vAlign w:val="center"/>
          </w:tcPr>
          <w:p w14:paraId="27103F5A">
            <w:pPr>
              <w:jc w:val="center"/>
              <w:rPr>
                <w:rFonts w:ascii="宋体" w:hAnsi="宋体"/>
                <w:color w:val="auto"/>
                <w:szCs w:val="21"/>
              </w:rPr>
            </w:pPr>
          </w:p>
        </w:tc>
        <w:tc>
          <w:tcPr>
            <w:tcW w:w="555" w:type="dxa"/>
            <w:vAlign w:val="center"/>
          </w:tcPr>
          <w:p w14:paraId="51C4093C">
            <w:pPr>
              <w:jc w:val="center"/>
              <w:rPr>
                <w:rFonts w:ascii="宋体" w:hAnsi="宋体"/>
                <w:color w:val="auto"/>
                <w:szCs w:val="21"/>
              </w:rPr>
            </w:pPr>
          </w:p>
        </w:tc>
        <w:tc>
          <w:tcPr>
            <w:tcW w:w="556" w:type="dxa"/>
            <w:vAlign w:val="center"/>
          </w:tcPr>
          <w:p w14:paraId="736BAD94">
            <w:pPr>
              <w:jc w:val="center"/>
              <w:rPr>
                <w:rFonts w:ascii="宋体" w:hAnsi="宋体"/>
                <w:color w:val="auto"/>
                <w:szCs w:val="21"/>
              </w:rPr>
            </w:pPr>
          </w:p>
        </w:tc>
        <w:tc>
          <w:tcPr>
            <w:tcW w:w="556" w:type="dxa"/>
            <w:vAlign w:val="center"/>
          </w:tcPr>
          <w:p w14:paraId="1707B35A">
            <w:pPr>
              <w:jc w:val="center"/>
              <w:rPr>
                <w:rFonts w:ascii="宋体" w:hAnsi="宋体"/>
                <w:color w:val="auto"/>
                <w:szCs w:val="21"/>
              </w:rPr>
            </w:pPr>
          </w:p>
        </w:tc>
        <w:tc>
          <w:tcPr>
            <w:tcW w:w="556" w:type="dxa"/>
            <w:vAlign w:val="center"/>
          </w:tcPr>
          <w:p w14:paraId="2EB64418">
            <w:pPr>
              <w:jc w:val="center"/>
              <w:rPr>
                <w:rFonts w:ascii="宋体" w:hAnsi="宋体"/>
                <w:color w:val="auto"/>
                <w:szCs w:val="21"/>
              </w:rPr>
            </w:pPr>
          </w:p>
        </w:tc>
        <w:tc>
          <w:tcPr>
            <w:tcW w:w="556" w:type="dxa"/>
            <w:vAlign w:val="center"/>
          </w:tcPr>
          <w:p w14:paraId="592F102D">
            <w:pPr>
              <w:jc w:val="center"/>
              <w:rPr>
                <w:rFonts w:ascii="宋体" w:hAnsi="宋体"/>
                <w:color w:val="auto"/>
                <w:szCs w:val="21"/>
              </w:rPr>
            </w:pPr>
          </w:p>
        </w:tc>
        <w:tc>
          <w:tcPr>
            <w:tcW w:w="556" w:type="dxa"/>
            <w:vAlign w:val="center"/>
          </w:tcPr>
          <w:p w14:paraId="4D9B5328">
            <w:pPr>
              <w:jc w:val="center"/>
              <w:rPr>
                <w:rFonts w:ascii="宋体" w:hAnsi="宋体"/>
                <w:color w:val="auto"/>
                <w:szCs w:val="21"/>
              </w:rPr>
            </w:pPr>
          </w:p>
        </w:tc>
        <w:tc>
          <w:tcPr>
            <w:tcW w:w="556" w:type="dxa"/>
            <w:vAlign w:val="center"/>
          </w:tcPr>
          <w:p w14:paraId="5928B699">
            <w:pPr>
              <w:jc w:val="center"/>
              <w:rPr>
                <w:rFonts w:ascii="宋体" w:hAnsi="宋体"/>
                <w:color w:val="auto"/>
                <w:szCs w:val="21"/>
              </w:rPr>
            </w:pPr>
          </w:p>
        </w:tc>
        <w:tc>
          <w:tcPr>
            <w:tcW w:w="556" w:type="dxa"/>
            <w:vAlign w:val="center"/>
          </w:tcPr>
          <w:p w14:paraId="0B274B91">
            <w:pPr>
              <w:jc w:val="center"/>
              <w:rPr>
                <w:rFonts w:ascii="宋体" w:hAnsi="宋体"/>
                <w:color w:val="auto"/>
                <w:szCs w:val="21"/>
              </w:rPr>
            </w:pPr>
          </w:p>
        </w:tc>
        <w:tc>
          <w:tcPr>
            <w:tcW w:w="556" w:type="dxa"/>
            <w:vAlign w:val="center"/>
          </w:tcPr>
          <w:p w14:paraId="5D64837C">
            <w:pPr>
              <w:jc w:val="center"/>
              <w:rPr>
                <w:rFonts w:ascii="宋体" w:hAnsi="宋体"/>
                <w:color w:val="auto"/>
                <w:szCs w:val="21"/>
              </w:rPr>
            </w:pPr>
          </w:p>
        </w:tc>
        <w:tc>
          <w:tcPr>
            <w:tcW w:w="556" w:type="dxa"/>
            <w:vAlign w:val="center"/>
          </w:tcPr>
          <w:p w14:paraId="43D1B9D4">
            <w:pPr>
              <w:jc w:val="center"/>
              <w:rPr>
                <w:rFonts w:ascii="宋体" w:hAnsi="宋体"/>
                <w:color w:val="auto"/>
                <w:szCs w:val="21"/>
              </w:rPr>
            </w:pPr>
          </w:p>
        </w:tc>
        <w:tc>
          <w:tcPr>
            <w:tcW w:w="555" w:type="dxa"/>
            <w:vAlign w:val="center"/>
          </w:tcPr>
          <w:p w14:paraId="2BFAD090">
            <w:pPr>
              <w:jc w:val="center"/>
              <w:rPr>
                <w:rFonts w:ascii="宋体" w:hAnsi="宋体"/>
                <w:color w:val="auto"/>
                <w:szCs w:val="21"/>
              </w:rPr>
            </w:pPr>
          </w:p>
        </w:tc>
        <w:tc>
          <w:tcPr>
            <w:tcW w:w="556" w:type="dxa"/>
            <w:vAlign w:val="center"/>
          </w:tcPr>
          <w:p w14:paraId="3370F1FC">
            <w:pPr>
              <w:jc w:val="center"/>
              <w:rPr>
                <w:rFonts w:ascii="宋体" w:hAnsi="宋体"/>
                <w:color w:val="auto"/>
                <w:szCs w:val="21"/>
              </w:rPr>
            </w:pPr>
          </w:p>
        </w:tc>
        <w:tc>
          <w:tcPr>
            <w:tcW w:w="556" w:type="dxa"/>
            <w:vAlign w:val="center"/>
          </w:tcPr>
          <w:p w14:paraId="13F6E2E1">
            <w:pPr>
              <w:jc w:val="center"/>
              <w:rPr>
                <w:rFonts w:ascii="宋体" w:hAnsi="宋体"/>
                <w:color w:val="auto"/>
                <w:szCs w:val="21"/>
              </w:rPr>
            </w:pPr>
          </w:p>
        </w:tc>
        <w:tc>
          <w:tcPr>
            <w:tcW w:w="556" w:type="dxa"/>
            <w:vAlign w:val="center"/>
          </w:tcPr>
          <w:p w14:paraId="16D0685D">
            <w:pPr>
              <w:jc w:val="center"/>
              <w:rPr>
                <w:rFonts w:ascii="宋体" w:hAnsi="宋体"/>
                <w:color w:val="auto"/>
                <w:szCs w:val="21"/>
              </w:rPr>
            </w:pPr>
          </w:p>
        </w:tc>
        <w:tc>
          <w:tcPr>
            <w:tcW w:w="556" w:type="dxa"/>
          </w:tcPr>
          <w:p w14:paraId="718642A1">
            <w:pPr>
              <w:jc w:val="center"/>
              <w:rPr>
                <w:rFonts w:ascii="宋体" w:hAnsi="宋体"/>
                <w:color w:val="auto"/>
                <w:szCs w:val="21"/>
              </w:rPr>
            </w:pPr>
          </w:p>
        </w:tc>
        <w:tc>
          <w:tcPr>
            <w:tcW w:w="556" w:type="dxa"/>
          </w:tcPr>
          <w:p w14:paraId="78368854">
            <w:pPr>
              <w:jc w:val="center"/>
              <w:rPr>
                <w:rFonts w:ascii="宋体" w:hAnsi="宋体"/>
                <w:color w:val="auto"/>
                <w:szCs w:val="21"/>
              </w:rPr>
            </w:pPr>
          </w:p>
        </w:tc>
        <w:tc>
          <w:tcPr>
            <w:tcW w:w="556" w:type="dxa"/>
            <w:vAlign w:val="center"/>
          </w:tcPr>
          <w:p w14:paraId="06555414">
            <w:pPr>
              <w:jc w:val="center"/>
              <w:rPr>
                <w:rFonts w:ascii="宋体" w:hAnsi="宋体"/>
                <w:color w:val="auto"/>
                <w:szCs w:val="21"/>
              </w:rPr>
            </w:pPr>
          </w:p>
        </w:tc>
        <w:tc>
          <w:tcPr>
            <w:tcW w:w="470" w:type="dxa"/>
            <w:vAlign w:val="center"/>
          </w:tcPr>
          <w:p w14:paraId="2FB659EA">
            <w:pPr>
              <w:jc w:val="center"/>
              <w:rPr>
                <w:rFonts w:ascii="宋体" w:hAnsi="宋体"/>
                <w:color w:val="auto"/>
                <w:szCs w:val="21"/>
              </w:rPr>
            </w:pPr>
          </w:p>
        </w:tc>
        <w:tc>
          <w:tcPr>
            <w:tcW w:w="1198" w:type="dxa"/>
            <w:vAlign w:val="center"/>
          </w:tcPr>
          <w:p w14:paraId="5A47654D">
            <w:pPr>
              <w:jc w:val="center"/>
              <w:rPr>
                <w:rFonts w:ascii="宋体" w:hAnsi="宋体"/>
                <w:color w:val="auto"/>
                <w:szCs w:val="21"/>
              </w:rPr>
            </w:pPr>
          </w:p>
        </w:tc>
      </w:tr>
    </w:tbl>
    <w:p w14:paraId="018BB2E2">
      <w:pPr>
        <w:rPr>
          <w:color w:val="auto"/>
        </w:rPr>
      </w:pPr>
    </w:p>
    <w:p w14:paraId="19C58BE8">
      <w:pPr>
        <w:rPr>
          <w:color w:val="auto"/>
        </w:rPr>
      </w:pPr>
      <w:r>
        <w:rPr>
          <w:rFonts w:hint="eastAsia"/>
          <w:color w:val="auto"/>
        </w:rPr>
        <w:t>技术标评委签名：</w:t>
      </w:r>
      <w:r>
        <w:rPr>
          <w:rFonts w:hint="eastAsia" w:ascii="宋体" w:hAnsi="宋体"/>
          <w:color w:val="auto"/>
          <w:szCs w:val="44"/>
        </w:rPr>
        <w:t xml:space="preserve"> </w:t>
      </w:r>
      <w:r>
        <w:rPr>
          <w:rFonts w:hint="eastAsia"/>
          <w:color w:val="auto"/>
        </w:rPr>
        <w:t xml:space="preserve">              </w:t>
      </w:r>
      <w:r>
        <w:rPr>
          <w:color w:val="auto"/>
        </w:rPr>
        <w:t xml:space="preserve">                                                                       </w:t>
      </w:r>
      <w:r>
        <w:rPr>
          <w:rFonts w:hint="eastAsia"/>
          <w:color w:val="auto"/>
        </w:rPr>
        <w:t xml:space="preserve"> 日期：      年    月   日</w:t>
      </w:r>
      <w:bookmarkEnd w:id="696"/>
    </w:p>
    <w:p w14:paraId="78585471">
      <w:pPr>
        <w:rPr>
          <w:color w:val="auto"/>
        </w:rPr>
      </w:pPr>
      <w:r>
        <w:rPr>
          <w:color w:val="auto"/>
        </w:rPr>
        <w:br w:type="page"/>
      </w:r>
    </w:p>
    <w:p w14:paraId="6BAE1A31">
      <w:pPr>
        <w:pStyle w:val="27"/>
        <w:rPr>
          <w:rFonts w:ascii="黑体"/>
          <w:color w:val="auto"/>
        </w:rPr>
      </w:pPr>
      <w:bookmarkStart w:id="697" w:name="_Toc165804459"/>
      <w:bookmarkStart w:id="698" w:name="_Toc27132"/>
      <w:r>
        <w:rPr>
          <w:rFonts w:hint="eastAsia"/>
          <w:color w:val="auto"/>
        </w:rPr>
        <w:t>附表A-1</w:t>
      </w:r>
      <w:r>
        <w:rPr>
          <w:color w:val="auto"/>
        </w:rPr>
        <w:t>3</w:t>
      </w:r>
      <w:r>
        <w:rPr>
          <w:rFonts w:hint="eastAsia"/>
          <w:color w:val="auto"/>
        </w:rPr>
        <w:t>：</w:t>
      </w:r>
      <w:r>
        <w:rPr>
          <w:rFonts w:hint="eastAsia" w:ascii="宋体" w:hAnsi="宋体"/>
          <w:color w:val="auto"/>
          <w:szCs w:val="21"/>
        </w:rPr>
        <w:t>资信标</w:t>
      </w:r>
      <w:r>
        <w:rPr>
          <w:rFonts w:hint="eastAsia"/>
          <w:color w:val="auto"/>
        </w:rPr>
        <w:t>评审记录表</w:t>
      </w:r>
      <w:bookmarkEnd w:id="697"/>
      <w:bookmarkEnd w:id="698"/>
    </w:p>
    <w:p w14:paraId="477BAC5A">
      <w:pPr>
        <w:adjustRightInd w:val="0"/>
        <w:snapToGrid w:val="0"/>
        <w:spacing w:before="240" w:beforeLines="100" w:after="240" w:afterLines="100" w:line="440" w:lineRule="exact"/>
        <w:jc w:val="center"/>
        <w:rPr>
          <w:rFonts w:ascii="黑体" w:hAnsi="黑体" w:eastAsia="黑体"/>
          <w:color w:val="auto"/>
          <w:sz w:val="36"/>
          <w:szCs w:val="36"/>
        </w:rPr>
      </w:pPr>
      <w:r>
        <w:rPr>
          <w:rFonts w:hint="eastAsia" w:ascii="黑体" w:hAnsi="黑体" w:eastAsia="黑体"/>
          <w:color w:val="auto"/>
          <w:sz w:val="36"/>
          <w:szCs w:val="36"/>
        </w:rPr>
        <w:t>资信标评审记录表</w:t>
      </w:r>
    </w:p>
    <w:p w14:paraId="0412943A">
      <w:pPr>
        <w:rPr>
          <w:rFonts w:ascii="宋体" w:hAnsi="宋体"/>
          <w:color w:val="auto"/>
          <w:szCs w:val="44"/>
        </w:rPr>
      </w:pPr>
      <w:bookmarkStart w:id="699" w:name="_Hlk150332985"/>
      <w:r>
        <w:rPr>
          <w:rFonts w:hint="eastAsia" w:ascii="宋体" w:hAnsi="宋体"/>
          <w:color w:val="auto"/>
          <w:szCs w:val="44"/>
        </w:rPr>
        <w:t>标段名称：</w:t>
      </w:r>
    </w:p>
    <w:p w14:paraId="14BA874F">
      <w:pPr>
        <w:rPr>
          <w:color w:val="auto"/>
          <w:szCs w:val="44"/>
        </w:rPr>
      </w:pPr>
      <w:r>
        <w:rPr>
          <w:rFonts w:hint="eastAsia"/>
          <w:color w:val="auto"/>
          <w:szCs w:val="44"/>
        </w:rPr>
        <w:t>标段唯一标识码：</w:t>
      </w:r>
    </w:p>
    <w:tbl>
      <w:tblPr>
        <w:tblStyle w:val="18"/>
        <w:tblW w:w="13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2"/>
        <w:gridCol w:w="1811"/>
        <w:gridCol w:w="1356"/>
        <w:gridCol w:w="1357"/>
        <w:gridCol w:w="1357"/>
        <w:gridCol w:w="1356"/>
        <w:gridCol w:w="1357"/>
        <w:gridCol w:w="1357"/>
        <w:gridCol w:w="1364"/>
        <w:gridCol w:w="1793"/>
      </w:tblGrid>
      <w:tr w14:paraId="08C8B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792" w:type="dxa"/>
            <w:vMerge w:val="restart"/>
            <w:vAlign w:val="center"/>
          </w:tcPr>
          <w:p w14:paraId="757872E0">
            <w:pPr>
              <w:jc w:val="center"/>
              <w:rPr>
                <w:rFonts w:ascii="宋体" w:hAnsi="宋体"/>
                <w:b/>
                <w:bCs/>
                <w:color w:val="auto"/>
                <w:szCs w:val="44"/>
              </w:rPr>
            </w:pPr>
            <w:r>
              <w:rPr>
                <w:rFonts w:hint="eastAsia" w:ascii="宋体" w:hAnsi="宋体"/>
                <w:b/>
                <w:bCs/>
                <w:color w:val="auto"/>
                <w:szCs w:val="44"/>
              </w:rPr>
              <w:t>序号</w:t>
            </w:r>
          </w:p>
        </w:tc>
        <w:tc>
          <w:tcPr>
            <w:tcW w:w="1811" w:type="dxa"/>
            <w:vMerge w:val="restart"/>
            <w:vAlign w:val="center"/>
          </w:tcPr>
          <w:p w14:paraId="045723A9">
            <w:pPr>
              <w:jc w:val="center"/>
              <w:rPr>
                <w:rFonts w:ascii="宋体" w:hAnsi="宋体"/>
                <w:b/>
                <w:bCs/>
                <w:color w:val="auto"/>
                <w:szCs w:val="44"/>
              </w:rPr>
            </w:pPr>
            <w:r>
              <w:rPr>
                <w:rFonts w:hint="eastAsia" w:ascii="宋体" w:hAnsi="宋体"/>
                <w:b/>
                <w:bCs/>
                <w:color w:val="auto"/>
                <w:szCs w:val="44"/>
              </w:rPr>
              <w:t>投标人名称</w:t>
            </w:r>
          </w:p>
        </w:tc>
        <w:tc>
          <w:tcPr>
            <w:tcW w:w="9504" w:type="dxa"/>
            <w:gridSpan w:val="7"/>
            <w:vAlign w:val="center"/>
          </w:tcPr>
          <w:p w14:paraId="547065B2">
            <w:pPr>
              <w:jc w:val="center"/>
              <w:rPr>
                <w:rFonts w:ascii="宋体" w:hAnsi="宋体"/>
                <w:b/>
                <w:bCs/>
                <w:color w:val="auto"/>
                <w:szCs w:val="44"/>
              </w:rPr>
            </w:pPr>
            <w:r>
              <w:rPr>
                <w:rFonts w:hint="eastAsia" w:ascii="宋体" w:hAnsi="宋体"/>
                <w:b/>
                <w:bCs/>
                <w:color w:val="auto"/>
                <w:szCs w:val="44"/>
              </w:rPr>
              <w:t>评委姓名及得分</w:t>
            </w:r>
          </w:p>
        </w:tc>
        <w:tc>
          <w:tcPr>
            <w:tcW w:w="1793" w:type="dxa"/>
            <w:vMerge w:val="restart"/>
            <w:vAlign w:val="center"/>
          </w:tcPr>
          <w:p w14:paraId="10C355E0">
            <w:pPr>
              <w:jc w:val="center"/>
              <w:rPr>
                <w:rFonts w:ascii="宋体" w:hAnsi="宋体"/>
                <w:b/>
                <w:bCs/>
                <w:color w:val="auto"/>
                <w:szCs w:val="44"/>
              </w:rPr>
            </w:pPr>
            <w:r>
              <w:rPr>
                <w:rFonts w:hint="eastAsia" w:ascii="宋体" w:hAnsi="宋体"/>
                <w:b/>
                <w:bCs/>
                <w:color w:val="auto"/>
                <w:szCs w:val="44"/>
              </w:rPr>
              <w:t>资信标最终得分</w:t>
            </w:r>
          </w:p>
        </w:tc>
      </w:tr>
      <w:tr w14:paraId="6B8A5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792" w:type="dxa"/>
            <w:vMerge w:val="continue"/>
            <w:vAlign w:val="center"/>
          </w:tcPr>
          <w:p w14:paraId="67F01177">
            <w:pPr>
              <w:jc w:val="center"/>
              <w:rPr>
                <w:rFonts w:ascii="宋体" w:hAnsi="宋体"/>
                <w:b/>
                <w:bCs/>
                <w:color w:val="auto"/>
                <w:szCs w:val="44"/>
              </w:rPr>
            </w:pPr>
          </w:p>
        </w:tc>
        <w:tc>
          <w:tcPr>
            <w:tcW w:w="1811" w:type="dxa"/>
            <w:vMerge w:val="continue"/>
          </w:tcPr>
          <w:p w14:paraId="10126836">
            <w:pPr>
              <w:jc w:val="center"/>
              <w:rPr>
                <w:rFonts w:ascii="宋体" w:hAnsi="宋体"/>
                <w:b/>
                <w:bCs/>
                <w:color w:val="auto"/>
                <w:szCs w:val="44"/>
              </w:rPr>
            </w:pPr>
          </w:p>
        </w:tc>
        <w:tc>
          <w:tcPr>
            <w:tcW w:w="1356" w:type="dxa"/>
            <w:vAlign w:val="center"/>
          </w:tcPr>
          <w:p w14:paraId="4D1B6B62">
            <w:pPr>
              <w:jc w:val="center"/>
              <w:rPr>
                <w:rFonts w:ascii="宋体" w:hAnsi="宋体"/>
                <w:b/>
                <w:bCs/>
                <w:color w:val="auto"/>
                <w:szCs w:val="44"/>
              </w:rPr>
            </w:pPr>
            <w:r>
              <w:rPr>
                <w:rFonts w:hint="eastAsia" w:ascii="宋体" w:hAnsi="宋体"/>
                <w:b/>
                <w:bCs/>
                <w:color w:val="auto"/>
                <w:szCs w:val="44"/>
              </w:rPr>
              <w:t>评委1</w:t>
            </w:r>
          </w:p>
        </w:tc>
        <w:tc>
          <w:tcPr>
            <w:tcW w:w="1357" w:type="dxa"/>
            <w:vAlign w:val="center"/>
          </w:tcPr>
          <w:p w14:paraId="620623BE">
            <w:pPr>
              <w:jc w:val="center"/>
              <w:rPr>
                <w:rFonts w:ascii="宋体" w:hAnsi="宋体"/>
                <w:b/>
                <w:bCs/>
                <w:color w:val="auto"/>
                <w:szCs w:val="44"/>
              </w:rPr>
            </w:pPr>
            <w:r>
              <w:rPr>
                <w:rFonts w:hint="eastAsia" w:ascii="宋体" w:hAnsi="宋体"/>
                <w:b/>
                <w:bCs/>
                <w:color w:val="auto"/>
                <w:szCs w:val="44"/>
              </w:rPr>
              <w:t>评委</w:t>
            </w:r>
            <w:r>
              <w:rPr>
                <w:rFonts w:ascii="宋体" w:hAnsi="宋体"/>
                <w:b/>
                <w:bCs/>
                <w:color w:val="auto"/>
                <w:szCs w:val="44"/>
              </w:rPr>
              <w:t>2</w:t>
            </w:r>
          </w:p>
        </w:tc>
        <w:tc>
          <w:tcPr>
            <w:tcW w:w="1357" w:type="dxa"/>
            <w:vAlign w:val="center"/>
          </w:tcPr>
          <w:p w14:paraId="751ADE05">
            <w:pPr>
              <w:jc w:val="center"/>
              <w:rPr>
                <w:rFonts w:ascii="宋体" w:hAnsi="宋体"/>
                <w:b/>
                <w:bCs/>
                <w:color w:val="auto"/>
                <w:szCs w:val="44"/>
              </w:rPr>
            </w:pPr>
            <w:r>
              <w:rPr>
                <w:rFonts w:ascii="宋体" w:hAnsi="宋体"/>
                <w:b/>
                <w:bCs/>
                <w:color w:val="auto"/>
                <w:szCs w:val="44"/>
              </w:rPr>
              <w:t>……</w:t>
            </w:r>
          </w:p>
        </w:tc>
        <w:tc>
          <w:tcPr>
            <w:tcW w:w="1356" w:type="dxa"/>
            <w:vAlign w:val="center"/>
          </w:tcPr>
          <w:p w14:paraId="7E5A1C75">
            <w:pPr>
              <w:jc w:val="center"/>
              <w:rPr>
                <w:rFonts w:ascii="宋体" w:hAnsi="宋体"/>
                <w:b/>
                <w:bCs/>
                <w:color w:val="auto"/>
                <w:szCs w:val="44"/>
              </w:rPr>
            </w:pPr>
          </w:p>
        </w:tc>
        <w:tc>
          <w:tcPr>
            <w:tcW w:w="1357" w:type="dxa"/>
            <w:vAlign w:val="center"/>
          </w:tcPr>
          <w:p w14:paraId="1F7F9751">
            <w:pPr>
              <w:jc w:val="center"/>
              <w:rPr>
                <w:rFonts w:ascii="宋体" w:hAnsi="宋体"/>
                <w:b/>
                <w:bCs/>
                <w:color w:val="auto"/>
                <w:szCs w:val="44"/>
              </w:rPr>
            </w:pPr>
          </w:p>
        </w:tc>
        <w:tc>
          <w:tcPr>
            <w:tcW w:w="1357" w:type="dxa"/>
            <w:vAlign w:val="center"/>
          </w:tcPr>
          <w:p w14:paraId="1578B9B3">
            <w:pPr>
              <w:jc w:val="center"/>
              <w:rPr>
                <w:rFonts w:ascii="宋体" w:hAnsi="宋体"/>
                <w:b/>
                <w:bCs/>
                <w:color w:val="auto"/>
                <w:szCs w:val="44"/>
              </w:rPr>
            </w:pPr>
          </w:p>
        </w:tc>
        <w:tc>
          <w:tcPr>
            <w:tcW w:w="1364" w:type="dxa"/>
            <w:vAlign w:val="center"/>
          </w:tcPr>
          <w:p w14:paraId="67F14184">
            <w:pPr>
              <w:jc w:val="center"/>
              <w:rPr>
                <w:rFonts w:ascii="宋体" w:hAnsi="宋体"/>
                <w:b/>
                <w:bCs/>
                <w:color w:val="auto"/>
                <w:szCs w:val="44"/>
              </w:rPr>
            </w:pPr>
          </w:p>
        </w:tc>
        <w:tc>
          <w:tcPr>
            <w:tcW w:w="1793" w:type="dxa"/>
            <w:vMerge w:val="continue"/>
            <w:vAlign w:val="center"/>
          </w:tcPr>
          <w:p w14:paraId="00F175A1">
            <w:pPr>
              <w:jc w:val="center"/>
              <w:rPr>
                <w:rFonts w:ascii="宋体" w:hAnsi="宋体"/>
                <w:b/>
                <w:bCs/>
                <w:color w:val="auto"/>
                <w:szCs w:val="44"/>
              </w:rPr>
            </w:pPr>
          </w:p>
        </w:tc>
      </w:tr>
      <w:tr w14:paraId="0D798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7B4426B2">
            <w:pPr>
              <w:jc w:val="center"/>
              <w:rPr>
                <w:rFonts w:ascii="宋体" w:hAnsi="宋体"/>
                <w:color w:val="auto"/>
                <w:szCs w:val="44"/>
              </w:rPr>
            </w:pPr>
            <w:r>
              <w:rPr>
                <w:rFonts w:hint="eastAsia" w:ascii="宋体" w:hAnsi="宋体"/>
                <w:color w:val="auto"/>
                <w:szCs w:val="44"/>
              </w:rPr>
              <w:t>1</w:t>
            </w:r>
          </w:p>
        </w:tc>
        <w:tc>
          <w:tcPr>
            <w:tcW w:w="1811" w:type="dxa"/>
            <w:vAlign w:val="center"/>
          </w:tcPr>
          <w:p w14:paraId="6D3CD5F3">
            <w:pPr>
              <w:jc w:val="center"/>
              <w:rPr>
                <w:rFonts w:ascii="宋体" w:hAnsi="宋体"/>
                <w:color w:val="auto"/>
                <w:szCs w:val="21"/>
              </w:rPr>
            </w:pPr>
          </w:p>
        </w:tc>
        <w:tc>
          <w:tcPr>
            <w:tcW w:w="1356" w:type="dxa"/>
            <w:vAlign w:val="center"/>
          </w:tcPr>
          <w:p w14:paraId="018C8632">
            <w:pPr>
              <w:rPr>
                <w:rFonts w:ascii="宋体" w:hAnsi="宋体"/>
                <w:color w:val="auto"/>
                <w:szCs w:val="21"/>
              </w:rPr>
            </w:pPr>
          </w:p>
        </w:tc>
        <w:tc>
          <w:tcPr>
            <w:tcW w:w="1357" w:type="dxa"/>
            <w:vAlign w:val="center"/>
          </w:tcPr>
          <w:p w14:paraId="2D9E9D7F">
            <w:pPr>
              <w:jc w:val="center"/>
              <w:rPr>
                <w:rFonts w:ascii="宋体" w:hAnsi="宋体"/>
                <w:color w:val="auto"/>
                <w:szCs w:val="44"/>
              </w:rPr>
            </w:pPr>
          </w:p>
        </w:tc>
        <w:tc>
          <w:tcPr>
            <w:tcW w:w="1357" w:type="dxa"/>
            <w:vAlign w:val="center"/>
          </w:tcPr>
          <w:p w14:paraId="748300FA">
            <w:pPr>
              <w:jc w:val="center"/>
              <w:rPr>
                <w:rFonts w:ascii="宋体" w:hAnsi="宋体"/>
                <w:color w:val="auto"/>
                <w:szCs w:val="44"/>
              </w:rPr>
            </w:pPr>
          </w:p>
        </w:tc>
        <w:tc>
          <w:tcPr>
            <w:tcW w:w="1356" w:type="dxa"/>
            <w:vAlign w:val="center"/>
          </w:tcPr>
          <w:p w14:paraId="3958831F">
            <w:pPr>
              <w:jc w:val="center"/>
              <w:rPr>
                <w:rFonts w:ascii="宋体" w:hAnsi="宋体"/>
                <w:color w:val="auto"/>
                <w:szCs w:val="44"/>
              </w:rPr>
            </w:pPr>
          </w:p>
        </w:tc>
        <w:tc>
          <w:tcPr>
            <w:tcW w:w="1357" w:type="dxa"/>
            <w:vAlign w:val="center"/>
          </w:tcPr>
          <w:p w14:paraId="13352F1A">
            <w:pPr>
              <w:jc w:val="center"/>
              <w:rPr>
                <w:rFonts w:ascii="宋体" w:hAnsi="宋体"/>
                <w:color w:val="auto"/>
                <w:szCs w:val="44"/>
              </w:rPr>
            </w:pPr>
          </w:p>
        </w:tc>
        <w:tc>
          <w:tcPr>
            <w:tcW w:w="1357" w:type="dxa"/>
            <w:vAlign w:val="center"/>
          </w:tcPr>
          <w:p w14:paraId="7E1B32D9">
            <w:pPr>
              <w:jc w:val="center"/>
              <w:rPr>
                <w:rFonts w:ascii="宋体" w:hAnsi="宋体"/>
                <w:color w:val="auto"/>
                <w:szCs w:val="44"/>
              </w:rPr>
            </w:pPr>
          </w:p>
        </w:tc>
        <w:tc>
          <w:tcPr>
            <w:tcW w:w="1364" w:type="dxa"/>
            <w:vAlign w:val="center"/>
          </w:tcPr>
          <w:p w14:paraId="11567341">
            <w:pPr>
              <w:jc w:val="center"/>
              <w:rPr>
                <w:rFonts w:ascii="宋体" w:hAnsi="宋体"/>
                <w:color w:val="auto"/>
                <w:szCs w:val="44"/>
              </w:rPr>
            </w:pPr>
          </w:p>
        </w:tc>
        <w:tc>
          <w:tcPr>
            <w:tcW w:w="1793" w:type="dxa"/>
            <w:vAlign w:val="center"/>
          </w:tcPr>
          <w:p w14:paraId="4D5AAF1C">
            <w:pPr>
              <w:jc w:val="center"/>
              <w:rPr>
                <w:rFonts w:ascii="宋体" w:hAnsi="宋体"/>
                <w:color w:val="auto"/>
                <w:szCs w:val="44"/>
              </w:rPr>
            </w:pPr>
          </w:p>
        </w:tc>
      </w:tr>
      <w:tr w14:paraId="779F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2BD3F37F">
            <w:pPr>
              <w:jc w:val="center"/>
              <w:rPr>
                <w:rFonts w:ascii="宋体" w:hAnsi="宋体"/>
                <w:color w:val="auto"/>
                <w:szCs w:val="44"/>
              </w:rPr>
            </w:pPr>
            <w:r>
              <w:rPr>
                <w:rFonts w:hint="eastAsia" w:ascii="宋体" w:hAnsi="宋体"/>
                <w:color w:val="auto"/>
                <w:szCs w:val="44"/>
              </w:rPr>
              <w:t>2</w:t>
            </w:r>
          </w:p>
        </w:tc>
        <w:tc>
          <w:tcPr>
            <w:tcW w:w="1811" w:type="dxa"/>
            <w:vAlign w:val="center"/>
          </w:tcPr>
          <w:p w14:paraId="5672ACFB">
            <w:pPr>
              <w:jc w:val="center"/>
              <w:rPr>
                <w:rFonts w:ascii="宋体" w:hAnsi="宋体"/>
                <w:color w:val="auto"/>
                <w:szCs w:val="44"/>
              </w:rPr>
            </w:pPr>
          </w:p>
        </w:tc>
        <w:tc>
          <w:tcPr>
            <w:tcW w:w="1356" w:type="dxa"/>
            <w:vAlign w:val="center"/>
          </w:tcPr>
          <w:p w14:paraId="4451BC8C">
            <w:pPr>
              <w:jc w:val="center"/>
              <w:rPr>
                <w:color w:val="auto"/>
              </w:rPr>
            </w:pPr>
          </w:p>
        </w:tc>
        <w:tc>
          <w:tcPr>
            <w:tcW w:w="1357" w:type="dxa"/>
            <w:vAlign w:val="center"/>
          </w:tcPr>
          <w:p w14:paraId="61F8125A">
            <w:pPr>
              <w:jc w:val="center"/>
              <w:rPr>
                <w:rFonts w:ascii="宋体" w:hAnsi="宋体"/>
                <w:color w:val="auto"/>
                <w:szCs w:val="44"/>
              </w:rPr>
            </w:pPr>
          </w:p>
        </w:tc>
        <w:tc>
          <w:tcPr>
            <w:tcW w:w="1357" w:type="dxa"/>
            <w:vAlign w:val="center"/>
          </w:tcPr>
          <w:p w14:paraId="19CDE74C">
            <w:pPr>
              <w:jc w:val="center"/>
              <w:rPr>
                <w:rFonts w:ascii="宋体" w:hAnsi="宋体"/>
                <w:color w:val="auto"/>
                <w:szCs w:val="44"/>
              </w:rPr>
            </w:pPr>
          </w:p>
        </w:tc>
        <w:tc>
          <w:tcPr>
            <w:tcW w:w="1356" w:type="dxa"/>
            <w:vAlign w:val="center"/>
          </w:tcPr>
          <w:p w14:paraId="0D7FFDE9">
            <w:pPr>
              <w:jc w:val="center"/>
              <w:rPr>
                <w:rFonts w:ascii="宋体" w:hAnsi="宋体"/>
                <w:color w:val="auto"/>
                <w:szCs w:val="44"/>
              </w:rPr>
            </w:pPr>
          </w:p>
        </w:tc>
        <w:tc>
          <w:tcPr>
            <w:tcW w:w="1357" w:type="dxa"/>
            <w:vAlign w:val="center"/>
          </w:tcPr>
          <w:p w14:paraId="6FDEC902">
            <w:pPr>
              <w:jc w:val="center"/>
              <w:rPr>
                <w:rFonts w:ascii="宋体" w:hAnsi="宋体"/>
                <w:color w:val="auto"/>
                <w:szCs w:val="44"/>
              </w:rPr>
            </w:pPr>
          </w:p>
        </w:tc>
        <w:tc>
          <w:tcPr>
            <w:tcW w:w="1357" w:type="dxa"/>
            <w:vAlign w:val="center"/>
          </w:tcPr>
          <w:p w14:paraId="42BEC853">
            <w:pPr>
              <w:jc w:val="center"/>
              <w:rPr>
                <w:rFonts w:ascii="宋体" w:hAnsi="宋体"/>
                <w:color w:val="auto"/>
                <w:szCs w:val="44"/>
              </w:rPr>
            </w:pPr>
          </w:p>
        </w:tc>
        <w:tc>
          <w:tcPr>
            <w:tcW w:w="1364" w:type="dxa"/>
            <w:vAlign w:val="center"/>
          </w:tcPr>
          <w:p w14:paraId="5E60FBF5">
            <w:pPr>
              <w:jc w:val="center"/>
              <w:rPr>
                <w:rFonts w:ascii="宋体" w:hAnsi="宋体"/>
                <w:color w:val="auto"/>
                <w:szCs w:val="44"/>
              </w:rPr>
            </w:pPr>
          </w:p>
        </w:tc>
        <w:tc>
          <w:tcPr>
            <w:tcW w:w="1793" w:type="dxa"/>
            <w:vAlign w:val="center"/>
          </w:tcPr>
          <w:p w14:paraId="2656AFFD">
            <w:pPr>
              <w:jc w:val="center"/>
              <w:rPr>
                <w:rFonts w:ascii="宋体" w:hAnsi="宋体"/>
                <w:color w:val="auto"/>
                <w:szCs w:val="44"/>
              </w:rPr>
            </w:pPr>
          </w:p>
        </w:tc>
      </w:tr>
      <w:tr w14:paraId="60F92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19B4FDA7">
            <w:pPr>
              <w:jc w:val="center"/>
              <w:rPr>
                <w:rFonts w:ascii="宋体" w:hAnsi="宋体"/>
                <w:color w:val="auto"/>
                <w:szCs w:val="44"/>
              </w:rPr>
            </w:pPr>
            <w:r>
              <w:rPr>
                <w:rFonts w:hint="eastAsia" w:ascii="宋体" w:hAnsi="宋体"/>
                <w:color w:val="auto"/>
                <w:szCs w:val="44"/>
              </w:rPr>
              <w:t>3</w:t>
            </w:r>
          </w:p>
        </w:tc>
        <w:tc>
          <w:tcPr>
            <w:tcW w:w="1811" w:type="dxa"/>
            <w:vAlign w:val="center"/>
          </w:tcPr>
          <w:p w14:paraId="2F87EAA0">
            <w:pPr>
              <w:jc w:val="center"/>
              <w:rPr>
                <w:rFonts w:ascii="宋体" w:hAnsi="宋体"/>
                <w:color w:val="auto"/>
                <w:szCs w:val="44"/>
              </w:rPr>
            </w:pPr>
          </w:p>
        </w:tc>
        <w:tc>
          <w:tcPr>
            <w:tcW w:w="1356" w:type="dxa"/>
            <w:vAlign w:val="center"/>
          </w:tcPr>
          <w:p w14:paraId="4FC0D44E">
            <w:pPr>
              <w:jc w:val="center"/>
              <w:rPr>
                <w:color w:val="auto"/>
              </w:rPr>
            </w:pPr>
          </w:p>
        </w:tc>
        <w:tc>
          <w:tcPr>
            <w:tcW w:w="1357" w:type="dxa"/>
            <w:vAlign w:val="center"/>
          </w:tcPr>
          <w:p w14:paraId="63C31010">
            <w:pPr>
              <w:jc w:val="center"/>
              <w:rPr>
                <w:rFonts w:ascii="宋体" w:hAnsi="宋体"/>
                <w:color w:val="auto"/>
                <w:szCs w:val="44"/>
              </w:rPr>
            </w:pPr>
          </w:p>
        </w:tc>
        <w:tc>
          <w:tcPr>
            <w:tcW w:w="1357" w:type="dxa"/>
            <w:vAlign w:val="center"/>
          </w:tcPr>
          <w:p w14:paraId="07EAA855">
            <w:pPr>
              <w:jc w:val="center"/>
              <w:rPr>
                <w:rFonts w:ascii="宋体" w:hAnsi="宋体"/>
                <w:color w:val="auto"/>
                <w:szCs w:val="44"/>
              </w:rPr>
            </w:pPr>
          </w:p>
        </w:tc>
        <w:tc>
          <w:tcPr>
            <w:tcW w:w="1356" w:type="dxa"/>
            <w:vAlign w:val="center"/>
          </w:tcPr>
          <w:p w14:paraId="08861422">
            <w:pPr>
              <w:jc w:val="center"/>
              <w:rPr>
                <w:rFonts w:ascii="宋体" w:hAnsi="宋体"/>
                <w:color w:val="auto"/>
                <w:szCs w:val="44"/>
              </w:rPr>
            </w:pPr>
          </w:p>
        </w:tc>
        <w:tc>
          <w:tcPr>
            <w:tcW w:w="1357" w:type="dxa"/>
            <w:vAlign w:val="center"/>
          </w:tcPr>
          <w:p w14:paraId="315C13FB">
            <w:pPr>
              <w:jc w:val="center"/>
              <w:rPr>
                <w:rFonts w:ascii="宋体" w:hAnsi="宋体"/>
                <w:color w:val="auto"/>
                <w:szCs w:val="44"/>
              </w:rPr>
            </w:pPr>
          </w:p>
        </w:tc>
        <w:tc>
          <w:tcPr>
            <w:tcW w:w="1357" w:type="dxa"/>
            <w:vAlign w:val="center"/>
          </w:tcPr>
          <w:p w14:paraId="5C7FF6BF">
            <w:pPr>
              <w:jc w:val="center"/>
              <w:rPr>
                <w:rFonts w:ascii="宋体" w:hAnsi="宋体"/>
                <w:color w:val="auto"/>
                <w:szCs w:val="44"/>
              </w:rPr>
            </w:pPr>
          </w:p>
        </w:tc>
        <w:tc>
          <w:tcPr>
            <w:tcW w:w="1364" w:type="dxa"/>
            <w:vAlign w:val="center"/>
          </w:tcPr>
          <w:p w14:paraId="68E4BE2C">
            <w:pPr>
              <w:jc w:val="center"/>
              <w:rPr>
                <w:rFonts w:ascii="宋体" w:hAnsi="宋体"/>
                <w:color w:val="auto"/>
                <w:szCs w:val="44"/>
              </w:rPr>
            </w:pPr>
          </w:p>
        </w:tc>
        <w:tc>
          <w:tcPr>
            <w:tcW w:w="1793" w:type="dxa"/>
            <w:vAlign w:val="center"/>
          </w:tcPr>
          <w:p w14:paraId="4AB83DE9">
            <w:pPr>
              <w:jc w:val="center"/>
              <w:rPr>
                <w:rFonts w:ascii="宋体" w:hAnsi="宋体"/>
                <w:color w:val="auto"/>
                <w:szCs w:val="44"/>
              </w:rPr>
            </w:pPr>
          </w:p>
        </w:tc>
      </w:tr>
      <w:tr w14:paraId="19638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3F6487FD">
            <w:pPr>
              <w:jc w:val="center"/>
              <w:rPr>
                <w:rFonts w:ascii="宋体" w:hAnsi="宋体"/>
                <w:color w:val="auto"/>
                <w:szCs w:val="44"/>
              </w:rPr>
            </w:pPr>
            <w:r>
              <w:rPr>
                <w:rFonts w:hint="eastAsia" w:ascii="宋体" w:hAnsi="宋体"/>
                <w:color w:val="auto"/>
                <w:szCs w:val="44"/>
              </w:rPr>
              <w:t>4</w:t>
            </w:r>
          </w:p>
        </w:tc>
        <w:tc>
          <w:tcPr>
            <w:tcW w:w="1811" w:type="dxa"/>
            <w:vAlign w:val="center"/>
          </w:tcPr>
          <w:p w14:paraId="3322ACA7">
            <w:pPr>
              <w:jc w:val="center"/>
              <w:rPr>
                <w:rFonts w:ascii="宋体" w:hAnsi="宋体"/>
                <w:color w:val="auto"/>
                <w:szCs w:val="44"/>
              </w:rPr>
            </w:pPr>
          </w:p>
        </w:tc>
        <w:tc>
          <w:tcPr>
            <w:tcW w:w="1356" w:type="dxa"/>
            <w:vAlign w:val="center"/>
          </w:tcPr>
          <w:p w14:paraId="1EE289AB">
            <w:pPr>
              <w:jc w:val="center"/>
              <w:rPr>
                <w:color w:val="auto"/>
              </w:rPr>
            </w:pPr>
          </w:p>
        </w:tc>
        <w:tc>
          <w:tcPr>
            <w:tcW w:w="1357" w:type="dxa"/>
            <w:vAlign w:val="center"/>
          </w:tcPr>
          <w:p w14:paraId="6180F787">
            <w:pPr>
              <w:jc w:val="center"/>
              <w:rPr>
                <w:rFonts w:ascii="宋体" w:hAnsi="宋体"/>
                <w:color w:val="auto"/>
                <w:szCs w:val="44"/>
              </w:rPr>
            </w:pPr>
          </w:p>
        </w:tc>
        <w:tc>
          <w:tcPr>
            <w:tcW w:w="1357" w:type="dxa"/>
            <w:vAlign w:val="center"/>
          </w:tcPr>
          <w:p w14:paraId="3540EB10">
            <w:pPr>
              <w:jc w:val="center"/>
              <w:rPr>
                <w:rFonts w:ascii="宋体" w:hAnsi="宋体"/>
                <w:color w:val="auto"/>
                <w:szCs w:val="44"/>
              </w:rPr>
            </w:pPr>
          </w:p>
        </w:tc>
        <w:tc>
          <w:tcPr>
            <w:tcW w:w="1356" w:type="dxa"/>
            <w:vAlign w:val="center"/>
          </w:tcPr>
          <w:p w14:paraId="4C609FA1">
            <w:pPr>
              <w:jc w:val="center"/>
              <w:rPr>
                <w:rFonts w:ascii="宋体" w:hAnsi="宋体"/>
                <w:color w:val="auto"/>
                <w:szCs w:val="44"/>
              </w:rPr>
            </w:pPr>
          </w:p>
        </w:tc>
        <w:tc>
          <w:tcPr>
            <w:tcW w:w="1357" w:type="dxa"/>
            <w:vAlign w:val="center"/>
          </w:tcPr>
          <w:p w14:paraId="73C0D963">
            <w:pPr>
              <w:jc w:val="center"/>
              <w:rPr>
                <w:rFonts w:ascii="宋体" w:hAnsi="宋体"/>
                <w:color w:val="auto"/>
                <w:szCs w:val="44"/>
              </w:rPr>
            </w:pPr>
          </w:p>
        </w:tc>
        <w:tc>
          <w:tcPr>
            <w:tcW w:w="1357" w:type="dxa"/>
            <w:vAlign w:val="center"/>
          </w:tcPr>
          <w:p w14:paraId="67B29A44">
            <w:pPr>
              <w:jc w:val="center"/>
              <w:rPr>
                <w:rFonts w:ascii="宋体" w:hAnsi="宋体"/>
                <w:color w:val="auto"/>
                <w:szCs w:val="44"/>
              </w:rPr>
            </w:pPr>
          </w:p>
        </w:tc>
        <w:tc>
          <w:tcPr>
            <w:tcW w:w="1364" w:type="dxa"/>
            <w:vAlign w:val="center"/>
          </w:tcPr>
          <w:p w14:paraId="39F0140D">
            <w:pPr>
              <w:jc w:val="center"/>
              <w:rPr>
                <w:rFonts w:ascii="宋体" w:hAnsi="宋体"/>
                <w:color w:val="auto"/>
                <w:szCs w:val="44"/>
              </w:rPr>
            </w:pPr>
          </w:p>
        </w:tc>
        <w:tc>
          <w:tcPr>
            <w:tcW w:w="1793" w:type="dxa"/>
            <w:vAlign w:val="center"/>
          </w:tcPr>
          <w:p w14:paraId="654147FD">
            <w:pPr>
              <w:jc w:val="center"/>
              <w:rPr>
                <w:rFonts w:ascii="宋体" w:hAnsi="宋体"/>
                <w:color w:val="auto"/>
                <w:szCs w:val="44"/>
              </w:rPr>
            </w:pPr>
          </w:p>
        </w:tc>
      </w:tr>
      <w:tr w14:paraId="4A0BB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5AE925B4">
            <w:pPr>
              <w:jc w:val="center"/>
              <w:rPr>
                <w:rFonts w:ascii="宋体" w:hAnsi="宋体"/>
                <w:color w:val="auto"/>
                <w:szCs w:val="44"/>
              </w:rPr>
            </w:pPr>
            <w:r>
              <w:rPr>
                <w:rFonts w:hint="eastAsia" w:ascii="宋体" w:hAnsi="宋体"/>
                <w:color w:val="auto"/>
                <w:szCs w:val="44"/>
              </w:rPr>
              <w:t>5</w:t>
            </w:r>
          </w:p>
        </w:tc>
        <w:tc>
          <w:tcPr>
            <w:tcW w:w="1811" w:type="dxa"/>
            <w:vAlign w:val="center"/>
          </w:tcPr>
          <w:p w14:paraId="7958FC7F">
            <w:pPr>
              <w:jc w:val="center"/>
              <w:rPr>
                <w:rFonts w:ascii="宋体" w:hAnsi="宋体"/>
                <w:color w:val="auto"/>
                <w:szCs w:val="44"/>
              </w:rPr>
            </w:pPr>
          </w:p>
        </w:tc>
        <w:tc>
          <w:tcPr>
            <w:tcW w:w="1356" w:type="dxa"/>
            <w:vAlign w:val="center"/>
          </w:tcPr>
          <w:p w14:paraId="734FCA3E">
            <w:pPr>
              <w:jc w:val="center"/>
              <w:rPr>
                <w:color w:val="auto"/>
              </w:rPr>
            </w:pPr>
          </w:p>
        </w:tc>
        <w:tc>
          <w:tcPr>
            <w:tcW w:w="1357" w:type="dxa"/>
            <w:vAlign w:val="center"/>
          </w:tcPr>
          <w:p w14:paraId="285DEC8E">
            <w:pPr>
              <w:jc w:val="center"/>
              <w:rPr>
                <w:rFonts w:ascii="宋体" w:hAnsi="宋体"/>
                <w:color w:val="auto"/>
                <w:szCs w:val="44"/>
              </w:rPr>
            </w:pPr>
          </w:p>
        </w:tc>
        <w:tc>
          <w:tcPr>
            <w:tcW w:w="1357" w:type="dxa"/>
            <w:vAlign w:val="center"/>
          </w:tcPr>
          <w:p w14:paraId="1A9CBA5D">
            <w:pPr>
              <w:jc w:val="center"/>
              <w:rPr>
                <w:rFonts w:ascii="宋体" w:hAnsi="宋体"/>
                <w:color w:val="auto"/>
                <w:szCs w:val="44"/>
              </w:rPr>
            </w:pPr>
          </w:p>
        </w:tc>
        <w:tc>
          <w:tcPr>
            <w:tcW w:w="1356" w:type="dxa"/>
            <w:vAlign w:val="center"/>
          </w:tcPr>
          <w:p w14:paraId="2FBB8440">
            <w:pPr>
              <w:jc w:val="center"/>
              <w:rPr>
                <w:rFonts w:ascii="宋体" w:hAnsi="宋体"/>
                <w:color w:val="auto"/>
                <w:szCs w:val="44"/>
              </w:rPr>
            </w:pPr>
          </w:p>
        </w:tc>
        <w:tc>
          <w:tcPr>
            <w:tcW w:w="1357" w:type="dxa"/>
            <w:vAlign w:val="center"/>
          </w:tcPr>
          <w:p w14:paraId="138019B1">
            <w:pPr>
              <w:jc w:val="center"/>
              <w:rPr>
                <w:rFonts w:ascii="宋体" w:hAnsi="宋体"/>
                <w:color w:val="auto"/>
                <w:szCs w:val="44"/>
              </w:rPr>
            </w:pPr>
          </w:p>
        </w:tc>
        <w:tc>
          <w:tcPr>
            <w:tcW w:w="1357" w:type="dxa"/>
            <w:vAlign w:val="center"/>
          </w:tcPr>
          <w:p w14:paraId="6902C460">
            <w:pPr>
              <w:jc w:val="center"/>
              <w:rPr>
                <w:rFonts w:ascii="宋体" w:hAnsi="宋体"/>
                <w:color w:val="auto"/>
                <w:szCs w:val="44"/>
              </w:rPr>
            </w:pPr>
          </w:p>
        </w:tc>
        <w:tc>
          <w:tcPr>
            <w:tcW w:w="1364" w:type="dxa"/>
            <w:vAlign w:val="center"/>
          </w:tcPr>
          <w:p w14:paraId="48C2DE4E">
            <w:pPr>
              <w:jc w:val="center"/>
              <w:rPr>
                <w:rFonts w:ascii="宋体" w:hAnsi="宋体"/>
                <w:color w:val="auto"/>
                <w:szCs w:val="44"/>
              </w:rPr>
            </w:pPr>
          </w:p>
        </w:tc>
        <w:tc>
          <w:tcPr>
            <w:tcW w:w="1793" w:type="dxa"/>
            <w:vAlign w:val="center"/>
          </w:tcPr>
          <w:p w14:paraId="4AECACE2">
            <w:pPr>
              <w:jc w:val="center"/>
              <w:rPr>
                <w:rFonts w:ascii="宋体" w:hAnsi="宋体"/>
                <w:color w:val="auto"/>
                <w:szCs w:val="44"/>
              </w:rPr>
            </w:pPr>
          </w:p>
        </w:tc>
      </w:tr>
      <w:tr w14:paraId="09FAA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2A9FC621">
            <w:pPr>
              <w:jc w:val="center"/>
              <w:rPr>
                <w:rFonts w:ascii="宋体" w:hAnsi="宋体"/>
                <w:color w:val="auto"/>
                <w:szCs w:val="44"/>
              </w:rPr>
            </w:pPr>
            <w:r>
              <w:rPr>
                <w:rFonts w:hint="eastAsia" w:ascii="宋体" w:hAnsi="宋体"/>
                <w:color w:val="auto"/>
                <w:szCs w:val="44"/>
              </w:rPr>
              <w:t>6</w:t>
            </w:r>
          </w:p>
        </w:tc>
        <w:tc>
          <w:tcPr>
            <w:tcW w:w="1811" w:type="dxa"/>
            <w:vAlign w:val="center"/>
          </w:tcPr>
          <w:p w14:paraId="2C3AA141">
            <w:pPr>
              <w:jc w:val="center"/>
              <w:rPr>
                <w:rFonts w:ascii="宋体" w:hAnsi="宋体"/>
                <w:color w:val="auto"/>
                <w:szCs w:val="44"/>
              </w:rPr>
            </w:pPr>
          </w:p>
        </w:tc>
        <w:tc>
          <w:tcPr>
            <w:tcW w:w="1356" w:type="dxa"/>
            <w:vAlign w:val="center"/>
          </w:tcPr>
          <w:p w14:paraId="4DA86D6D">
            <w:pPr>
              <w:jc w:val="center"/>
              <w:rPr>
                <w:color w:val="auto"/>
              </w:rPr>
            </w:pPr>
          </w:p>
        </w:tc>
        <w:tc>
          <w:tcPr>
            <w:tcW w:w="1357" w:type="dxa"/>
            <w:vAlign w:val="center"/>
          </w:tcPr>
          <w:p w14:paraId="4328A3BC">
            <w:pPr>
              <w:jc w:val="center"/>
              <w:rPr>
                <w:rFonts w:ascii="宋体" w:hAnsi="宋体"/>
                <w:color w:val="auto"/>
                <w:szCs w:val="44"/>
              </w:rPr>
            </w:pPr>
          </w:p>
        </w:tc>
        <w:tc>
          <w:tcPr>
            <w:tcW w:w="1357" w:type="dxa"/>
            <w:vAlign w:val="center"/>
          </w:tcPr>
          <w:p w14:paraId="5BBC82B7">
            <w:pPr>
              <w:jc w:val="center"/>
              <w:rPr>
                <w:rFonts w:ascii="宋体" w:hAnsi="宋体"/>
                <w:color w:val="auto"/>
                <w:szCs w:val="44"/>
              </w:rPr>
            </w:pPr>
          </w:p>
        </w:tc>
        <w:tc>
          <w:tcPr>
            <w:tcW w:w="1356" w:type="dxa"/>
            <w:vAlign w:val="center"/>
          </w:tcPr>
          <w:p w14:paraId="34BE5824">
            <w:pPr>
              <w:jc w:val="center"/>
              <w:rPr>
                <w:rFonts w:ascii="宋体" w:hAnsi="宋体"/>
                <w:color w:val="auto"/>
                <w:szCs w:val="44"/>
              </w:rPr>
            </w:pPr>
          </w:p>
        </w:tc>
        <w:tc>
          <w:tcPr>
            <w:tcW w:w="1357" w:type="dxa"/>
            <w:vAlign w:val="center"/>
          </w:tcPr>
          <w:p w14:paraId="5276729D">
            <w:pPr>
              <w:jc w:val="center"/>
              <w:rPr>
                <w:rFonts w:ascii="宋体" w:hAnsi="宋体"/>
                <w:color w:val="auto"/>
                <w:szCs w:val="44"/>
              </w:rPr>
            </w:pPr>
          </w:p>
        </w:tc>
        <w:tc>
          <w:tcPr>
            <w:tcW w:w="1357" w:type="dxa"/>
            <w:vAlign w:val="center"/>
          </w:tcPr>
          <w:p w14:paraId="4DC73309">
            <w:pPr>
              <w:jc w:val="center"/>
              <w:rPr>
                <w:rFonts w:ascii="宋体" w:hAnsi="宋体"/>
                <w:color w:val="auto"/>
                <w:szCs w:val="44"/>
              </w:rPr>
            </w:pPr>
          </w:p>
        </w:tc>
        <w:tc>
          <w:tcPr>
            <w:tcW w:w="1364" w:type="dxa"/>
            <w:vAlign w:val="center"/>
          </w:tcPr>
          <w:p w14:paraId="0D6E1BFB">
            <w:pPr>
              <w:jc w:val="center"/>
              <w:rPr>
                <w:rFonts w:ascii="宋体" w:hAnsi="宋体"/>
                <w:color w:val="auto"/>
                <w:szCs w:val="44"/>
              </w:rPr>
            </w:pPr>
          </w:p>
        </w:tc>
        <w:tc>
          <w:tcPr>
            <w:tcW w:w="1793" w:type="dxa"/>
            <w:vAlign w:val="center"/>
          </w:tcPr>
          <w:p w14:paraId="4784AEA1">
            <w:pPr>
              <w:jc w:val="center"/>
              <w:rPr>
                <w:rFonts w:ascii="宋体" w:hAnsi="宋体"/>
                <w:color w:val="auto"/>
                <w:szCs w:val="44"/>
              </w:rPr>
            </w:pPr>
          </w:p>
        </w:tc>
      </w:tr>
      <w:tr w14:paraId="4489A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7BD94EB1">
            <w:pPr>
              <w:jc w:val="center"/>
              <w:rPr>
                <w:rFonts w:ascii="宋体" w:hAnsi="宋体"/>
                <w:color w:val="auto"/>
                <w:szCs w:val="44"/>
              </w:rPr>
            </w:pPr>
            <w:r>
              <w:rPr>
                <w:rFonts w:hint="eastAsia" w:ascii="宋体" w:hAnsi="宋体"/>
                <w:color w:val="auto"/>
                <w:szCs w:val="44"/>
              </w:rPr>
              <w:t>…</w:t>
            </w:r>
            <w:r>
              <w:rPr>
                <w:rFonts w:ascii="宋体" w:hAnsi="宋体"/>
                <w:color w:val="auto"/>
                <w:szCs w:val="44"/>
              </w:rPr>
              <w:t>…</w:t>
            </w:r>
          </w:p>
        </w:tc>
        <w:tc>
          <w:tcPr>
            <w:tcW w:w="1811" w:type="dxa"/>
            <w:vAlign w:val="center"/>
          </w:tcPr>
          <w:p w14:paraId="7E9DE903">
            <w:pPr>
              <w:rPr>
                <w:rFonts w:ascii="宋体" w:hAnsi="宋体"/>
                <w:color w:val="auto"/>
                <w:szCs w:val="21"/>
              </w:rPr>
            </w:pPr>
          </w:p>
        </w:tc>
        <w:tc>
          <w:tcPr>
            <w:tcW w:w="1356" w:type="dxa"/>
            <w:vAlign w:val="center"/>
          </w:tcPr>
          <w:p w14:paraId="295531C8">
            <w:pPr>
              <w:jc w:val="center"/>
              <w:rPr>
                <w:color w:val="auto"/>
              </w:rPr>
            </w:pPr>
          </w:p>
        </w:tc>
        <w:tc>
          <w:tcPr>
            <w:tcW w:w="1357" w:type="dxa"/>
            <w:vAlign w:val="center"/>
          </w:tcPr>
          <w:p w14:paraId="1133E69C">
            <w:pPr>
              <w:jc w:val="center"/>
              <w:rPr>
                <w:rFonts w:ascii="宋体" w:hAnsi="宋体"/>
                <w:color w:val="auto"/>
                <w:szCs w:val="44"/>
              </w:rPr>
            </w:pPr>
          </w:p>
        </w:tc>
        <w:tc>
          <w:tcPr>
            <w:tcW w:w="1357" w:type="dxa"/>
            <w:vAlign w:val="center"/>
          </w:tcPr>
          <w:p w14:paraId="2B8CF01C">
            <w:pPr>
              <w:jc w:val="center"/>
              <w:rPr>
                <w:rFonts w:ascii="宋体" w:hAnsi="宋体"/>
                <w:color w:val="auto"/>
                <w:szCs w:val="44"/>
              </w:rPr>
            </w:pPr>
          </w:p>
        </w:tc>
        <w:tc>
          <w:tcPr>
            <w:tcW w:w="1356" w:type="dxa"/>
            <w:vAlign w:val="center"/>
          </w:tcPr>
          <w:p w14:paraId="222A2D82">
            <w:pPr>
              <w:jc w:val="center"/>
              <w:rPr>
                <w:rFonts w:ascii="宋体" w:hAnsi="宋体"/>
                <w:color w:val="auto"/>
                <w:szCs w:val="44"/>
              </w:rPr>
            </w:pPr>
          </w:p>
        </w:tc>
        <w:tc>
          <w:tcPr>
            <w:tcW w:w="1357" w:type="dxa"/>
            <w:vAlign w:val="center"/>
          </w:tcPr>
          <w:p w14:paraId="744EBF8A">
            <w:pPr>
              <w:jc w:val="center"/>
              <w:rPr>
                <w:rFonts w:ascii="宋体" w:hAnsi="宋体"/>
                <w:color w:val="auto"/>
                <w:szCs w:val="44"/>
              </w:rPr>
            </w:pPr>
          </w:p>
        </w:tc>
        <w:tc>
          <w:tcPr>
            <w:tcW w:w="1357" w:type="dxa"/>
            <w:vAlign w:val="center"/>
          </w:tcPr>
          <w:p w14:paraId="7B3E0DB7">
            <w:pPr>
              <w:jc w:val="center"/>
              <w:rPr>
                <w:rFonts w:ascii="宋体" w:hAnsi="宋体"/>
                <w:color w:val="auto"/>
                <w:szCs w:val="44"/>
              </w:rPr>
            </w:pPr>
          </w:p>
        </w:tc>
        <w:tc>
          <w:tcPr>
            <w:tcW w:w="1364" w:type="dxa"/>
            <w:vAlign w:val="center"/>
          </w:tcPr>
          <w:p w14:paraId="47358150">
            <w:pPr>
              <w:jc w:val="center"/>
              <w:rPr>
                <w:rFonts w:ascii="宋体" w:hAnsi="宋体"/>
                <w:color w:val="auto"/>
                <w:szCs w:val="44"/>
              </w:rPr>
            </w:pPr>
          </w:p>
        </w:tc>
        <w:tc>
          <w:tcPr>
            <w:tcW w:w="1793" w:type="dxa"/>
            <w:vAlign w:val="center"/>
          </w:tcPr>
          <w:p w14:paraId="1444B396">
            <w:pPr>
              <w:jc w:val="center"/>
              <w:rPr>
                <w:rFonts w:ascii="宋体" w:hAnsi="宋体"/>
                <w:color w:val="auto"/>
                <w:szCs w:val="44"/>
              </w:rPr>
            </w:pPr>
          </w:p>
        </w:tc>
      </w:tr>
      <w:tr w14:paraId="3A001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13900" w:type="dxa"/>
            <w:gridSpan w:val="10"/>
            <w:vAlign w:val="center"/>
          </w:tcPr>
          <w:p w14:paraId="0906AD94">
            <w:pPr>
              <w:rPr>
                <w:color w:val="auto"/>
              </w:rPr>
            </w:pPr>
            <w:r>
              <w:rPr>
                <w:rFonts w:hint="eastAsia" w:ascii="宋体" w:hAnsi="宋体"/>
                <w:color w:val="auto"/>
                <w:szCs w:val="21"/>
              </w:rPr>
              <w:t>资信标</w:t>
            </w:r>
            <w:r>
              <w:rPr>
                <w:rFonts w:hint="eastAsia"/>
                <w:color w:val="auto"/>
              </w:rPr>
              <w:t>评委签名：</w:t>
            </w:r>
          </w:p>
          <w:p w14:paraId="353DAB01">
            <w:pPr>
              <w:rPr>
                <w:color w:val="auto"/>
              </w:rPr>
            </w:pPr>
          </w:p>
          <w:p w14:paraId="7C72C99A">
            <w:pPr>
              <w:rPr>
                <w:rFonts w:ascii="宋体" w:hAnsi="宋体"/>
                <w:color w:val="auto"/>
                <w:szCs w:val="44"/>
              </w:rPr>
            </w:pPr>
          </w:p>
          <w:p w14:paraId="46B0D1F1">
            <w:pPr>
              <w:jc w:val="center"/>
              <w:rPr>
                <w:rFonts w:ascii="宋体" w:hAnsi="宋体"/>
                <w:color w:val="auto"/>
                <w:szCs w:val="44"/>
              </w:rPr>
            </w:pPr>
          </w:p>
        </w:tc>
      </w:tr>
    </w:tbl>
    <w:p w14:paraId="58CC9123">
      <w:pPr>
        <w:rPr>
          <w:rFonts w:ascii="宋体" w:hAnsi="宋体"/>
          <w:color w:val="auto"/>
          <w:szCs w:val="44"/>
        </w:rPr>
      </w:pPr>
    </w:p>
    <w:p w14:paraId="760F1D3E">
      <w:pPr>
        <w:jc w:val="right"/>
        <w:rPr>
          <w:color w:val="auto"/>
        </w:rPr>
      </w:pPr>
      <w:r>
        <w:rPr>
          <w:rFonts w:hint="eastAsia"/>
          <w:color w:val="auto"/>
        </w:rPr>
        <w:t xml:space="preserve">                   日期：      年    月   日</w:t>
      </w:r>
    </w:p>
    <w:p w14:paraId="27481FC7">
      <w:pPr>
        <w:rPr>
          <w:color w:val="auto"/>
        </w:rPr>
      </w:pPr>
    </w:p>
    <w:bookmarkEnd w:id="699"/>
    <w:p w14:paraId="7B3366F7">
      <w:pPr>
        <w:pStyle w:val="27"/>
        <w:rPr>
          <w:rFonts w:ascii="黑体"/>
          <w:color w:val="auto"/>
        </w:rPr>
      </w:pPr>
      <w:bookmarkStart w:id="700" w:name="_Toc27177"/>
      <w:bookmarkStart w:id="701" w:name="_Toc165804460"/>
      <w:r>
        <w:rPr>
          <w:rFonts w:hint="eastAsia"/>
          <w:color w:val="auto"/>
        </w:rPr>
        <w:t>附表A-1</w:t>
      </w:r>
      <w:r>
        <w:rPr>
          <w:color w:val="auto"/>
        </w:rPr>
        <w:t>4</w:t>
      </w:r>
      <w:r>
        <w:rPr>
          <w:rFonts w:hint="eastAsia"/>
          <w:color w:val="auto"/>
        </w:rPr>
        <w:t>：其他因素评审记录表</w:t>
      </w:r>
      <w:bookmarkEnd w:id="700"/>
      <w:bookmarkEnd w:id="701"/>
    </w:p>
    <w:p w14:paraId="368AD03F">
      <w:pPr>
        <w:adjustRightInd w:val="0"/>
        <w:snapToGrid w:val="0"/>
        <w:spacing w:before="240" w:beforeLines="100" w:after="240" w:afterLines="100" w:line="440" w:lineRule="exact"/>
        <w:jc w:val="center"/>
        <w:rPr>
          <w:rFonts w:ascii="黑体" w:hAnsi="黑体" w:eastAsia="黑体"/>
          <w:color w:val="auto"/>
          <w:sz w:val="36"/>
          <w:szCs w:val="36"/>
        </w:rPr>
      </w:pPr>
      <w:r>
        <w:rPr>
          <w:rFonts w:hint="eastAsia" w:ascii="黑体" w:hAnsi="黑体" w:eastAsia="黑体"/>
          <w:color w:val="auto"/>
          <w:sz w:val="36"/>
          <w:szCs w:val="36"/>
        </w:rPr>
        <w:t>其他因素评审记录表</w:t>
      </w:r>
    </w:p>
    <w:p w14:paraId="2E0E8153">
      <w:pPr>
        <w:ind w:firstLine="210" w:firstLineChars="100"/>
        <w:rPr>
          <w:rFonts w:ascii="宋体" w:hAnsi="宋体"/>
          <w:color w:val="auto"/>
          <w:szCs w:val="44"/>
        </w:rPr>
      </w:pPr>
      <w:bookmarkStart w:id="702" w:name="_Hlk150333006"/>
      <w:r>
        <w:rPr>
          <w:rFonts w:hint="eastAsia" w:ascii="宋体" w:hAnsi="宋体"/>
          <w:color w:val="auto"/>
          <w:szCs w:val="44"/>
        </w:rPr>
        <w:t>标段名称：</w:t>
      </w:r>
    </w:p>
    <w:p w14:paraId="42EDE95A">
      <w:pPr>
        <w:ind w:firstLine="210" w:firstLineChars="100"/>
        <w:rPr>
          <w:color w:val="auto"/>
          <w:szCs w:val="44"/>
        </w:rPr>
      </w:pPr>
      <w:r>
        <w:rPr>
          <w:rFonts w:hint="eastAsia"/>
          <w:color w:val="auto"/>
          <w:szCs w:val="44"/>
        </w:rPr>
        <w:t>标段唯一标识码：</w:t>
      </w:r>
    </w:p>
    <w:tbl>
      <w:tblPr>
        <w:tblStyle w:val="18"/>
        <w:tblW w:w="136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9"/>
        <w:gridCol w:w="1753"/>
        <w:gridCol w:w="1313"/>
        <w:gridCol w:w="1314"/>
        <w:gridCol w:w="1314"/>
        <w:gridCol w:w="1313"/>
        <w:gridCol w:w="1314"/>
        <w:gridCol w:w="1314"/>
        <w:gridCol w:w="1179"/>
        <w:gridCol w:w="2020"/>
      </w:tblGrid>
      <w:tr w14:paraId="46A2E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69" w:type="dxa"/>
            <w:vMerge w:val="restart"/>
            <w:vAlign w:val="center"/>
          </w:tcPr>
          <w:p w14:paraId="62EC6489">
            <w:pPr>
              <w:jc w:val="center"/>
              <w:rPr>
                <w:rFonts w:ascii="宋体" w:hAnsi="宋体"/>
                <w:b/>
                <w:bCs/>
                <w:color w:val="auto"/>
                <w:szCs w:val="44"/>
              </w:rPr>
            </w:pPr>
            <w:r>
              <w:rPr>
                <w:rFonts w:hint="eastAsia" w:ascii="宋体" w:hAnsi="宋体"/>
                <w:b/>
                <w:bCs/>
                <w:color w:val="auto"/>
                <w:szCs w:val="44"/>
              </w:rPr>
              <w:t>序号</w:t>
            </w:r>
          </w:p>
        </w:tc>
        <w:tc>
          <w:tcPr>
            <w:tcW w:w="1753" w:type="dxa"/>
            <w:vMerge w:val="restart"/>
            <w:vAlign w:val="center"/>
          </w:tcPr>
          <w:p w14:paraId="66742D43">
            <w:pPr>
              <w:jc w:val="center"/>
              <w:rPr>
                <w:rFonts w:ascii="宋体" w:hAnsi="宋体"/>
                <w:b/>
                <w:bCs/>
                <w:color w:val="auto"/>
                <w:szCs w:val="44"/>
              </w:rPr>
            </w:pPr>
            <w:r>
              <w:rPr>
                <w:rFonts w:hint="eastAsia" w:ascii="宋体" w:hAnsi="宋体"/>
                <w:b/>
                <w:bCs/>
                <w:color w:val="auto"/>
                <w:szCs w:val="44"/>
              </w:rPr>
              <w:t>投标人名称</w:t>
            </w:r>
          </w:p>
        </w:tc>
        <w:tc>
          <w:tcPr>
            <w:tcW w:w="9061" w:type="dxa"/>
            <w:gridSpan w:val="7"/>
            <w:vAlign w:val="center"/>
          </w:tcPr>
          <w:p w14:paraId="125F3E34">
            <w:pPr>
              <w:jc w:val="center"/>
              <w:rPr>
                <w:rFonts w:ascii="宋体" w:hAnsi="宋体"/>
                <w:b/>
                <w:bCs/>
                <w:color w:val="auto"/>
                <w:szCs w:val="44"/>
              </w:rPr>
            </w:pPr>
            <w:r>
              <w:rPr>
                <w:rFonts w:hint="eastAsia" w:ascii="宋体" w:hAnsi="宋体"/>
                <w:b/>
                <w:bCs/>
                <w:color w:val="auto"/>
                <w:szCs w:val="44"/>
              </w:rPr>
              <w:t>评委姓名及得分</w:t>
            </w:r>
          </w:p>
        </w:tc>
        <w:tc>
          <w:tcPr>
            <w:tcW w:w="2020" w:type="dxa"/>
            <w:vMerge w:val="restart"/>
            <w:vAlign w:val="center"/>
          </w:tcPr>
          <w:p w14:paraId="1A114A4D">
            <w:pPr>
              <w:jc w:val="center"/>
              <w:rPr>
                <w:rFonts w:ascii="宋体" w:hAnsi="宋体"/>
                <w:b/>
                <w:bCs/>
                <w:color w:val="auto"/>
                <w:szCs w:val="44"/>
              </w:rPr>
            </w:pPr>
            <w:r>
              <w:rPr>
                <w:rFonts w:hint="eastAsia" w:ascii="宋体" w:hAnsi="宋体"/>
                <w:b/>
                <w:bCs/>
                <w:color w:val="auto"/>
                <w:szCs w:val="44"/>
              </w:rPr>
              <w:t>其他因素最终得分</w:t>
            </w:r>
          </w:p>
        </w:tc>
      </w:tr>
      <w:tr w14:paraId="32DAB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69" w:type="dxa"/>
            <w:vMerge w:val="continue"/>
            <w:vAlign w:val="center"/>
          </w:tcPr>
          <w:p w14:paraId="18B027DA">
            <w:pPr>
              <w:jc w:val="center"/>
              <w:rPr>
                <w:rFonts w:ascii="宋体" w:hAnsi="宋体"/>
                <w:b/>
                <w:bCs/>
                <w:color w:val="auto"/>
                <w:szCs w:val="44"/>
              </w:rPr>
            </w:pPr>
          </w:p>
        </w:tc>
        <w:tc>
          <w:tcPr>
            <w:tcW w:w="1753" w:type="dxa"/>
            <w:vMerge w:val="continue"/>
          </w:tcPr>
          <w:p w14:paraId="4F4DAC5E">
            <w:pPr>
              <w:jc w:val="center"/>
              <w:rPr>
                <w:rFonts w:ascii="宋体" w:hAnsi="宋体"/>
                <w:b/>
                <w:bCs/>
                <w:color w:val="auto"/>
                <w:szCs w:val="44"/>
              </w:rPr>
            </w:pPr>
          </w:p>
        </w:tc>
        <w:tc>
          <w:tcPr>
            <w:tcW w:w="1313" w:type="dxa"/>
            <w:vAlign w:val="center"/>
          </w:tcPr>
          <w:p w14:paraId="141A7DE8">
            <w:pPr>
              <w:jc w:val="center"/>
              <w:rPr>
                <w:rFonts w:ascii="宋体" w:hAnsi="宋体"/>
                <w:b/>
                <w:bCs/>
                <w:color w:val="auto"/>
                <w:szCs w:val="44"/>
              </w:rPr>
            </w:pPr>
            <w:r>
              <w:rPr>
                <w:rFonts w:hint="eastAsia" w:ascii="宋体" w:hAnsi="宋体"/>
                <w:b/>
                <w:bCs/>
                <w:color w:val="auto"/>
                <w:szCs w:val="44"/>
              </w:rPr>
              <w:t>评委1</w:t>
            </w:r>
          </w:p>
        </w:tc>
        <w:tc>
          <w:tcPr>
            <w:tcW w:w="1314" w:type="dxa"/>
            <w:vAlign w:val="center"/>
          </w:tcPr>
          <w:p w14:paraId="32A79E77">
            <w:pPr>
              <w:jc w:val="center"/>
              <w:rPr>
                <w:rFonts w:ascii="宋体" w:hAnsi="宋体"/>
                <w:b/>
                <w:bCs/>
                <w:color w:val="auto"/>
                <w:szCs w:val="44"/>
              </w:rPr>
            </w:pPr>
            <w:r>
              <w:rPr>
                <w:rFonts w:hint="eastAsia" w:ascii="宋体" w:hAnsi="宋体"/>
                <w:b/>
                <w:bCs/>
                <w:color w:val="auto"/>
                <w:szCs w:val="44"/>
              </w:rPr>
              <w:t>评委</w:t>
            </w:r>
            <w:r>
              <w:rPr>
                <w:rFonts w:ascii="宋体" w:hAnsi="宋体"/>
                <w:b/>
                <w:bCs/>
                <w:color w:val="auto"/>
                <w:szCs w:val="44"/>
              </w:rPr>
              <w:t>2</w:t>
            </w:r>
          </w:p>
        </w:tc>
        <w:tc>
          <w:tcPr>
            <w:tcW w:w="1314" w:type="dxa"/>
            <w:vAlign w:val="center"/>
          </w:tcPr>
          <w:p w14:paraId="6FCA8AB4">
            <w:pPr>
              <w:jc w:val="center"/>
              <w:rPr>
                <w:rFonts w:ascii="宋体" w:hAnsi="宋体"/>
                <w:b/>
                <w:bCs/>
                <w:color w:val="auto"/>
                <w:szCs w:val="44"/>
              </w:rPr>
            </w:pPr>
            <w:r>
              <w:rPr>
                <w:rFonts w:ascii="宋体" w:hAnsi="宋体"/>
                <w:b/>
                <w:bCs/>
                <w:color w:val="auto"/>
                <w:szCs w:val="44"/>
              </w:rPr>
              <w:t>……</w:t>
            </w:r>
          </w:p>
        </w:tc>
        <w:tc>
          <w:tcPr>
            <w:tcW w:w="1313" w:type="dxa"/>
            <w:vAlign w:val="center"/>
          </w:tcPr>
          <w:p w14:paraId="5AFA7B80">
            <w:pPr>
              <w:jc w:val="center"/>
              <w:rPr>
                <w:rFonts w:ascii="宋体" w:hAnsi="宋体"/>
                <w:b/>
                <w:bCs/>
                <w:color w:val="auto"/>
                <w:szCs w:val="44"/>
              </w:rPr>
            </w:pPr>
          </w:p>
        </w:tc>
        <w:tc>
          <w:tcPr>
            <w:tcW w:w="1314" w:type="dxa"/>
            <w:vAlign w:val="center"/>
          </w:tcPr>
          <w:p w14:paraId="652975D5">
            <w:pPr>
              <w:jc w:val="center"/>
              <w:rPr>
                <w:rFonts w:ascii="宋体" w:hAnsi="宋体"/>
                <w:b/>
                <w:bCs/>
                <w:color w:val="auto"/>
                <w:szCs w:val="44"/>
              </w:rPr>
            </w:pPr>
          </w:p>
        </w:tc>
        <w:tc>
          <w:tcPr>
            <w:tcW w:w="1314" w:type="dxa"/>
            <w:vAlign w:val="center"/>
          </w:tcPr>
          <w:p w14:paraId="0CC9E842">
            <w:pPr>
              <w:jc w:val="center"/>
              <w:rPr>
                <w:rFonts w:ascii="宋体" w:hAnsi="宋体"/>
                <w:b/>
                <w:bCs/>
                <w:color w:val="auto"/>
                <w:szCs w:val="44"/>
              </w:rPr>
            </w:pPr>
          </w:p>
        </w:tc>
        <w:tc>
          <w:tcPr>
            <w:tcW w:w="1179" w:type="dxa"/>
            <w:vAlign w:val="center"/>
          </w:tcPr>
          <w:p w14:paraId="51A1B23D">
            <w:pPr>
              <w:jc w:val="center"/>
              <w:rPr>
                <w:rFonts w:ascii="宋体" w:hAnsi="宋体"/>
                <w:b/>
                <w:bCs/>
                <w:color w:val="auto"/>
                <w:szCs w:val="44"/>
              </w:rPr>
            </w:pPr>
          </w:p>
        </w:tc>
        <w:tc>
          <w:tcPr>
            <w:tcW w:w="2020" w:type="dxa"/>
            <w:vMerge w:val="continue"/>
            <w:vAlign w:val="center"/>
          </w:tcPr>
          <w:p w14:paraId="129FF956">
            <w:pPr>
              <w:jc w:val="center"/>
              <w:rPr>
                <w:rFonts w:ascii="宋体" w:hAnsi="宋体"/>
                <w:b/>
                <w:bCs/>
                <w:color w:val="auto"/>
                <w:szCs w:val="44"/>
              </w:rPr>
            </w:pPr>
          </w:p>
        </w:tc>
      </w:tr>
      <w:tr w14:paraId="0660E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27CA4221">
            <w:pPr>
              <w:jc w:val="center"/>
              <w:rPr>
                <w:rFonts w:ascii="宋体" w:hAnsi="宋体"/>
                <w:color w:val="auto"/>
                <w:szCs w:val="44"/>
              </w:rPr>
            </w:pPr>
            <w:r>
              <w:rPr>
                <w:rFonts w:hint="eastAsia" w:ascii="宋体" w:hAnsi="宋体"/>
                <w:color w:val="auto"/>
                <w:szCs w:val="44"/>
              </w:rPr>
              <w:t>1</w:t>
            </w:r>
          </w:p>
        </w:tc>
        <w:tc>
          <w:tcPr>
            <w:tcW w:w="1753" w:type="dxa"/>
            <w:vAlign w:val="center"/>
          </w:tcPr>
          <w:p w14:paraId="70C7D961">
            <w:pPr>
              <w:jc w:val="center"/>
              <w:rPr>
                <w:rFonts w:ascii="宋体" w:hAnsi="宋体"/>
                <w:color w:val="auto"/>
                <w:szCs w:val="21"/>
              </w:rPr>
            </w:pPr>
          </w:p>
        </w:tc>
        <w:tc>
          <w:tcPr>
            <w:tcW w:w="1313" w:type="dxa"/>
            <w:vAlign w:val="center"/>
          </w:tcPr>
          <w:p w14:paraId="24DAD27E">
            <w:pPr>
              <w:rPr>
                <w:rFonts w:ascii="宋体" w:hAnsi="宋体"/>
                <w:color w:val="auto"/>
                <w:szCs w:val="21"/>
              </w:rPr>
            </w:pPr>
          </w:p>
        </w:tc>
        <w:tc>
          <w:tcPr>
            <w:tcW w:w="1314" w:type="dxa"/>
            <w:vAlign w:val="center"/>
          </w:tcPr>
          <w:p w14:paraId="5E52DA70">
            <w:pPr>
              <w:jc w:val="center"/>
              <w:rPr>
                <w:rFonts w:ascii="宋体" w:hAnsi="宋体"/>
                <w:color w:val="auto"/>
                <w:szCs w:val="44"/>
              </w:rPr>
            </w:pPr>
          </w:p>
        </w:tc>
        <w:tc>
          <w:tcPr>
            <w:tcW w:w="1314" w:type="dxa"/>
            <w:vAlign w:val="center"/>
          </w:tcPr>
          <w:p w14:paraId="76D2D5FC">
            <w:pPr>
              <w:jc w:val="center"/>
              <w:rPr>
                <w:rFonts w:ascii="宋体" w:hAnsi="宋体"/>
                <w:color w:val="auto"/>
                <w:szCs w:val="44"/>
              </w:rPr>
            </w:pPr>
          </w:p>
        </w:tc>
        <w:tc>
          <w:tcPr>
            <w:tcW w:w="1313" w:type="dxa"/>
            <w:vAlign w:val="center"/>
          </w:tcPr>
          <w:p w14:paraId="791FEE32">
            <w:pPr>
              <w:jc w:val="center"/>
              <w:rPr>
                <w:rFonts w:ascii="宋体" w:hAnsi="宋体"/>
                <w:color w:val="auto"/>
                <w:szCs w:val="44"/>
              </w:rPr>
            </w:pPr>
          </w:p>
        </w:tc>
        <w:tc>
          <w:tcPr>
            <w:tcW w:w="1314" w:type="dxa"/>
            <w:vAlign w:val="center"/>
          </w:tcPr>
          <w:p w14:paraId="45D4FE31">
            <w:pPr>
              <w:jc w:val="center"/>
              <w:rPr>
                <w:rFonts w:ascii="宋体" w:hAnsi="宋体"/>
                <w:color w:val="auto"/>
                <w:szCs w:val="44"/>
              </w:rPr>
            </w:pPr>
          </w:p>
        </w:tc>
        <w:tc>
          <w:tcPr>
            <w:tcW w:w="1314" w:type="dxa"/>
            <w:vAlign w:val="center"/>
          </w:tcPr>
          <w:p w14:paraId="1738E247">
            <w:pPr>
              <w:jc w:val="center"/>
              <w:rPr>
                <w:rFonts w:ascii="宋体" w:hAnsi="宋体"/>
                <w:color w:val="auto"/>
                <w:szCs w:val="44"/>
              </w:rPr>
            </w:pPr>
          </w:p>
        </w:tc>
        <w:tc>
          <w:tcPr>
            <w:tcW w:w="1179" w:type="dxa"/>
            <w:vAlign w:val="center"/>
          </w:tcPr>
          <w:p w14:paraId="600C676F">
            <w:pPr>
              <w:jc w:val="center"/>
              <w:rPr>
                <w:rFonts w:ascii="宋体" w:hAnsi="宋体"/>
                <w:color w:val="auto"/>
                <w:szCs w:val="44"/>
              </w:rPr>
            </w:pPr>
          </w:p>
        </w:tc>
        <w:tc>
          <w:tcPr>
            <w:tcW w:w="2020" w:type="dxa"/>
            <w:vAlign w:val="center"/>
          </w:tcPr>
          <w:p w14:paraId="191B7256">
            <w:pPr>
              <w:jc w:val="center"/>
              <w:rPr>
                <w:rFonts w:ascii="宋体" w:hAnsi="宋体"/>
                <w:color w:val="auto"/>
                <w:szCs w:val="44"/>
              </w:rPr>
            </w:pPr>
          </w:p>
        </w:tc>
      </w:tr>
      <w:tr w14:paraId="6F5B8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4C91C2E1">
            <w:pPr>
              <w:jc w:val="center"/>
              <w:rPr>
                <w:rFonts w:ascii="宋体" w:hAnsi="宋体"/>
                <w:color w:val="auto"/>
                <w:szCs w:val="44"/>
              </w:rPr>
            </w:pPr>
            <w:r>
              <w:rPr>
                <w:rFonts w:hint="eastAsia" w:ascii="宋体" w:hAnsi="宋体"/>
                <w:color w:val="auto"/>
                <w:szCs w:val="44"/>
              </w:rPr>
              <w:t>2</w:t>
            </w:r>
          </w:p>
        </w:tc>
        <w:tc>
          <w:tcPr>
            <w:tcW w:w="1753" w:type="dxa"/>
            <w:vAlign w:val="center"/>
          </w:tcPr>
          <w:p w14:paraId="0DD75186">
            <w:pPr>
              <w:jc w:val="center"/>
              <w:rPr>
                <w:rFonts w:ascii="宋体" w:hAnsi="宋体"/>
                <w:color w:val="auto"/>
                <w:szCs w:val="44"/>
              </w:rPr>
            </w:pPr>
          </w:p>
        </w:tc>
        <w:tc>
          <w:tcPr>
            <w:tcW w:w="1313" w:type="dxa"/>
            <w:vAlign w:val="center"/>
          </w:tcPr>
          <w:p w14:paraId="31C52FBC">
            <w:pPr>
              <w:jc w:val="center"/>
              <w:rPr>
                <w:color w:val="auto"/>
              </w:rPr>
            </w:pPr>
          </w:p>
        </w:tc>
        <w:tc>
          <w:tcPr>
            <w:tcW w:w="1314" w:type="dxa"/>
            <w:vAlign w:val="center"/>
          </w:tcPr>
          <w:p w14:paraId="766E0494">
            <w:pPr>
              <w:jc w:val="center"/>
              <w:rPr>
                <w:rFonts w:ascii="宋体" w:hAnsi="宋体"/>
                <w:color w:val="auto"/>
                <w:szCs w:val="44"/>
              </w:rPr>
            </w:pPr>
          </w:p>
        </w:tc>
        <w:tc>
          <w:tcPr>
            <w:tcW w:w="1314" w:type="dxa"/>
            <w:vAlign w:val="center"/>
          </w:tcPr>
          <w:p w14:paraId="7B15326B">
            <w:pPr>
              <w:jc w:val="center"/>
              <w:rPr>
                <w:rFonts w:ascii="宋体" w:hAnsi="宋体"/>
                <w:color w:val="auto"/>
                <w:szCs w:val="44"/>
              </w:rPr>
            </w:pPr>
          </w:p>
        </w:tc>
        <w:tc>
          <w:tcPr>
            <w:tcW w:w="1313" w:type="dxa"/>
            <w:vAlign w:val="center"/>
          </w:tcPr>
          <w:p w14:paraId="75A713E4">
            <w:pPr>
              <w:jc w:val="center"/>
              <w:rPr>
                <w:rFonts w:ascii="宋体" w:hAnsi="宋体"/>
                <w:color w:val="auto"/>
                <w:szCs w:val="44"/>
              </w:rPr>
            </w:pPr>
          </w:p>
        </w:tc>
        <w:tc>
          <w:tcPr>
            <w:tcW w:w="1314" w:type="dxa"/>
            <w:vAlign w:val="center"/>
          </w:tcPr>
          <w:p w14:paraId="7A400389">
            <w:pPr>
              <w:jc w:val="center"/>
              <w:rPr>
                <w:rFonts w:ascii="宋体" w:hAnsi="宋体"/>
                <w:color w:val="auto"/>
                <w:szCs w:val="44"/>
              </w:rPr>
            </w:pPr>
          </w:p>
        </w:tc>
        <w:tc>
          <w:tcPr>
            <w:tcW w:w="1314" w:type="dxa"/>
            <w:vAlign w:val="center"/>
          </w:tcPr>
          <w:p w14:paraId="12B93E3E">
            <w:pPr>
              <w:jc w:val="center"/>
              <w:rPr>
                <w:rFonts w:ascii="宋体" w:hAnsi="宋体"/>
                <w:color w:val="auto"/>
                <w:szCs w:val="44"/>
              </w:rPr>
            </w:pPr>
          </w:p>
        </w:tc>
        <w:tc>
          <w:tcPr>
            <w:tcW w:w="1179" w:type="dxa"/>
            <w:vAlign w:val="center"/>
          </w:tcPr>
          <w:p w14:paraId="35A09375">
            <w:pPr>
              <w:jc w:val="center"/>
              <w:rPr>
                <w:rFonts w:ascii="宋体" w:hAnsi="宋体"/>
                <w:color w:val="auto"/>
                <w:szCs w:val="44"/>
              </w:rPr>
            </w:pPr>
          </w:p>
        </w:tc>
        <w:tc>
          <w:tcPr>
            <w:tcW w:w="2020" w:type="dxa"/>
            <w:vAlign w:val="center"/>
          </w:tcPr>
          <w:p w14:paraId="7C9C19F5">
            <w:pPr>
              <w:jc w:val="center"/>
              <w:rPr>
                <w:rFonts w:ascii="宋体" w:hAnsi="宋体"/>
                <w:color w:val="auto"/>
                <w:szCs w:val="44"/>
              </w:rPr>
            </w:pPr>
          </w:p>
        </w:tc>
      </w:tr>
      <w:tr w14:paraId="034BD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14C7C601">
            <w:pPr>
              <w:jc w:val="center"/>
              <w:rPr>
                <w:rFonts w:ascii="宋体" w:hAnsi="宋体"/>
                <w:color w:val="auto"/>
                <w:szCs w:val="44"/>
              </w:rPr>
            </w:pPr>
            <w:r>
              <w:rPr>
                <w:rFonts w:hint="eastAsia" w:ascii="宋体" w:hAnsi="宋体"/>
                <w:color w:val="auto"/>
                <w:szCs w:val="44"/>
              </w:rPr>
              <w:t>3</w:t>
            </w:r>
          </w:p>
        </w:tc>
        <w:tc>
          <w:tcPr>
            <w:tcW w:w="1753" w:type="dxa"/>
            <w:vAlign w:val="center"/>
          </w:tcPr>
          <w:p w14:paraId="244B16DA">
            <w:pPr>
              <w:jc w:val="center"/>
              <w:rPr>
                <w:rFonts w:ascii="宋体" w:hAnsi="宋体"/>
                <w:color w:val="auto"/>
                <w:szCs w:val="44"/>
              </w:rPr>
            </w:pPr>
          </w:p>
        </w:tc>
        <w:tc>
          <w:tcPr>
            <w:tcW w:w="1313" w:type="dxa"/>
            <w:vAlign w:val="center"/>
          </w:tcPr>
          <w:p w14:paraId="3F11172B">
            <w:pPr>
              <w:jc w:val="center"/>
              <w:rPr>
                <w:color w:val="auto"/>
              </w:rPr>
            </w:pPr>
          </w:p>
        </w:tc>
        <w:tc>
          <w:tcPr>
            <w:tcW w:w="1314" w:type="dxa"/>
            <w:vAlign w:val="center"/>
          </w:tcPr>
          <w:p w14:paraId="4E4C4F41">
            <w:pPr>
              <w:jc w:val="center"/>
              <w:rPr>
                <w:rFonts w:ascii="宋体" w:hAnsi="宋体"/>
                <w:color w:val="auto"/>
                <w:szCs w:val="44"/>
              </w:rPr>
            </w:pPr>
          </w:p>
        </w:tc>
        <w:tc>
          <w:tcPr>
            <w:tcW w:w="1314" w:type="dxa"/>
            <w:vAlign w:val="center"/>
          </w:tcPr>
          <w:p w14:paraId="14B39FBD">
            <w:pPr>
              <w:jc w:val="center"/>
              <w:rPr>
                <w:rFonts w:ascii="宋体" w:hAnsi="宋体"/>
                <w:color w:val="auto"/>
                <w:szCs w:val="44"/>
              </w:rPr>
            </w:pPr>
          </w:p>
        </w:tc>
        <w:tc>
          <w:tcPr>
            <w:tcW w:w="1313" w:type="dxa"/>
            <w:vAlign w:val="center"/>
          </w:tcPr>
          <w:p w14:paraId="310CDB86">
            <w:pPr>
              <w:jc w:val="center"/>
              <w:rPr>
                <w:rFonts w:ascii="宋体" w:hAnsi="宋体"/>
                <w:color w:val="auto"/>
                <w:szCs w:val="44"/>
              </w:rPr>
            </w:pPr>
          </w:p>
        </w:tc>
        <w:tc>
          <w:tcPr>
            <w:tcW w:w="1314" w:type="dxa"/>
            <w:vAlign w:val="center"/>
          </w:tcPr>
          <w:p w14:paraId="03F1ADA7">
            <w:pPr>
              <w:jc w:val="center"/>
              <w:rPr>
                <w:rFonts w:ascii="宋体" w:hAnsi="宋体"/>
                <w:color w:val="auto"/>
                <w:szCs w:val="44"/>
              </w:rPr>
            </w:pPr>
          </w:p>
        </w:tc>
        <w:tc>
          <w:tcPr>
            <w:tcW w:w="1314" w:type="dxa"/>
            <w:vAlign w:val="center"/>
          </w:tcPr>
          <w:p w14:paraId="79668344">
            <w:pPr>
              <w:jc w:val="center"/>
              <w:rPr>
                <w:rFonts w:ascii="宋体" w:hAnsi="宋体"/>
                <w:color w:val="auto"/>
                <w:szCs w:val="44"/>
              </w:rPr>
            </w:pPr>
          </w:p>
        </w:tc>
        <w:tc>
          <w:tcPr>
            <w:tcW w:w="1179" w:type="dxa"/>
            <w:vAlign w:val="center"/>
          </w:tcPr>
          <w:p w14:paraId="1584F58A">
            <w:pPr>
              <w:jc w:val="center"/>
              <w:rPr>
                <w:rFonts w:ascii="宋体" w:hAnsi="宋体"/>
                <w:color w:val="auto"/>
                <w:szCs w:val="44"/>
              </w:rPr>
            </w:pPr>
          </w:p>
        </w:tc>
        <w:tc>
          <w:tcPr>
            <w:tcW w:w="2020" w:type="dxa"/>
            <w:vAlign w:val="center"/>
          </w:tcPr>
          <w:p w14:paraId="635DD8FE">
            <w:pPr>
              <w:jc w:val="center"/>
              <w:rPr>
                <w:rFonts w:ascii="宋体" w:hAnsi="宋体"/>
                <w:color w:val="auto"/>
                <w:szCs w:val="44"/>
              </w:rPr>
            </w:pPr>
          </w:p>
        </w:tc>
      </w:tr>
      <w:tr w14:paraId="5D5C1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679F1EA4">
            <w:pPr>
              <w:jc w:val="center"/>
              <w:rPr>
                <w:rFonts w:ascii="宋体" w:hAnsi="宋体"/>
                <w:color w:val="auto"/>
                <w:szCs w:val="44"/>
              </w:rPr>
            </w:pPr>
            <w:r>
              <w:rPr>
                <w:rFonts w:hint="eastAsia" w:ascii="宋体" w:hAnsi="宋体"/>
                <w:color w:val="auto"/>
                <w:szCs w:val="44"/>
              </w:rPr>
              <w:t>4</w:t>
            </w:r>
          </w:p>
        </w:tc>
        <w:tc>
          <w:tcPr>
            <w:tcW w:w="1753" w:type="dxa"/>
            <w:vAlign w:val="center"/>
          </w:tcPr>
          <w:p w14:paraId="704282A0">
            <w:pPr>
              <w:jc w:val="center"/>
              <w:rPr>
                <w:rFonts w:ascii="宋体" w:hAnsi="宋体"/>
                <w:color w:val="auto"/>
                <w:szCs w:val="44"/>
              </w:rPr>
            </w:pPr>
          </w:p>
        </w:tc>
        <w:tc>
          <w:tcPr>
            <w:tcW w:w="1313" w:type="dxa"/>
            <w:vAlign w:val="center"/>
          </w:tcPr>
          <w:p w14:paraId="35E0DB37">
            <w:pPr>
              <w:jc w:val="center"/>
              <w:rPr>
                <w:color w:val="auto"/>
              </w:rPr>
            </w:pPr>
          </w:p>
        </w:tc>
        <w:tc>
          <w:tcPr>
            <w:tcW w:w="1314" w:type="dxa"/>
            <w:vAlign w:val="center"/>
          </w:tcPr>
          <w:p w14:paraId="5C8594E5">
            <w:pPr>
              <w:jc w:val="center"/>
              <w:rPr>
                <w:rFonts w:ascii="宋体" w:hAnsi="宋体"/>
                <w:color w:val="auto"/>
                <w:szCs w:val="44"/>
              </w:rPr>
            </w:pPr>
          </w:p>
        </w:tc>
        <w:tc>
          <w:tcPr>
            <w:tcW w:w="1314" w:type="dxa"/>
            <w:vAlign w:val="center"/>
          </w:tcPr>
          <w:p w14:paraId="089780B9">
            <w:pPr>
              <w:jc w:val="center"/>
              <w:rPr>
                <w:rFonts w:ascii="宋体" w:hAnsi="宋体"/>
                <w:color w:val="auto"/>
                <w:szCs w:val="44"/>
              </w:rPr>
            </w:pPr>
          </w:p>
        </w:tc>
        <w:tc>
          <w:tcPr>
            <w:tcW w:w="1313" w:type="dxa"/>
            <w:vAlign w:val="center"/>
          </w:tcPr>
          <w:p w14:paraId="70121B0F">
            <w:pPr>
              <w:jc w:val="center"/>
              <w:rPr>
                <w:rFonts w:ascii="宋体" w:hAnsi="宋体"/>
                <w:color w:val="auto"/>
                <w:szCs w:val="44"/>
              </w:rPr>
            </w:pPr>
          </w:p>
        </w:tc>
        <w:tc>
          <w:tcPr>
            <w:tcW w:w="1314" w:type="dxa"/>
            <w:vAlign w:val="center"/>
          </w:tcPr>
          <w:p w14:paraId="7EF0143E">
            <w:pPr>
              <w:jc w:val="center"/>
              <w:rPr>
                <w:rFonts w:ascii="宋体" w:hAnsi="宋体"/>
                <w:color w:val="auto"/>
                <w:szCs w:val="44"/>
              </w:rPr>
            </w:pPr>
          </w:p>
        </w:tc>
        <w:tc>
          <w:tcPr>
            <w:tcW w:w="1314" w:type="dxa"/>
            <w:vAlign w:val="center"/>
          </w:tcPr>
          <w:p w14:paraId="1050A97C">
            <w:pPr>
              <w:jc w:val="center"/>
              <w:rPr>
                <w:rFonts w:ascii="宋体" w:hAnsi="宋体"/>
                <w:color w:val="auto"/>
                <w:szCs w:val="44"/>
              </w:rPr>
            </w:pPr>
          </w:p>
        </w:tc>
        <w:tc>
          <w:tcPr>
            <w:tcW w:w="1179" w:type="dxa"/>
            <w:vAlign w:val="center"/>
          </w:tcPr>
          <w:p w14:paraId="572984D2">
            <w:pPr>
              <w:jc w:val="center"/>
              <w:rPr>
                <w:rFonts w:ascii="宋体" w:hAnsi="宋体"/>
                <w:color w:val="auto"/>
                <w:szCs w:val="44"/>
              </w:rPr>
            </w:pPr>
          </w:p>
        </w:tc>
        <w:tc>
          <w:tcPr>
            <w:tcW w:w="2020" w:type="dxa"/>
            <w:vAlign w:val="center"/>
          </w:tcPr>
          <w:p w14:paraId="50DE0C8F">
            <w:pPr>
              <w:jc w:val="center"/>
              <w:rPr>
                <w:rFonts w:ascii="宋体" w:hAnsi="宋体"/>
                <w:color w:val="auto"/>
                <w:szCs w:val="44"/>
              </w:rPr>
            </w:pPr>
          </w:p>
        </w:tc>
      </w:tr>
      <w:tr w14:paraId="66E7F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tcBorders>
              <w:bottom w:val="single" w:color="auto" w:sz="4" w:space="0"/>
            </w:tcBorders>
            <w:vAlign w:val="center"/>
          </w:tcPr>
          <w:p w14:paraId="67311CF0">
            <w:pPr>
              <w:jc w:val="center"/>
              <w:rPr>
                <w:rFonts w:ascii="宋体" w:hAnsi="宋体"/>
                <w:color w:val="auto"/>
                <w:szCs w:val="44"/>
              </w:rPr>
            </w:pPr>
            <w:r>
              <w:rPr>
                <w:rFonts w:hint="eastAsia" w:ascii="宋体" w:hAnsi="宋体"/>
                <w:color w:val="auto"/>
                <w:szCs w:val="44"/>
              </w:rPr>
              <w:t>5</w:t>
            </w:r>
          </w:p>
        </w:tc>
        <w:tc>
          <w:tcPr>
            <w:tcW w:w="1753" w:type="dxa"/>
            <w:tcBorders>
              <w:bottom w:val="single" w:color="auto" w:sz="4" w:space="0"/>
            </w:tcBorders>
            <w:vAlign w:val="center"/>
          </w:tcPr>
          <w:p w14:paraId="355F3C2A">
            <w:pPr>
              <w:jc w:val="center"/>
              <w:rPr>
                <w:rFonts w:ascii="宋体" w:hAnsi="宋体"/>
                <w:color w:val="auto"/>
                <w:szCs w:val="44"/>
              </w:rPr>
            </w:pPr>
          </w:p>
        </w:tc>
        <w:tc>
          <w:tcPr>
            <w:tcW w:w="1313" w:type="dxa"/>
            <w:tcBorders>
              <w:bottom w:val="single" w:color="auto" w:sz="4" w:space="0"/>
            </w:tcBorders>
            <w:vAlign w:val="center"/>
          </w:tcPr>
          <w:p w14:paraId="29DEE93F">
            <w:pPr>
              <w:jc w:val="center"/>
              <w:rPr>
                <w:color w:val="auto"/>
              </w:rPr>
            </w:pPr>
          </w:p>
        </w:tc>
        <w:tc>
          <w:tcPr>
            <w:tcW w:w="1314" w:type="dxa"/>
            <w:tcBorders>
              <w:bottom w:val="single" w:color="auto" w:sz="4" w:space="0"/>
            </w:tcBorders>
            <w:vAlign w:val="center"/>
          </w:tcPr>
          <w:p w14:paraId="6F61EB97">
            <w:pPr>
              <w:jc w:val="center"/>
              <w:rPr>
                <w:rFonts w:ascii="宋体" w:hAnsi="宋体"/>
                <w:color w:val="auto"/>
                <w:szCs w:val="44"/>
              </w:rPr>
            </w:pPr>
          </w:p>
        </w:tc>
        <w:tc>
          <w:tcPr>
            <w:tcW w:w="1314" w:type="dxa"/>
            <w:tcBorders>
              <w:bottom w:val="single" w:color="auto" w:sz="4" w:space="0"/>
            </w:tcBorders>
            <w:vAlign w:val="center"/>
          </w:tcPr>
          <w:p w14:paraId="28A92413">
            <w:pPr>
              <w:jc w:val="center"/>
              <w:rPr>
                <w:rFonts w:ascii="宋体" w:hAnsi="宋体"/>
                <w:color w:val="auto"/>
                <w:szCs w:val="44"/>
              </w:rPr>
            </w:pPr>
          </w:p>
        </w:tc>
        <w:tc>
          <w:tcPr>
            <w:tcW w:w="1313" w:type="dxa"/>
            <w:tcBorders>
              <w:bottom w:val="single" w:color="auto" w:sz="4" w:space="0"/>
            </w:tcBorders>
            <w:vAlign w:val="center"/>
          </w:tcPr>
          <w:p w14:paraId="32A31B7D">
            <w:pPr>
              <w:jc w:val="center"/>
              <w:rPr>
                <w:rFonts w:ascii="宋体" w:hAnsi="宋体"/>
                <w:color w:val="auto"/>
                <w:szCs w:val="44"/>
              </w:rPr>
            </w:pPr>
          </w:p>
        </w:tc>
        <w:tc>
          <w:tcPr>
            <w:tcW w:w="1314" w:type="dxa"/>
            <w:tcBorders>
              <w:bottom w:val="single" w:color="auto" w:sz="4" w:space="0"/>
            </w:tcBorders>
            <w:vAlign w:val="center"/>
          </w:tcPr>
          <w:p w14:paraId="4502AF63">
            <w:pPr>
              <w:jc w:val="center"/>
              <w:rPr>
                <w:rFonts w:ascii="宋体" w:hAnsi="宋体"/>
                <w:color w:val="auto"/>
                <w:szCs w:val="44"/>
              </w:rPr>
            </w:pPr>
          </w:p>
        </w:tc>
        <w:tc>
          <w:tcPr>
            <w:tcW w:w="1314" w:type="dxa"/>
            <w:tcBorders>
              <w:bottom w:val="single" w:color="auto" w:sz="4" w:space="0"/>
            </w:tcBorders>
            <w:vAlign w:val="center"/>
          </w:tcPr>
          <w:p w14:paraId="1CD9A176">
            <w:pPr>
              <w:jc w:val="center"/>
              <w:rPr>
                <w:rFonts w:ascii="宋体" w:hAnsi="宋体"/>
                <w:color w:val="auto"/>
                <w:szCs w:val="44"/>
              </w:rPr>
            </w:pPr>
          </w:p>
        </w:tc>
        <w:tc>
          <w:tcPr>
            <w:tcW w:w="1179" w:type="dxa"/>
            <w:tcBorders>
              <w:bottom w:val="single" w:color="auto" w:sz="4" w:space="0"/>
            </w:tcBorders>
            <w:vAlign w:val="center"/>
          </w:tcPr>
          <w:p w14:paraId="58F883DC">
            <w:pPr>
              <w:jc w:val="center"/>
              <w:rPr>
                <w:rFonts w:ascii="宋体" w:hAnsi="宋体"/>
                <w:color w:val="auto"/>
                <w:szCs w:val="44"/>
              </w:rPr>
            </w:pPr>
          </w:p>
        </w:tc>
        <w:tc>
          <w:tcPr>
            <w:tcW w:w="2020" w:type="dxa"/>
            <w:tcBorders>
              <w:bottom w:val="single" w:color="auto" w:sz="4" w:space="0"/>
            </w:tcBorders>
            <w:vAlign w:val="center"/>
          </w:tcPr>
          <w:p w14:paraId="60047246">
            <w:pPr>
              <w:jc w:val="center"/>
              <w:rPr>
                <w:rFonts w:ascii="宋体" w:hAnsi="宋体"/>
                <w:color w:val="auto"/>
                <w:szCs w:val="44"/>
              </w:rPr>
            </w:pPr>
          </w:p>
        </w:tc>
      </w:tr>
      <w:tr w14:paraId="7BF8A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tcBorders>
              <w:top w:val="single" w:color="auto" w:sz="4" w:space="0"/>
              <w:left w:val="single" w:color="auto" w:sz="4" w:space="0"/>
              <w:bottom w:val="single" w:color="auto" w:sz="4" w:space="0"/>
              <w:right w:val="single" w:color="auto" w:sz="4" w:space="0"/>
            </w:tcBorders>
            <w:vAlign w:val="center"/>
          </w:tcPr>
          <w:p w14:paraId="7B638BA9">
            <w:pPr>
              <w:jc w:val="center"/>
              <w:rPr>
                <w:rFonts w:ascii="宋体" w:hAnsi="宋体"/>
                <w:color w:val="auto"/>
                <w:szCs w:val="44"/>
              </w:rPr>
            </w:pPr>
            <w:r>
              <w:rPr>
                <w:rFonts w:hint="eastAsia" w:ascii="宋体" w:hAnsi="宋体"/>
                <w:color w:val="auto"/>
                <w:szCs w:val="44"/>
              </w:rPr>
              <w:t>…</w:t>
            </w:r>
            <w:r>
              <w:rPr>
                <w:rFonts w:ascii="宋体" w:hAnsi="宋体"/>
                <w:color w:val="auto"/>
                <w:szCs w:val="44"/>
              </w:rPr>
              <w:t>…</w:t>
            </w:r>
          </w:p>
        </w:tc>
        <w:tc>
          <w:tcPr>
            <w:tcW w:w="1753" w:type="dxa"/>
            <w:tcBorders>
              <w:top w:val="single" w:color="auto" w:sz="4" w:space="0"/>
              <w:left w:val="single" w:color="auto" w:sz="4" w:space="0"/>
              <w:bottom w:val="single" w:color="auto" w:sz="4" w:space="0"/>
              <w:right w:val="single" w:color="auto" w:sz="4" w:space="0"/>
            </w:tcBorders>
            <w:vAlign w:val="center"/>
          </w:tcPr>
          <w:p w14:paraId="46C1495A">
            <w:pPr>
              <w:rPr>
                <w:rFonts w:ascii="宋体" w:hAnsi="宋体"/>
                <w:color w:val="auto"/>
                <w:szCs w:val="21"/>
              </w:rPr>
            </w:pPr>
          </w:p>
        </w:tc>
        <w:tc>
          <w:tcPr>
            <w:tcW w:w="1313" w:type="dxa"/>
            <w:tcBorders>
              <w:top w:val="single" w:color="auto" w:sz="4" w:space="0"/>
              <w:left w:val="single" w:color="auto" w:sz="4" w:space="0"/>
              <w:bottom w:val="single" w:color="auto" w:sz="4" w:space="0"/>
              <w:right w:val="single" w:color="auto" w:sz="4" w:space="0"/>
            </w:tcBorders>
            <w:vAlign w:val="center"/>
          </w:tcPr>
          <w:p w14:paraId="3A476997">
            <w:pPr>
              <w:jc w:val="center"/>
              <w:rPr>
                <w:color w:val="auto"/>
              </w:rPr>
            </w:pPr>
          </w:p>
        </w:tc>
        <w:tc>
          <w:tcPr>
            <w:tcW w:w="1314" w:type="dxa"/>
            <w:tcBorders>
              <w:top w:val="single" w:color="auto" w:sz="4" w:space="0"/>
              <w:left w:val="single" w:color="auto" w:sz="4" w:space="0"/>
              <w:bottom w:val="single" w:color="auto" w:sz="4" w:space="0"/>
              <w:right w:val="single" w:color="auto" w:sz="4" w:space="0"/>
            </w:tcBorders>
            <w:vAlign w:val="center"/>
          </w:tcPr>
          <w:p w14:paraId="2057DAAC">
            <w:pPr>
              <w:jc w:val="center"/>
              <w:rPr>
                <w:rFonts w:ascii="宋体" w:hAnsi="宋体"/>
                <w:color w:val="auto"/>
                <w:szCs w:val="44"/>
              </w:rPr>
            </w:pPr>
          </w:p>
        </w:tc>
        <w:tc>
          <w:tcPr>
            <w:tcW w:w="1314" w:type="dxa"/>
            <w:tcBorders>
              <w:top w:val="single" w:color="auto" w:sz="4" w:space="0"/>
              <w:left w:val="single" w:color="auto" w:sz="4" w:space="0"/>
              <w:bottom w:val="single" w:color="auto" w:sz="4" w:space="0"/>
              <w:right w:val="single" w:color="auto" w:sz="4" w:space="0"/>
            </w:tcBorders>
            <w:vAlign w:val="center"/>
          </w:tcPr>
          <w:p w14:paraId="2E8D1528">
            <w:pPr>
              <w:jc w:val="center"/>
              <w:rPr>
                <w:rFonts w:ascii="宋体" w:hAnsi="宋体"/>
                <w:color w:val="auto"/>
                <w:szCs w:val="44"/>
              </w:rPr>
            </w:pPr>
          </w:p>
        </w:tc>
        <w:tc>
          <w:tcPr>
            <w:tcW w:w="1313" w:type="dxa"/>
            <w:tcBorders>
              <w:top w:val="single" w:color="auto" w:sz="4" w:space="0"/>
              <w:left w:val="single" w:color="auto" w:sz="4" w:space="0"/>
              <w:bottom w:val="single" w:color="auto" w:sz="4" w:space="0"/>
              <w:right w:val="single" w:color="auto" w:sz="4" w:space="0"/>
            </w:tcBorders>
            <w:vAlign w:val="center"/>
          </w:tcPr>
          <w:p w14:paraId="50A109C2">
            <w:pPr>
              <w:jc w:val="center"/>
              <w:rPr>
                <w:rFonts w:ascii="宋体" w:hAnsi="宋体"/>
                <w:color w:val="auto"/>
                <w:szCs w:val="44"/>
              </w:rPr>
            </w:pPr>
          </w:p>
        </w:tc>
        <w:tc>
          <w:tcPr>
            <w:tcW w:w="1314" w:type="dxa"/>
            <w:tcBorders>
              <w:top w:val="single" w:color="auto" w:sz="4" w:space="0"/>
              <w:left w:val="single" w:color="auto" w:sz="4" w:space="0"/>
              <w:bottom w:val="single" w:color="auto" w:sz="4" w:space="0"/>
              <w:right w:val="single" w:color="auto" w:sz="4" w:space="0"/>
            </w:tcBorders>
            <w:vAlign w:val="center"/>
          </w:tcPr>
          <w:p w14:paraId="7DCBC544">
            <w:pPr>
              <w:jc w:val="center"/>
              <w:rPr>
                <w:rFonts w:ascii="宋体" w:hAnsi="宋体"/>
                <w:color w:val="auto"/>
                <w:szCs w:val="44"/>
              </w:rPr>
            </w:pPr>
          </w:p>
        </w:tc>
        <w:tc>
          <w:tcPr>
            <w:tcW w:w="1314" w:type="dxa"/>
            <w:tcBorders>
              <w:top w:val="single" w:color="auto" w:sz="4" w:space="0"/>
              <w:left w:val="single" w:color="auto" w:sz="4" w:space="0"/>
              <w:bottom w:val="single" w:color="auto" w:sz="4" w:space="0"/>
              <w:right w:val="single" w:color="auto" w:sz="4" w:space="0"/>
            </w:tcBorders>
            <w:vAlign w:val="center"/>
          </w:tcPr>
          <w:p w14:paraId="0CDCE4D8">
            <w:pPr>
              <w:jc w:val="center"/>
              <w:rPr>
                <w:rFonts w:ascii="宋体" w:hAnsi="宋体"/>
                <w:color w:val="auto"/>
                <w:szCs w:val="44"/>
              </w:rPr>
            </w:pPr>
          </w:p>
        </w:tc>
        <w:tc>
          <w:tcPr>
            <w:tcW w:w="1179" w:type="dxa"/>
            <w:tcBorders>
              <w:top w:val="single" w:color="auto" w:sz="4" w:space="0"/>
              <w:left w:val="single" w:color="auto" w:sz="4" w:space="0"/>
              <w:bottom w:val="single" w:color="auto" w:sz="4" w:space="0"/>
              <w:right w:val="single" w:color="auto" w:sz="4" w:space="0"/>
            </w:tcBorders>
            <w:vAlign w:val="center"/>
          </w:tcPr>
          <w:p w14:paraId="00DAB832">
            <w:pPr>
              <w:jc w:val="center"/>
              <w:rPr>
                <w:rFonts w:ascii="宋体" w:hAnsi="宋体"/>
                <w:color w:val="auto"/>
                <w:szCs w:val="44"/>
              </w:rPr>
            </w:pPr>
          </w:p>
        </w:tc>
        <w:tc>
          <w:tcPr>
            <w:tcW w:w="2020" w:type="dxa"/>
            <w:tcBorders>
              <w:top w:val="single" w:color="auto" w:sz="4" w:space="0"/>
              <w:left w:val="single" w:color="auto" w:sz="4" w:space="0"/>
              <w:bottom w:val="single" w:color="auto" w:sz="4" w:space="0"/>
              <w:right w:val="single" w:color="auto" w:sz="4" w:space="0"/>
            </w:tcBorders>
            <w:vAlign w:val="center"/>
          </w:tcPr>
          <w:p w14:paraId="5E863605">
            <w:pPr>
              <w:jc w:val="center"/>
              <w:rPr>
                <w:rFonts w:ascii="宋体" w:hAnsi="宋体"/>
                <w:color w:val="auto"/>
                <w:szCs w:val="44"/>
              </w:rPr>
            </w:pPr>
          </w:p>
        </w:tc>
      </w:tr>
      <w:tr w14:paraId="4EE74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3603" w:type="dxa"/>
            <w:gridSpan w:val="10"/>
            <w:tcBorders>
              <w:top w:val="single" w:color="auto" w:sz="4" w:space="0"/>
              <w:left w:val="single" w:color="auto" w:sz="4" w:space="0"/>
              <w:bottom w:val="single" w:color="auto" w:sz="4" w:space="0"/>
              <w:right w:val="single" w:color="auto" w:sz="4" w:space="0"/>
            </w:tcBorders>
            <w:vAlign w:val="center"/>
          </w:tcPr>
          <w:p w14:paraId="334F017C">
            <w:pPr>
              <w:jc w:val="left"/>
              <w:rPr>
                <w:rFonts w:ascii="宋体" w:hAnsi="宋体"/>
                <w:color w:val="auto"/>
                <w:szCs w:val="44"/>
              </w:rPr>
            </w:pPr>
            <w:r>
              <w:rPr>
                <w:rFonts w:hint="eastAsia"/>
                <w:color w:val="auto"/>
              </w:rPr>
              <w:t xml:space="preserve">评标委员会全体成员签名： </w:t>
            </w:r>
            <w:r>
              <w:rPr>
                <w:rFonts w:hint="eastAsia" w:ascii="宋体" w:hAnsi="宋体"/>
                <w:color w:val="auto"/>
                <w:szCs w:val="44"/>
              </w:rPr>
              <w:t xml:space="preserve"> </w:t>
            </w:r>
          </w:p>
          <w:p w14:paraId="0EC38257">
            <w:pPr>
              <w:jc w:val="left"/>
              <w:rPr>
                <w:rFonts w:ascii="宋体" w:hAnsi="宋体"/>
                <w:color w:val="auto"/>
                <w:szCs w:val="44"/>
              </w:rPr>
            </w:pPr>
          </w:p>
          <w:p w14:paraId="38C5144E">
            <w:pPr>
              <w:jc w:val="left"/>
              <w:rPr>
                <w:rFonts w:ascii="宋体" w:hAnsi="宋体"/>
                <w:color w:val="auto"/>
                <w:szCs w:val="44"/>
              </w:rPr>
            </w:pPr>
          </w:p>
          <w:p w14:paraId="3C0714FF">
            <w:pPr>
              <w:jc w:val="center"/>
              <w:rPr>
                <w:rFonts w:ascii="宋体" w:hAnsi="宋体"/>
                <w:color w:val="auto"/>
                <w:szCs w:val="44"/>
              </w:rPr>
            </w:pPr>
          </w:p>
        </w:tc>
      </w:tr>
    </w:tbl>
    <w:p w14:paraId="3282F033">
      <w:pPr>
        <w:ind w:right="420"/>
        <w:jc w:val="right"/>
        <w:rPr>
          <w:color w:val="auto"/>
        </w:rPr>
      </w:pPr>
      <w:r>
        <w:rPr>
          <w:rFonts w:hint="eastAsia"/>
          <w:color w:val="auto"/>
        </w:rPr>
        <w:t xml:space="preserve">   日期：      年    月   日</w:t>
      </w:r>
    </w:p>
    <w:bookmarkEnd w:id="702"/>
    <w:p w14:paraId="4124381E">
      <w:pPr>
        <w:rPr>
          <w:color w:val="auto"/>
        </w:rPr>
      </w:pPr>
    </w:p>
    <w:p w14:paraId="21181EE0">
      <w:pPr>
        <w:rPr>
          <w:color w:val="auto"/>
        </w:rPr>
      </w:pPr>
      <w:r>
        <w:rPr>
          <w:color w:val="auto"/>
        </w:rPr>
        <w:br w:type="page"/>
      </w:r>
    </w:p>
    <w:p w14:paraId="28DB74D2">
      <w:pPr>
        <w:pStyle w:val="27"/>
        <w:rPr>
          <w:rFonts w:ascii="黑体"/>
          <w:color w:val="auto"/>
        </w:rPr>
      </w:pPr>
      <w:bookmarkStart w:id="703" w:name="_Toc20515"/>
      <w:bookmarkStart w:id="704" w:name="_Toc165804461"/>
      <w:r>
        <w:rPr>
          <w:rFonts w:hint="eastAsia"/>
          <w:color w:val="auto"/>
        </w:rPr>
        <w:t>附表A-1</w:t>
      </w:r>
      <w:r>
        <w:rPr>
          <w:color w:val="auto"/>
        </w:rPr>
        <w:t>5</w:t>
      </w:r>
      <w:r>
        <w:rPr>
          <w:rFonts w:hint="eastAsia"/>
          <w:color w:val="auto"/>
        </w:rPr>
        <w:t>：详细评审评分汇总表</w:t>
      </w:r>
      <w:bookmarkEnd w:id="703"/>
      <w:bookmarkEnd w:id="704"/>
    </w:p>
    <w:p w14:paraId="4F4EE86F">
      <w:pPr>
        <w:adjustRightInd w:val="0"/>
        <w:snapToGrid w:val="0"/>
        <w:spacing w:before="240" w:beforeLines="100" w:after="240" w:afterLines="100" w:line="440" w:lineRule="exact"/>
        <w:jc w:val="center"/>
        <w:rPr>
          <w:rFonts w:ascii="黑体" w:hAnsi="黑体" w:eastAsia="黑体"/>
          <w:color w:val="auto"/>
          <w:sz w:val="36"/>
          <w:szCs w:val="36"/>
        </w:rPr>
      </w:pPr>
      <w:r>
        <w:rPr>
          <w:rFonts w:hint="eastAsia" w:ascii="黑体" w:hAnsi="黑体" w:eastAsia="黑体"/>
          <w:color w:val="auto"/>
          <w:sz w:val="36"/>
          <w:szCs w:val="36"/>
        </w:rPr>
        <w:t>详细评审评分汇总表</w:t>
      </w:r>
    </w:p>
    <w:p w14:paraId="7D3C181E">
      <w:pPr>
        <w:rPr>
          <w:rFonts w:ascii="宋体" w:hAnsi="宋体"/>
          <w:color w:val="auto"/>
          <w:szCs w:val="44"/>
        </w:rPr>
      </w:pPr>
      <w:bookmarkStart w:id="705" w:name="_Hlk150333034"/>
      <w:r>
        <w:rPr>
          <w:rFonts w:hint="eastAsia" w:ascii="宋体" w:hAnsi="宋体"/>
          <w:color w:val="auto"/>
          <w:szCs w:val="44"/>
        </w:rPr>
        <w:t>标段名称：</w:t>
      </w:r>
    </w:p>
    <w:p w14:paraId="7955825A">
      <w:pPr>
        <w:rPr>
          <w:color w:val="auto"/>
          <w:szCs w:val="44"/>
        </w:rPr>
      </w:pPr>
      <w:r>
        <w:rPr>
          <w:rFonts w:hint="eastAsia"/>
          <w:color w:val="auto"/>
          <w:szCs w:val="44"/>
        </w:rPr>
        <w:t>标段唯一标识码：</w:t>
      </w:r>
    </w:p>
    <w:tbl>
      <w:tblPr>
        <w:tblStyle w:val="18"/>
        <w:tblW w:w="140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1"/>
        <w:gridCol w:w="2963"/>
        <w:gridCol w:w="1892"/>
        <w:gridCol w:w="1892"/>
        <w:gridCol w:w="1892"/>
        <w:gridCol w:w="1892"/>
        <w:gridCol w:w="1221"/>
        <w:gridCol w:w="1298"/>
      </w:tblGrid>
      <w:tr w14:paraId="77177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01" w:type="dxa"/>
            <w:vMerge w:val="restart"/>
            <w:vAlign w:val="center"/>
          </w:tcPr>
          <w:p w14:paraId="03427740">
            <w:pPr>
              <w:jc w:val="center"/>
              <w:rPr>
                <w:rFonts w:ascii="宋体" w:hAnsi="宋体"/>
                <w:b/>
                <w:bCs/>
                <w:color w:val="auto"/>
                <w:szCs w:val="21"/>
              </w:rPr>
            </w:pPr>
            <w:r>
              <w:rPr>
                <w:rFonts w:hint="eastAsia" w:ascii="宋体" w:hAnsi="宋体"/>
                <w:b/>
                <w:bCs/>
                <w:color w:val="auto"/>
                <w:szCs w:val="21"/>
              </w:rPr>
              <w:t>序号</w:t>
            </w:r>
          </w:p>
        </w:tc>
        <w:tc>
          <w:tcPr>
            <w:tcW w:w="2963" w:type="dxa"/>
            <w:vMerge w:val="restart"/>
            <w:vAlign w:val="center"/>
          </w:tcPr>
          <w:p w14:paraId="17F72DA9">
            <w:pPr>
              <w:jc w:val="center"/>
              <w:rPr>
                <w:rFonts w:ascii="宋体" w:hAnsi="宋体"/>
                <w:b/>
                <w:bCs/>
                <w:color w:val="auto"/>
                <w:szCs w:val="21"/>
              </w:rPr>
            </w:pPr>
            <w:r>
              <w:rPr>
                <w:rFonts w:hint="eastAsia" w:ascii="宋体" w:hAnsi="宋体"/>
                <w:b/>
                <w:bCs/>
                <w:color w:val="auto"/>
                <w:szCs w:val="21"/>
              </w:rPr>
              <w:t>投标人名称</w:t>
            </w:r>
          </w:p>
        </w:tc>
        <w:tc>
          <w:tcPr>
            <w:tcW w:w="7568" w:type="dxa"/>
            <w:gridSpan w:val="4"/>
            <w:vAlign w:val="center"/>
          </w:tcPr>
          <w:p w14:paraId="0E5AADCD">
            <w:pPr>
              <w:jc w:val="center"/>
              <w:rPr>
                <w:rFonts w:ascii="宋体" w:hAnsi="宋体"/>
                <w:b/>
                <w:bCs/>
                <w:color w:val="auto"/>
                <w:szCs w:val="21"/>
              </w:rPr>
            </w:pPr>
            <w:r>
              <w:rPr>
                <w:rFonts w:hint="eastAsia" w:ascii="宋体" w:hAnsi="宋体"/>
                <w:b/>
                <w:bCs/>
                <w:color w:val="auto"/>
                <w:szCs w:val="21"/>
              </w:rPr>
              <w:t>评审类别评审得分</w:t>
            </w:r>
          </w:p>
        </w:tc>
        <w:tc>
          <w:tcPr>
            <w:tcW w:w="1221" w:type="dxa"/>
            <w:vMerge w:val="restart"/>
            <w:vAlign w:val="center"/>
          </w:tcPr>
          <w:p w14:paraId="1CD39479">
            <w:pPr>
              <w:jc w:val="center"/>
              <w:rPr>
                <w:rFonts w:ascii="宋体" w:hAnsi="宋体"/>
                <w:b/>
                <w:bCs/>
                <w:color w:val="auto"/>
                <w:szCs w:val="21"/>
              </w:rPr>
            </w:pPr>
            <w:r>
              <w:rPr>
                <w:rFonts w:hint="eastAsia" w:ascii="宋体" w:hAnsi="宋体"/>
                <w:b/>
                <w:bCs/>
                <w:color w:val="auto"/>
                <w:szCs w:val="21"/>
              </w:rPr>
              <w:t>评审得分汇总</w:t>
            </w:r>
          </w:p>
        </w:tc>
        <w:tc>
          <w:tcPr>
            <w:tcW w:w="1298" w:type="dxa"/>
            <w:vMerge w:val="restart"/>
            <w:vAlign w:val="center"/>
          </w:tcPr>
          <w:p w14:paraId="6E42203B">
            <w:pPr>
              <w:jc w:val="center"/>
              <w:rPr>
                <w:rFonts w:ascii="宋体" w:hAnsi="宋体"/>
                <w:b/>
                <w:bCs/>
                <w:color w:val="auto"/>
                <w:szCs w:val="21"/>
              </w:rPr>
            </w:pPr>
            <w:r>
              <w:rPr>
                <w:rFonts w:hint="eastAsia" w:ascii="宋体" w:hAnsi="宋体"/>
                <w:b/>
                <w:bCs/>
                <w:color w:val="auto"/>
                <w:szCs w:val="21"/>
              </w:rPr>
              <w:t>投标人排名</w:t>
            </w:r>
          </w:p>
        </w:tc>
      </w:tr>
      <w:tr w14:paraId="65221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01" w:type="dxa"/>
            <w:vMerge w:val="continue"/>
            <w:vAlign w:val="center"/>
          </w:tcPr>
          <w:p w14:paraId="4208A7DB">
            <w:pPr>
              <w:jc w:val="center"/>
              <w:rPr>
                <w:rFonts w:ascii="宋体" w:hAnsi="宋体"/>
                <w:b/>
                <w:bCs/>
                <w:color w:val="auto"/>
                <w:szCs w:val="21"/>
              </w:rPr>
            </w:pPr>
          </w:p>
        </w:tc>
        <w:tc>
          <w:tcPr>
            <w:tcW w:w="2963" w:type="dxa"/>
            <w:vMerge w:val="continue"/>
          </w:tcPr>
          <w:p w14:paraId="30ECA654">
            <w:pPr>
              <w:jc w:val="center"/>
              <w:rPr>
                <w:rFonts w:ascii="宋体" w:hAnsi="宋体"/>
                <w:b/>
                <w:bCs/>
                <w:color w:val="auto"/>
                <w:szCs w:val="21"/>
              </w:rPr>
            </w:pPr>
          </w:p>
        </w:tc>
        <w:tc>
          <w:tcPr>
            <w:tcW w:w="1892" w:type="dxa"/>
            <w:vAlign w:val="center"/>
          </w:tcPr>
          <w:p w14:paraId="302C97F9">
            <w:pPr>
              <w:jc w:val="center"/>
              <w:rPr>
                <w:rFonts w:ascii="宋体" w:hAnsi="宋体"/>
                <w:b/>
                <w:bCs/>
                <w:color w:val="auto"/>
                <w:szCs w:val="21"/>
              </w:rPr>
            </w:pPr>
            <w:r>
              <w:rPr>
                <w:rFonts w:hint="eastAsia"/>
                <w:b/>
                <w:bCs/>
                <w:color w:val="auto"/>
              </w:rPr>
              <w:t>投标报价</w:t>
            </w:r>
          </w:p>
        </w:tc>
        <w:tc>
          <w:tcPr>
            <w:tcW w:w="1892" w:type="dxa"/>
            <w:vAlign w:val="center"/>
          </w:tcPr>
          <w:p w14:paraId="7BCF8D43">
            <w:pPr>
              <w:jc w:val="center"/>
              <w:rPr>
                <w:rFonts w:ascii="宋体" w:hAnsi="宋体"/>
                <w:b/>
                <w:bCs/>
                <w:color w:val="auto"/>
                <w:szCs w:val="21"/>
              </w:rPr>
            </w:pPr>
            <w:r>
              <w:rPr>
                <w:rFonts w:hint="eastAsia"/>
                <w:b/>
                <w:bCs/>
                <w:color w:val="auto"/>
              </w:rPr>
              <w:t>技术标</w:t>
            </w:r>
          </w:p>
        </w:tc>
        <w:tc>
          <w:tcPr>
            <w:tcW w:w="1892" w:type="dxa"/>
            <w:vAlign w:val="center"/>
          </w:tcPr>
          <w:p w14:paraId="6B2AD286">
            <w:pPr>
              <w:jc w:val="center"/>
              <w:rPr>
                <w:rFonts w:ascii="宋体" w:hAnsi="宋体"/>
                <w:b/>
                <w:bCs/>
                <w:color w:val="auto"/>
                <w:szCs w:val="21"/>
              </w:rPr>
            </w:pPr>
            <w:r>
              <w:rPr>
                <w:rFonts w:hint="eastAsia"/>
                <w:b/>
                <w:bCs/>
                <w:color w:val="auto"/>
              </w:rPr>
              <w:t>资信标</w:t>
            </w:r>
          </w:p>
        </w:tc>
        <w:tc>
          <w:tcPr>
            <w:tcW w:w="1892" w:type="dxa"/>
            <w:tcBorders>
              <w:right w:val="single" w:color="auto" w:sz="4" w:space="0"/>
            </w:tcBorders>
            <w:vAlign w:val="center"/>
          </w:tcPr>
          <w:p w14:paraId="52A4478B">
            <w:pPr>
              <w:jc w:val="center"/>
              <w:rPr>
                <w:rFonts w:ascii="宋体" w:hAnsi="宋体"/>
                <w:b/>
                <w:bCs/>
                <w:color w:val="auto"/>
                <w:szCs w:val="21"/>
              </w:rPr>
            </w:pPr>
            <w:r>
              <w:rPr>
                <w:rFonts w:hint="eastAsia" w:ascii="宋体" w:hAnsi="宋体"/>
                <w:b/>
                <w:bCs/>
                <w:color w:val="auto"/>
                <w:szCs w:val="21"/>
              </w:rPr>
              <w:t>其他因素</w:t>
            </w:r>
          </w:p>
        </w:tc>
        <w:tc>
          <w:tcPr>
            <w:tcW w:w="1221" w:type="dxa"/>
            <w:vMerge w:val="continue"/>
            <w:vAlign w:val="center"/>
          </w:tcPr>
          <w:p w14:paraId="30DF44A1">
            <w:pPr>
              <w:jc w:val="center"/>
              <w:rPr>
                <w:rFonts w:ascii="宋体" w:hAnsi="宋体"/>
                <w:b/>
                <w:bCs/>
                <w:color w:val="auto"/>
                <w:szCs w:val="21"/>
              </w:rPr>
            </w:pPr>
          </w:p>
        </w:tc>
        <w:tc>
          <w:tcPr>
            <w:tcW w:w="1298" w:type="dxa"/>
            <w:vMerge w:val="continue"/>
            <w:vAlign w:val="center"/>
          </w:tcPr>
          <w:p w14:paraId="1B8EFE7A">
            <w:pPr>
              <w:jc w:val="center"/>
              <w:rPr>
                <w:rFonts w:ascii="宋体" w:hAnsi="宋体"/>
                <w:b/>
                <w:bCs/>
                <w:color w:val="auto"/>
                <w:szCs w:val="21"/>
              </w:rPr>
            </w:pPr>
          </w:p>
        </w:tc>
      </w:tr>
      <w:tr w14:paraId="4A6F2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6C2B93DF">
            <w:pPr>
              <w:jc w:val="center"/>
              <w:rPr>
                <w:rFonts w:ascii="宋体" w:hAnsi="宋体"/>
                <w:color w:val="auto"/>
                <w:szCs w:val="21"/>
              </w:rPr>
            </w:pPr>
            <w:r>
              <w:rPr>
                <w:rFonts w:hint="eastAsia" w:ascii="宋体" w:hAnsi="宋体"/>
                <w:color w:val="auto"/>
                <w:szCs w:val="21"/>
              </w:rPr>
              <w:t>1</w:t>
            </w:r>
          </w:p>
        </w:tc>
        <w:tc>
          <w:tcPr>
            <w:tcW w:w="2963" w:type="dxa"/>
            <w:vAlign w:val="center"/>
          </w:tcPr>
          <w:p w14:paraId="7F6283E6">
            <w:pPr>
              <w:jc w:val="center"/>
              <w:rPr>
                <w:rFonts w:ascii="宋体" w:hAnsi="宋体"/>
                <w:color w:val="auto"/>
                <w:szCs w:val="21"/>
              </w:rPr>
            </w:pPr>
          </w:p>
        </w:tc>
        <w:tc>
          <w:tcPr>
            <w:tcW w:w="1892" w:type="dxa"/>
            <w:vAlign w:val="center"/>
          </w:tcPr>
          <w:p w14:paraId="4E13DE54">
            <w:pPr>
              <w:jc w:val="center"/>
              <w:rPr>
                <w:rFonts w:ascii="宋体" w:hAnsi="宋体"/>
                <w:color w:val="auto"/>
                <w:szCs w:val="21"/>
              </w:rPr>
            </w:pPr>
          </w:p>
        </w:tc>
        <w:tc>
          <w:tcPr>
            <w:tcW w:w="1892" w:type="dxa"/>
            <w:vAlign w:val="center"/>
          </w:tcPr>
          <w:p w14:paraId="5FF345A2">
            <w:pPr>
              <w:jc w:val="center"/>
              <w:rPr>
                <w:rFonts w:ascii="宋体" w:hAnsi="宋体"/>
                <w:color w:val="auto"/>
                <w:szCs w:val="21"/>
              </w:rPr>
            </w:pPr>
          </w:p>
        </w:tc>
        <w:tc>
          <w:tcPr>
            <w:tcW w:w="1892" w:type="dxa"/>
            <w:vAlign w:val="center"/>
          </w:tcPr>
          <w:p w14:paraId="026AB0D8">
            <w:pPr>
              <w:jc w:val="center"/>
              <w:rPr>
                <w:rFonts w:ascii="宋体" w:hAnsi="宋体"/>
                <w:color w:val="auto"/>
                <w:szCs w:val="21"/>
              </w:rPr>
            </w:pPr>
          </w:p>
        </w:tc>
        <w:tc>
          <w:tcPr>
            <w:tcW w:w="1892" w:type="dxa"/>
            <w:tcBorders>
              <w:right w:val="single" w:color="auto" w:sz="4" w:space="0"/>
            </w:tcBorders>
            <w:vAlign w:val="center"/>
          </w:tcPr>
          <w:p w14:paraId="5D5098DB">
            <w:pPr>
              <w:jc w:val="center"/>
              <w:rPr>
                <w:rFonts w:ascii="宋体" w:hAnsi="宋体"/>
                <w:color w:val="auto"/>
                <w:szCs w:val="21"/>
              </w:rPr>
            </w:pPr>
          </w:p>
        </w:tc>
        <w:tc>
          <w:tcPr>
            <w:tcW w:w="1221" w:type="dxa"/>
            <w:tcBorders>
              <w:right w:val="single" w:color="auto" w:sz="4" w:space="0"/>
            </w:tcBorders>
            <w:vAlign w:val="center"/>
          </w:tcPr>
          <w:p w14:paraId="7E3B2C42">
            <w:pPr>
              <w:jc w:val="center"/>
              <w:rPr>
                <w:rFonts w:ascii="宋体" w:hAnsi="宋体"/>
                <w:color w:val="auto"/>
                <w:szCs w:val="21"/>
              </w:rPr>
            </w:pPr>
          </w:p>
        </w:tc>
        <w:tc>
          <w:tcPr>
            <w:tcW w:w="1298" w:type="dxa"/>
            <w:tcBorders>
              <w:right w:val="single" w:color="auto" w:sz="4" w:space="0"/>
            </w:tcBorders>
            <w:vAlign w:val="center"/>
          </w:tcPr>
          <w:p w14:paraId="6090CA0B">
            <w:pPr>
              <w:jc w:val="center"/>
              <w:rPr>
                <w:rFonts w:ascii="宋体" w:hAnsi="宋体"/>
                <w:color w:val="auto"/>
                <w:szCs w:val="21"/>
              </w:rPr>
            </w:pPr>
          </w:p>
        </w:tc>
      </w:tr>
      <w:tr w14:paraId="1AD78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1152A012">
            <w:pPr>
              <w:jc w:val="center"/>
              <w:rPr>
                <w:rFonts w:ascii="宋体" w:hAnsi="宋体"/>
                <w:color w:val="auto"/>
                <w:szCs w:val="21"/>
              </w:rPr>
            </w:pPr>
            <w:r>
              <w:rPr>
                <w:rFonts w:hint="eastAsia" w:ascii="宋体" w:hAnsi="宋体"/>
                <w:color w:val="auto"/>
                <w:szCs w:val="21"/>
              </w:rPr>
              <w:t>2</w:t>
            </w:r>
          </w:p>
        </w:tc>
        <w:tc>
          <w:tcPr>
            <w:tcW w:w="2963" w:type="dxa"/>
            <w:vAlign w:val="center"/>
          </w:tcPr>
          <w:p w14:paraId="6CE6B8ED">
            <w:pPr>
              <w:jc w:val="center"/>
              <w:rPr>
                <w:rFonts w:ascii="宋体" w:hAnsi="宋体"/>
                <w:color w:val="auto"/>
                <w:szCs w:val="21"/>
              </w:rPr>
            </w:pPr>
          </w:p>
        </w:tc>
        <w:tc>
          <w:tcPr>
            <w:tcW w:w="1892" w:type="dxa"/>
            <w:vAlign w:val="center"/>
          </w:tcPr>
          <w:p w14:paraId="3CD41BB1">
            <w:pPr>
              <w:jc w:val="center"/>
              <w:rPr>
                <w:rFonts w:ascii="宋体" w:hAnsi="宋体"/>
                <w:color w:val="auto"/>
                <w:szCs w:val="21"/>
              </w:rPr>
            </w:pPr>
          </w:p>
        </w:tc>
        <w:tc>
          <w:tcPr>
            <w:tcW w:w="1892" w:type="dxa"/>
            <w:vAlign w:val="center"/>
          </w:tcPr>
          <w:p w14:paraId="08987496">
            <w:pPr>
              <w:jc w:val="center"/>
              <w:rPr>
                <w:rFonts w:ascii="宋体" w:hAnsi="宋体"/>
                <w:color w:val="auto"/>
                <w:szCs w:val="21"/>
              </w:rPr>
            </w:pPr>
          </w:p>
        </w:tc>
        <w:tc>
          <w:tcPr>
            <w:tcW w:w="1892" w:type="dxa"/>
            <w:vAlign w:val="center"/>
          </w:tcPr>
          <w:p w14:paraId="6C5BCD1D">
            <w:pPr>
              <w:jc w:val="center"/>
              <w:rPr>
                <w:rFonts w:ascii="宋体" w:hAnsi="宋体"/>
                <w:color w:val="auto"/>
                <w:szCs w:val="21"/>
              </w:rPr>
            </w:pPr>
          </w:p>
        </w:tc>
        <w:tc>
          <w:tcPr>
            <w:tcW w:w="1892" w:type="dxa"/>
            <w:tcBorders>
              <w:right w:val="single" w:color="auto" w:sz="4" w:space="0"/>
            </w:tcBorders>
            <w:vAlign w:val="center"/>
          </w:tcPr>
          <w:p w14:paraId="7ACF75E3">
            <w:pPr>
              <w:jc w:val="center"/>
              <w:rPr>
                <w:rFonts w:ascii="宋体" w:hAnsi="宋体"/>
                <w:color w:val="auto"/>
                <w:szCs w:val="21"/>
              </w:rPr>
            </w:pPr>
          </w:p>
        </w:tc>
        <w:tc>
          <w:tcPr>
            <w:tcW w:w="1221" w:type="dxa"/>
            <w:tcBorders>
              <w:right w:val="single" w:color="auto" w:sz="4" w:space="0"/>
            </w:tcBorders>
            <w:vAlign w:val="center"/>
          </w:tcPr>
          <w:p w14:paraId="4DB893DD">
            <w:pPr>
              <w:jc w:val="center"/>
              <w:rPr>
                <w:rFonts w:ascii="宋体" w:hAnsi="宋体"/>
                <w:color w:val="auto"/>
                <w:szCs w:val="21"/>
              </w:rPr>
            </w:pPr>
          </w:p>
        </w:tc>
        <w:tc>
          <w:tcPr>
            <w:tcW w:w="1298" w:type="dxa"/>
            <w:tcBorders>
              <w:right w:val="single" w:color="auto" w:sz="4" w:space="0"/>
            </w:tcBorders>
            <w:vAlign w:val="center"/>
          </w:tcPr>
          <w:p w14:paraId="2C535FE3">
            <w:pPr>
              <w:jc w:val="center"/>
              <w:rPr>
                <w:rFonts w:ascii="宋体" w:hAnsi="宋体"/>
                <w:color w:val="auto"/>
                <w:szCs w:val="21"/>
              </w:rPr>
            </w:pPr>
          </w:p>
        </w:tc>
      </w:tr>
      <w:tr w14:paraId="0E3FF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69E35D30">
            <w:pPr>
              <w:jc w:val="center"/>
              <w:rPr>
                <w:rFonts w:ascii="宋体" w:hAnsi="宋体"/>
                <w:color w:val="auto"/>
                <w:szCs w:val="21"/>
              </w:rPr>
            </w:pPr>
            <w:r>
              <w:rPr>
                <w:rFonts w:hint="eastAsia" w:ascii="宋体" w:hAnsi="宋体"/>
                <w:color w:val="auto"/>
                <w:szCs w:val="21"/>
              </w:rPr>
              <w:t>3</w:t>
            </w:r>
          </w:p>
        </w:tc>
        <w:tc>
          <w:tcPr>
            <w:tcW w:w="2963" w:type="dxa"/>
            <w:vAlign w:val="center"/>
          </w:tcPr>
          <w:p w14:paraId="02960F36">
            <w:pPr>
              <w:jc w:val="center"/>
              <w:rPr>
                <w:rFonts w:ascii="宋体" w:hAnsi="宋体"/>
                <w:color w:val="auto"/>
                <w:szCs w:val="21"/>
              </w:rPr>
            </w:pPr>
          </w:p>
        </w:tc>
        <w:tc>
          <w:tcPr>
            <w:tcW w:w="1892" w:type="dxa"/>
            <w:vAlign w:val="center"/>
          </w:tcPr>
          <w:p w14:paraId="2821AC9A">
            <w:pPr>
              <w:jc w:val="center"/>
              <w:rPr>
                <w:rFonts w:ascii="宋体" w:hAnsi="宋体"/>
                <w:color w:val="auto"/>
                <w:szCs w:val="21"/>
              </w:rPr>
            </w:pPr>
          </w:p>
        </w:tc>
        <w:tc>
          <w:tcPr>
            <w:tcW w:w="1892" w:type="dxa"/>
            <w:vAlign w:val="center"/>
          </w:tcPr>
          <w:p w14:paraId="360D82A7">
            <w:pPr>
              <w:jc w:val="center"/>
              <w:rPr>
                <w:rFonts w:ascii="宋体" w:hAnsi="宋体"/>
                <w:color w:val="auto"/>
                <w:szCs w:val="21"/>
              </w:rPr>
            </w:pPr>
          </w:p>
        </w:tc>
        <w:tc>
          <w:tcPr>
            <w:tcW w:w="1892" w:type="dxa"/>
            <w:vAlign w:val="center"/>
          </w:tcPr>
          <w:p w14:paraId="58C4EE40">
            <w:pPr>
              <w:jc w:val="center"/>
              <w:rPr>
                <w:rFonts w:ascii="宋体" w:hAnsi="宋体"/>
                <w:color w:val="auto"/>
                <w:szCs w:val="21"/>
              </w:rPr>
            </w:pPr>
          </w:p>
        </w:tc>
        <w:tc>
          <w:tcPr>
            <w:tcW w:w="1892" w:type="dxa"/>
            <w:tcBorders>
              <w:right w:val="single" w:color="auto" w:sz="4" w:space="0"/>
            </w:tcBorders>
            <w:vAlign w:val="center"/>
          </w:tcPr>
          <w:p w14:paraId="7CC094FC">
            <w:pPr>
              <w:jc w:val="center"/>
              <w:rPr>
                <w:rFonts w:ascii="宋体" w:hAnsi="宋体"/>
                <w:color w:val="auto"/>
                <w:szCs w:val="21"/>
              </w:rPr>
            </w:pPr>
          </w:p>
        </w:tc>
        <w:tc>
          <w:tcPr>
            <w:tcW w:w="1221" w:type="dxa"/>
            <w:tcBorders>
              <w:right w:val="single" w:color="auto" w:sz="4" w:space="0"/>
            </w:tcBorders>
            <w:vAlign w:val="center"/>
          </w:tcPr>
          <w:p w14:paraId="269125D7">
            <w:pPr>
              <w:jc w:val="center"/>
              <w:rPr>
                <w:rFonts w:ascii="宋体" w:hAnsi="宋体"/>
                <w:color w:val="auto"/>
                <w:szCs w:val="21"/>
              </w:rPr>
            </w:pPr>
          </w:p>
        </w:tc>
        <w:tc>
          <w:tcPr>
            <w:tcW w:w="1298" w:type="dxa"/>
            <w:tcBorders>
              <w:right w:val="single" w:color="auto" w:sz="4" w:space="0"/>
            </w:tcBorders>
            <w:vAlign w:val="center"/>
          </w:tcPr>
          <w:p w14:paraId="28B0503C">
            <w:pPr>
              <w:jc w:val="center"/>
              <w:rPr>
                <w:rFonts w:ascii="宋体" w:hAnsi="宋体"/>
                <w:color w:val="auto"/>
                <w:szCs w:val="21"/>
              </w:rPr>
            </w:pPr>
          </w:p>
        </w:tc>
      </w:tr>
      <w:tr w14:paraId="4C3F8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1F5EF294">
            <w:pPr>
              <w:jc w:val="center"/>
              <w:rPr>
                <w:rFonts w:ascii="宋体" w:hAnsi="宋体"/>
                <w:color w:val="auto"/>
                <w:szCs w:val="21"/>
              </w:rPr>
            </w:pPr>
            <w:r>
              <w:rPr>
                <w:rFonts w:hint="eastAsia" w:ascii="宋体" w:hAnsi="宋体"/>
                <w:color w:val="auto"/>
                <w:szCs w:val="21"/>
              </w:rPr>
              <w:t>4</w:t>
            </w:r>
          </w:p>
        </w:tc>
        <w:tc>
          <w:tcPr>
            <w:tcW w:w="2963" w:type="dxa"/>
            <w:vAlign w:val="center"/>
          </w:tcPr>
          <w:p w14:paraId="37B960B1">
            <w:pPr>
              <w:jc w:val="center"/>
              <w:rPr>
                <w:rFonts w:ascii="宋体" w:hAnsi="宋体"/>
                <w:color w:val="auto"/>
                <w:szCs w:val="21"/>
              </w:rPr>
            </w:pPr>
          </w:p>
        </w:tc>
        <w:tc>
          <w:tcPr>
            <w:tcW w:w="1892" w:type="dxa"/>
            <w:vAlign w:val="center"/>
          </w:tcPr>
          <w:p w14:paraId="22C96C67">
            <w:pPr>
              <w:jc w:val="center"/>
              <w:rPr>
                <w:rFonts w:ascii="宋体" w:hAnsi="宋体"/>
                <w:color w:val="auto"/>
                <w:szCs w:val="21"/>
              </w:rPr>
            </w:pPr>
          </w:p>
        </w:tc>
        <w:tc>
          <w:tcPr>
            <w:tcW w:w="1892" w:type="dxa"/>
            <w:vAlign w:val="center"/>
          </w:tcPr>
          <w:p w14:paraId="249A34E3">
            <w:pPr>
              <w:jc w:val="center"/>
              <w:rPr>
                <w:rFonts w:ascii="宋体" w:hAnsi="宋体"/>
                <w:color w:val="auto"/>
                <w:szCs w:val="21"/>
              </w:rPr>
            </w:pPr>
          </w:p>
        </w:tc>
        <w:tc>
          <w:tcPr>
            <w:tcW w:w="1892" w:type="dxa"/>
            <w:vAlign w:val="center"/>
          </w:tcPr>
          <w:p w14:paraId="64930B94">
            <w:pPr>
              <w:jc w:val="center"/>
              <w:rPr>
                <w:rFonts w:ascii="宋体" w:hAnsi="宋体"/>
                <w:color w:val="auto"/>
                <w:szCs w:val="21"/>
              </w:rPr>
            </w:pPr>
          </w:p>
        </w:tc>
        <w:tc>
          <w:tcPr>
            <w:tcW w:w="1892" w:type="dxa"/>
            <w:tcBorders>
              <w:right w:val="single" w:color="auto" w:sz="4" w:space="0"/>
            </w:tcBorders>
            <w:vAlign w:val="center"/>
          </w:tcPr>
          <w:p w14:paraId="00CB90D8">
            <w:pPr>
              <w:jc w:val="center"/>
              <w:rPr>
                <w:rFonts w:ascii="宋体" w:hAnsi="宋体"/>
                <w:color w:val="auto"/>
                <w:szCs w:val="21"/>
              </w:rPr>
            </w:pPr>
          </w:p>
        </w:tc>
        <w:tc>
          <w:tcPr>
            <w:tcW w:w="1221" w:type="dxa"/>
            <w:tcBorders>
              <w:right w:val="single" w:color="auto" w:sz="4" w:space="0"/>
            </w:tcBorders>
            <w:vAlign w:val="center"/>
          </w:tcPr>
          <w:p w14:paraId="6A38E071">
            <w:pPr>
              <w:jc w:val="center"/>
              <w:rPr>
                <w:rFonts w:ascii="宋体" w:hAnsi="宋体"/>
                <w:color w:val="auto"/>
                <w:szCs w:val="21"/>
              </w:rPr>
            </w:pPr>
          </w:p>
        </w:tc>
        <w:tc>
          <w:tcPr>
            <w:tcW w:w="1298" w:type="dxa"/>
            <w:tcBorders>
              <w:right w:val="single" w:color="auto" w:sz="4" w:space="0"/>
            </w:tcBorders>
            <w:vAlign w:val="center"/>
          </w:tcPr>
          <w:p w14:paraId="065535CA">
            <w:pPr>
              <w:jc w:val="center"/>
              <w:rPr>
                <w:rFonts w:ascii="宋体" w:hAnsi="宋体"/>
                <w:color w:val="auto"/>
                <w:szCs w:val="21"/>
              </w:rPr>
            </w:pPr>
          </w:p>
        </w:tc>
      </w:tr>
      <w:tr w14:paraId="38695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4CBA588A">
            <w:pPr>
              <w:jc w:val="center"/>
              <w:rPr>
                <w:rFonts w:ascii="宋体" w:hAnsi="宋体"/>
                <w:color w:val="auto"/>
                <w:szCs w:val="21"/>
              </w:rPr>
            </w:pPr>
            <w:r>
              <w:rPr>
                <w:rFonts w:hint="eastAsia" w:ascii="宋体" w:hAnsi="宋体"/>
                <w:color w:val="auto"/>
                <w:szCs w:val="21"/>
              </w:rPr>
              <w:t>5</w:t>
            </w:r>
          </w:p>
        </w:tc>
        <w:tc>
          <w:tcPr>
            <w:tcW w:w="2963" w:type="dxa"/>
            <w:vAlign w:val="center"/>
          </w:tcPr>
          <w:p w14:paraId="0EF6F922">
            <w:pPr>
              <w:jc w:val="center"/>
              <w:rPr>
                <w:rFonts w:ascii="宋体" w:hAnsi="宋体"/>
                <w:color w:val="auto"/>
                <w:szCs w:val="21"/>
              </w:rPr>
            </w:pPr>
          </w:p>
        </w:tc>
        <w:tc>
          <w:tcPr>
            <w:tcW w:w="1892" w:type="dxa"/>
            <w:vAlign w:val="center"/>
          </w:tcPr>
          <w:p w14:paraId="0FF0638E">
            <w:pPr>
              <w:jc w:val="center"/>
              <w:rPr>
                <w:rFonts w:ascii="宋体" w:hAnsi="宋体"/>
                <w:color w:val="auto"/>
                <w:szCs w:val="21"/>
              </w:rPr>
            </w:pPr>
          </w:p>
        </w:tc>
        <w:tc>
          <w:tcPr>
            <w:tcW w:w="1892" w:type="dxa"/>
            <w:vAlign w:val="center"/>
          </w:tcPr>
          <w:p w14:paraId="3D4CF278">
            <w:pPr>
              <w:jc w:val="center"/>
              <w:rPr>
                <w:rFonts w:ascii="宋体" w:hAnsi="宋体"/>
                <w:color w:val="auto"/>
                <w:szCs w:val="21"/>
              </w:rPr>
            </w:pPr>
          </w:p>
        </w:tc>
        <w:tc>
          <w:tcPr>
            <w:tcW w:w="1892" w:type="dxa"/>
            <w:vAlign w:val="center"/>
          </w:tcPr>
          <w:p w14:paraId="490296DA">
            <w:pPr>
              <w:jc w:val="center"/>
              <w:rPr>
                <w:rFonts w:ascii="宋体" w:hAnsi="宋体"/>
                <w:color w:val="auto"/>
                <w:szCs w:val="21"/>
              </w:rPr>
            </w:pPr>
          </w:p>
        </w:tc>
        <w:tc>
          <w:tcPr>
            <w:tcW w:w="1892" w:type="dxa"/>
            <w:tcBorders>
              <w:right w:val="single" w:color="auto" w:sz="4" w:space="0"/>
            </w:tcBorders>
            <w:vAlign w:val="center"/>
          </w:tcPr>
          <w:p w14:paraId="754DE057">
            <w:pPr>
              <w:jc w:val="center"/>
              <w:rPr>
                <w:rFonts w:ascii="宋体" w:hAnsi="宋体"/>
                <w:color w:val="auto"/>
                <w:szCs w:val="21"/>
              </w:rPr>
            </w:pPr>
          </w:p>
        </w:tc>
        <w:tc>
          <w:tcPr>
            <w:tcW w:w="1221" w:type="dxa"/>
            <w:tcBorders>
              <w:right w:val="single" w:color="auto" w:sz="4" w:space="0"/>
            </w:tcBorders>
            <w:vAlign w:val="center"/>
          </w:tcPr>
          <w:p w14:paraId="7DC362EC">
            <w:pPr>
              <w:jc w:val="center"/>
              <w:rPr>
                <w:rFonts w:ascii="宋体" w:hAnsi="宋体"/>
                <w:color w:val="auto"/>
                <w:szCs w:val="21"/>
              </w:rPr>
            </w:pPr>
          </w:p>
        </w:tc>
        <w:tc>
          <w:tcPr>
            <w:tcW w:w="1298" w:type="dxa"/>
            <w:tcBorders>
              <w:right w:val="single" w:color="auto" w:sz="4" w:space="0"/>
            </w:tcBorders>
            <w:vAlign w:val="center"/>
          </w:tcPr>
          <w:p w14:paraId="364D85AF">
            <w:pPr>
              <w:jc w:val="center"/>
              <w:rPr>
                <w:rFonts w:ascii="宋体" w:hAnsi="宋体"/>
                <w:color w:val="auto"/>
                <w:szCs w:val="21"/>
              </w:rPr>
            </w:pPr>
          </w:p>
        </w:tc>
      </w:tr>
      <w:tr w14:paraId="7D886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4BB24F44">
            <w:pPr>
              <w:jc w:val="center"/>
              <w:rPr>
                <w:rFonts w:ascii="宋体" w:hAnsi="宋体"/>
                <w:color w:val="auto"/>
                <w:szCs w:val="21"/>
              </w:rPr>
            </w:pPr>
            <w:r>
              <w:rPr>
                <w:rFonts w:hint="eastAsia" w:ascii="宋体" w:hAnsi="宋体"/>
                <w:color w:val="auto"/>
                <w:szCs w:val="44"/>
              </w:rPr>
              <w:t>…</w:t>
            </w:r>
          </w:p>
        </w:tc>
        <w:tc>
          <w:tcPr>
            <w:tcW w:w="2963" w:type="dxa"/>
            <w:vAlign w:val="center"/>
          </w:tcPr>
          <w:p w14:paraId="66261F67">
            <w:pPr>
              <w:jc w:val="center"/>
              <w:rPr>
                <w:rFonts w:ascii="宋体" w:hAnsi="宋体"/>
                <w:color w:val="auto"/>
                <w:szCs w:val="21"/>
              </w:rPr>
            </w:pPr>
          </w:p>
        </w:tc>
        <w:tc>
          <w:tcPr>
            <w:tcW w:w="1892" w:type="dxa"/>
            <w:vAlign w:val="center"/>
          </w:tcPr>
          <w:p w14:paraId="27A9ED9B">
            <w:pPr>
              <w:jc w:val="center"/>
              <w:rPr>
                <w:rFonts w:ascii="宋体" w:hAnsi="宋体"/>
                <w:color w:val="auto"/>
                <w:szCs w:val="21"/>
              </w:rPr>
            </w:pPr>
          </w:p>
        </w:tc>
        <w:tc>
          <w:tcPr>
            <w:tcW w:w="1892" w:type="dxa"/>
            <w:vAlign w:val="center"/>
          </w:tcPr>
          <w:p w14:paraId="2C0D1411">
            <w:pPr>
              <w:jc w:val="center"/>
              <w:rPr>
                <w:rFonts w:ascii="宋体" w:hAnsi="宋体"/>
                <w:color w:val="auto"/>
                <w:szCs w:val="21"/>
              </w:rPr>
            </w:pPr>
          </w:p>
        </w:tc>
        <w:tc>
          <w:tcPr>
            <w:tcW w:w="1892" w:type="dxa"/>
            <w:vAlign w:val="center"/>
          </w:tcPr>
          <w:p w14:paraId="0619986D">
            <w:pPr>
              <w:jc w:val="center"/>
              <w:rPr>
                <w:rFonts w:ascii="宋体" w:hAnsi="宋体"/>
                <w:color w:val="auto"/>
                <w:szCs w:val="21"/>
              </w:rPr>
            </w:pPr>
          </w:p>
        </w:tc>
        <w:tc>
          <w:tcPr>
            <w:tcW w:w="1892" w:type="dxa"/>
            <w:tcBorders>
              <w:right w:val="single" w:color="auto" w:sz="4" w:space="0"/>
            </w:tcBorders>
            <w:vAlign w:val="center"/>
          </w:tcPr>
          <w:p w14:paraId="4A9E9B90">
            <w:pPr>
              <w:jc w:val="center"/>
              <w:rPr>
                <w:rFonts w:ascii="宋体" w:hAnsi="宋体"/>
                <w:color w:val="auto"/>
                <w:szCs w:val="21"/>
              </w:rPr>
            </w:pPr>
          </w:p>
        </w:tc>
        <w:tc>
          <w:tcPr>
            <w:tcW w:w="1221" w:type="dxa"/>
            <w:tcBorders>
              <w:right w:val="single" w:color="auto" w:sz="4" w:space="0"/>
            </w:tcBorders>
            <w:vAlign w:val="center"/>
          </w:tcPr>
          <w:p w14:paraId="6DEA85DB">
            <w:pPr>
              <w:jc w:val="center"/>
              <w:rPr>
                <w:rFonts w:ascii="宋体" w:hAnsi="宋体"/>
                <w:color w:val="auto"/>
                <w:szCs w:val="21"/>
              </w:rPr>
            </w:pPr>
          </w:p>
        </w:tc>
        <w:tc>
          <w:tcPr>
            <w:tcW w:w="1298" w:type="dxa"/>
            <w:tcBorders>
              <w:right w:val="single" w:color="auto" w:sz="4" w:space="0"/>
            </w:tcBorders>
            <w:vAlign w:val="center"/>
          </w:tcPr>
          <w:p w14:paraId="5606C3F9">
            <w:pPr>
              <w:jc w:val="center"/>
              <w:rPr>
                <w:rFonts w:ascii="宋体" w:hAnsi="宋体"/>
                <w:color w:val="auto"/>
                <w:szCs w:val="21"/>
              </w:rPr>
            </w:pPr>
          </w:p>
        </w:tc>
      </w:tr>
      <w:tr w14:paraId="58943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5" w:hRule="atLeast"/>
          <w:jc w:val="center"/>
        </w:trPr>
        <w:tc>
          <w:tcPr>
            <w:tcW w:w="14051" w:type="dxa"/>
            <w:gridSpan w:val="8"/>
            <w:vAlign w:val="center"/>
          </w:tcPr>
          <w:p w14:paraId="7BD91FAC">
            <w:pPr>
              <w:jc w:val="left"/>
              <w:rPr>
                <w:rFonts w:ascii="宋体" w:hAnsi="宋体"/>
                <w:color w:val="auto"/>
                <w:szCs w:val="44"/>
              </w:rPr>
            </w:pPr>
            <w:r>
              <w:rPr>
                <w:rFonts w:hint="eastAsia"/>
                <w:color w:val="auto"/>
              </w:rPr>
              <w:t xml:space="preserve">评标委员会全体成员签名： </w:t>
            </w:r>
            <w:r>
              <w:rPr>
                <w:rFonts w:hint="eastAsia" w:ascii="宋体" w:hAnsi="宋体"/>
                <w:color w:val="auto"/>
                <w:szCs w:val="44"/>
              </w:rPr>
              <w:t xml:space="preserve"> </w:t>
            </w:r>
          </w:p>
          <w:p w14:paraId="49BEAD42">
            <w:pPr>
              <w:jc w:val="left"/>
              <w:rPr>
                <w:rFonts w:ascii="宋体" w:hAnsi="宋体"/>
                <w:color w:val="auto"/>
                <w:szCs w:val="44"/>
              </w:rPr>
            </w:pPr>
          </w:p>
          <w:p w14:paraId="3C8FE7D8">
            <w:pPr>
              <w:jc w:val="left"/>
              <w:rPr>
                <w:rFonts w:ascii="宋体" w:hAnsi="宋体"/>
                <w:color w:val="auto"/>
                <w:szCs w:val="44"/>
              </w:rPr>
            </w:pPr>
          </w:p>
          <w:p w14:paraId="48876277">
            <w:pPr>
              <w:jc w:val="left"/>
              <w:rPr>
                <w:rFonts w:ascii="宋体" w:hAnsi="宋体"/>
                <w:color w:val="auto"/>
                <w:szCs w:val="44"/>
              </w:rPr>
            </w:pPr>
          </w:p>
          <w:p w14:paraId="1C15968F">
            <w:pPr>
              <w:jc w:val="left"/>
              <w:rPr>
                <w:rFonts w:ascii="宋体" w:hAnsi="宋体"/>
                <w:color w:val="auto"/>
                <w:szCs w:val="44"/>
              </w:rPr>
            </w:pPr>
          </w:p>
          <w:p w14:paraId="0E65000C">
            <w:pPr>
              <w:jc w:val="left"/>
              <w:rPr>
                <w:rFonts w:ascii="宋体" w:hAnsi="宋体"/>
                <w:color w:val="auto"/>
                <w:szCs w:val="44"/>
              </w:rPr>
            </w:pPr>
          </w:p>
          <w:p w14:paraId="5A2EED62">
            <w:pPr>
              <w:jc w:val="left"/>
              <w:rPr>
                <w:rFonts w:ascii="宋体" w:hAnsi="宋体"/>
                <w:color w:val="auto"/>
                <w:szCs w:val="44"/>
              </w:rPr>
            </w:pPr>
          </w:p>
          <w:p w14:paraId="0086D073">
            <w:pPr>
              <w:jc w:val="left"/>
              <w:rPr>
                <w:color w:val="auto"/>
              </w:rPr>
            </w:pPr>
          </w:p>
        </w:tc>
      </w:tr>
    </w:tbl>
    <w:p w14:paraId="0880D912">
      <w:pPr>
        <w:rPr>
          <w:color w:val="auto"/>
        </w:rPr>
      </w:pPr>
    </w:p>
    <w:p w14:paraId="7304E8A6">
      <w:pPr>
        <w:ind w:firstLine="5250" w:firstLineChars="2500"/>
        <w:rPr>
          <w:color w:val="auto"/>
        </w:rPr>
        <w:sectPr>
          <w:pgSz w:w="16838" w:h="11906" w:orient="landscape"/>
          <w:pgMar w:top="1797" w:right="1440" w:bottom="1797" w:left="1440" w:header="851" w:footer="851" w:gutter="0"/>
          <w:cols w:space="720" w:num="1"/>
          <w:docGrid w:linePitch="312" w:charSpace="0"/>
        </w:sectPr>
      </w:pPr>
      <w:r>
        <w:rPr>
          <w:rFonts w:hint="eastAsia" w:ascii="宋体" w:hAnsi="宋体"/>
          <w:color w:val="auto"/>
          <w:szCs w:val="44"/>
        </w:rPr>
        <w:t xml:space="preserve">         </w:t>
      </w:r>
      <w:r>
        <w:rPr>
          <w:rFonts w:hint="eastAsia"/>
          <w:color w:val="auto"/>
        </w:rPr>
        <w:t xml:space="preserve">         </w:t>
      </w:r>
      <w:r>
        <w:rPr>
          <w:color w:val="auto"/>
        </w:rPr>
        <w:t xml:space="preserve">                                                                                         </w:t>
      </w:r>
      <w:r>
        <w:rPr>
          <w:rFonts w:hint="eastAsia"/>
          <w:color w:val="auto"/>
        </w:rPr>
        <w:t xml:space="preserve">日期： </w:t>
      </w:r>
      <w:r>
        <w:rPr>
          <w:color w:val="auto"/>
        </w:rPr>
        <w:t xml:space="preserve">    </w:t>
      </w:r>
      <w:r>
        <w:rPr>
          <w:rFonts w:hint="eastAsia"/>
          <w:color w:val="auto"/>
        </w:rPr>
        <w:t xml:space="preserve">年   </w:t>
      </w:r>
      <w:r>
        <w:rPr>
          <w:color w:val="auto"/>
        </w:rPr>
        <w:t xml:space="preserve">   </w:t>
      </w:r>
      <w:r>
        <w:rPr>
          <w:rFonts w:hint="eastAsia"/>
          <w:color w:val="auto"/>
        </w:rPr>
        <w:t xml:space="preserve">月 </w:t>
      </w:r>
      <w:r>
        <w:rPr>
          <w:color w:val="auto"/>
        </w:rPr>
        <w:t xml:space="preserve">   </w:t>
      </w:r>
      <w:r>
        <w:rPr>
          <w:rFonts w:hint="eastAsia"/>
          <w:color w:val="auto"/>
        </w:rPr>
        <w:t xml:space="preserve"> 日</w:t>
      </w:r>
    </w:p>
    <w:bookmarkEnd w:id="705"/>
    <w:p w14:paraId="3480B8E2">
      <w:pPr>
        <w:ind w:firstLine="5250" w:firstLineChars="2500"/>
        <w:rPr>
          <w:color w:val="auto"/>
        </w:rPr>
      </w:pPr>
    </w:p>
    <w:p w14:paraId="33BBABBD">
      <w:pPr>
        <w:rPr>
          <w:color w:val="auto"/>
        </w:rPr>
      </w:pPr>
    </w:p>
    <w:p w14:paraId="09A41A15">
      <w:pPr>
        <w:pStyle w:val="27"/>
        <w:rPr>
          <w:rFonts w:ascii="黑体"/>
          <w:color w:val="auto"/>
        </w:rPr>
      </w:pPr>
      <w:bookmarkStart w:id="706" w:name="_Toc165804462"/>
      <w:bookmarkStart w:id="707" w:name="_Toc29989"/>
      <w:bookmarkStart w:id="708" w:name="_Hlk150782230"/>
      <w:r>
        <w:rPr>
          <w:rFonts w:hint="eastAsia"/>
          <w:color w:val="auto"/>
        </w:rPr>
        <w:t>附表A-1</w:t>
      </w:r>
      <w:r>
        <w:rPr>
          <w:color w:val="auto"/>
        </w:rPr>
        <w:t>6</w:t>
      </w:r>
      <w:r>
        <w:rPr>
          <w:rFonts w:hint="eastAsia"/>
          <w:color w:val="auto"/>
        </w:rPr>
        <w:t>：评标结果汇总表</w:t>
      </w:r>
      <w:bookmarkEnd w:id="706"/>
      <w:bookmarkEnd w:id="707"/>
    </w:p>
    <w:p w14:paraId="7EC09256">
      <w:pPr>
        <w:spacing w:after="240" w:afterLines="100"/>
        <w:jc w:val="center"/>
        <w:rPr>
          <w:rFonts w:ascii="黑体" w:eastAsia="黑体"/>
          <w:color w:val="auto"/>
          <w:sz w:val="36"/>
          <w:szCs w:val="36"/>
        </w:rPr>
      </w:pPr>
    </w:p>
    <w:p w14:paraId="39E9F854">
      <w:pPr>
        <w:adjustRightInd w:val="0"/>
        <w:snapToGrid w:val="0"/>
        <w:spacing w:before="240" w:beforeLines="100" w:after="240" w:afterLines="100" w:line="440" w:lineRule="exact"/>
        <w:jc w:val="center"/>
        <w:rPr>
          <w:rFonts w:ascii="黑体" w:hAnsi="黑体" w:eastAsia="黑体"/>
          <w:color w:val="auto"/>
          <w:sz w:val="36"/>
          <w:szCs w:val="36"/>
        </w:rPr>
      </w:pPr>
      <w:r>
        <w:rPr>
          <w:rFonts w:hint="eastAsia" w:ascii="黑体" w:hAnsi="黑体" w:eastAsia="黑体"/>
          <w:color w:val="auto"/>
          <w:sz w:val="36"/>
          <w:szCs w:val="36"/>
        </w:rPr>
        <w:t>评标结果汇总表</w:t>
      </w:r>
    </w:p>
    <w:p w14:paraId="4134DC13">
      <w:pPr>
        <w:spacing w:line="400" w:lineRule="exact"/>
        <w:jc w:val="center"/>
        <w:rPr>
          <w:rFonts w:ascii="宋体" w:hAnsi="宋体"/>
          <w:color w:val="auto"/>
          <w:szCs w:val="44"/>
        </w:rPr>
      </w:pPr>
      <w:bookmarkStart w:id="709" w:name="_Hlk150875312"/>
      <w:r>
        <w:rPr>
          <w:rFonts w:hint="eastAsia" w:ascii="黑体" w:hAnsi="宋体" w:eastAsia="黑体"/>
          <w:color w:val="auto"/>
          <w:sz w:val="36"/>
          <w:szCs w:val="36"/>
        </w:rPr>
        <w:t>（适用于经评审的最低投标价法）</w:t>
      </w:r>
    </w:p>
    <w:p w14:paraId="2408C45A">
      <w:pPr>
        <w:rPr>
          <w:rFonts w:ascii="宋体" w:hAnsi="宋体"/>
          <w:color w:val="auto"/>
          <w:szCs w:val="21"/>
        </w:rPr>
      </w:pPr>
      <w:r>
        <w:rPr>
          <w:rFonts w:hint="eastAsia" w:ascii="宋体" w:hAnsi="宋体"/>
          <w:color w:val="auto"/>
          <w:szCs w:val="21"/>
        </w:rPr>
        <w:t xml:space="preserve">标段名称： </w:t>
      </w:r>
      <w:r>
        <w:rPr>
          <w:rFonts w:ascii="宋体" w:hAnsi="宋体"/>
          <w:color w:val="auto"/>
          <w:szCs w:val="21"/>
        </w:rPr>
        <w:t xml:space="preserve"> </w:t>
      </w:r>
    </w:p>
    <w:p w14:paraId="47403BCF">
      <w:pPr>
        <w:rPr>
          <w:rFonts w:ascii="宋体" w:hAnsi="宋体"/>
          <w:color w:val="auto"/>
          <w:szCs w:val="21"/>
        </w:rPr>
      </w:pPr>
      <w:r>
        <w:rPr>
          <w:rFonts w:hint="eastAsia" w:ascii="宋体" w:hAnsi="宋体"/>
          <w:color w:val="auto"/>
          <w:szCs w:val="21"/>
        </w:rPr>
        <w:t xml:space="preserve">标段唯一标识码：  </w:t>
      </w:r>
      <w:r>
        <w:rPr>
          <w:rFonts w:ascii="宋体" w:hAnsi="宋体"/>
          <w:color w:val="auto"/>
          <w:szCs w:val="21"/>
        </w:rPr>
        <w:t xml:space="preserve">                                         </w:t>
      </w:r>
      <w:r>
        <w:rPr>
          <w:rFonts w:hint="eastAsia" w:ascii="宋体" w:hAnsi="宋体"/>
          <w:color w:val="auto"/>
          <w:szCs w:val="21"/>
        </w:rPr>
        <w:t xml:space="preserve">  单位：人民币元</w:t>
      </w:r>
    </w:p>
    <w:tbl>
      <w:tblPr>
        <w:tblStyle w:val="18"/>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978"/>
        <w:gridCol w:w="1560"/>
        <w:gridCol w:w="1275"/>
        <w:gridCol w:w="993"/>
        <w:gridCol w:w="1196"/>
        <w:gridCol w:w="1397"/>
      </w:tblGrid>
      <w:tr w14:paraId="4870A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668" w:type="dxa"/>
            <w:vMerge w:val="restart"/>
            <w:vAlign w:val="center"/>
          </w:tcPr>
          <w:p w14:paraId="4998965E">
            <w:pPr>
              <w:jc w:val="center"/>
              <w:rPr>
                <w:rFonts w:ascii="宋体" w:hAnsi="宋体"/>
                <w:b/>
                <w:bCs/>
                <w:color w:val="auto"/>
              </w:rPr>
            </w:pPr>
            <w:bookmarkStart w:id="710" w:name="_Hlk150334502"/>
            <w:r>
              <w:rPr>
                <w:rFonts w:hint="eastAsia" w:ascii="宋体" w:hAnsi="宋体"/>
                <w:b/>
                <w:bCs/>
                <w:color w:val="auto"/>
              </w:rPr>
              <w:t>投标人名称</w:t>
            </w:r>
          </w:p>
        </w:tc>
        <w:tc>
          <w:tcPr>
            <w:tcW w:w="7399" w:type="dxa"/>
            <w:gridSpan w:val="6"/>
            <w:vAlign w:val="center"/>
          </w:tcPr>
          <w:p w14:paraId="1E623461">
            <w:pPr>
              <w:jc w:val="center"/>
              <w:rPr>
                <w:rFonts w:ascii="宋体" w:hAnsi="宋体"/>
                <w:b/>
                <w:bCs/>
                <w:color w:val="auto"/>
              </w:rPr>
            </w:pPr>
            <w:r>
              <w:rPr>
                <w:rFonts w:hint="eastAsia" w:ascii="宋体" w:hAnsi="宋体"/>
                <w:b/>
                <w:bCs/>
                <w:color w:val="auto"/>
              </w:rPr>
              <w:t>评审因素</w:t>
            </w:r>
          </w:p>
        </w:tc>
      </w:tr>
      <w:tr w14:paraId="7C227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668" w:type="dxa"/>
            <w:vMerge w:val="continue"/>
            <w:vAlign w:val="center"/>
          </w:tcPr>
          <w:p w14:paraId="35E484E8">
            <w:pPr>
              <w:jc w:val="center"/>
              <w:rPr>
                <w:rFonts w:ascii="宋体" w:hAnsi="宋体"/>
                <w:b/>
                <w:bCs/>
                <w:color w:val="auto"/>
              </w:rPr>
            </w:pPr>
          </w:p>
        </w:tc>
        <w:tc>
          <w:tcPr>
            <w:tcW w:w="978" w:type="dxa"/>
            <w:vAlign w:val="center"/>
          </w:tcPr>
          <w:p w14:paraId="2877C496">
            <w:pPr>
              <w:jc w:val="center"/>
              <w:rPr>
                <w:rFonts w:ascii="宋体" w:hAnsi="宋体"/>
                <w:b/>
                <w:bCs/>
                <w:color w:val="auto"/>
              </w:rPr>
            </w:pPr>
            <w:r>
              <w:rPr>
                <w:rFonts w:hint="eastAsia" w:ascii="宋体" w:hAnsi="宋体"/>
                <w:b/>
                <w:bCs/>
                <w:color w:val="auto"/>
              </w:rPr>
              <w:t>投标报价</w:t>
            </w:r>
          </w:p>
        </w:tc>
        <w:tc>
          <w:tcPr>
            <w:tcW w:w="1560" w:type="dxa"/>
            <w:vAlign w:val="center"/>
          </w:tcPr>
          <w:p w14:paraId="76A53426">
            <w:pPr>
              <w:jc w:val="center"/>
              <w:rPr>
                <w:rFonts w:ascii="宋体" w:hAnsi="宋体"/>
                <w:b/>
                <w:bCs/>
                <w:color w:val="auto"/>
              </w:rPr>
            </w:pPr>
            <w:r>
              <w:rPr>
                <w:rFonts w:hint="eastAsia" w:ascii="宋体" w:hAnsi="宋体"/>
                <w:b/>
                <w:bCs/>
                <w:color w:val="auto"/>
                <w:szCs w:val="21"/>
              </w:rPr>
              <w:t>修正后投标报价（如有）</w:t>
            </w:r>
          </w:p>
        </w:tc>
        <w:tc>
          <w:tcPr>
            <w:tcW w:w="1275" w:type="dxa"/>
            <w:vAlign w:val="center"/>
          </w:tcPr>
          <w:p w14:paraId="15CE6310">
            <w:pPr>
              <w:jc w:val="center"/>
              <w:rPr>
                <w:rFonts w:ascii="宋体" w:hAnsi="宋体"/>
                <w:b/>
                <w:bCs/>
                <w:color w:val="auto"/>
              </w:rPr>
            </w:pPr>
            <w:r>
              <w:rPr>
                <w:rFonts w:hint="eastAsia" w:ascii="宋体" w:hAnsi="宋体"/>
                <w:b/>
                <w:bCs/>
                <w:color w:val="auto"/>
                <w:szCs w:val="21"/>
              </w:rPr>
              <w:t>有效评标价</w:t>
            </w:r>
          </w:p>
        </w:tc>
        <w:tc>
          <w:tcPr>
            <w:tcW w:w="993" w:type="dxa"/>
            <w:vAlign w:val="center"/>
          </w:tcPr>
          <w:p w14:paraId="11798725">
            <w:pPr>
              <w:jc w:val="center"/>
              <w:rPr>
                <w:rFonts w:ascii="宋体" w:hAnsi="宋体"/>
                <w:b/>
                <w:bCs/>
                <w:color w:val="auto"/>
              </w:rPr>
            </w:pPr>
            <w:r>
              <w:rPr>
                <w:rFonts w:hint="eastAsia" w:ascii="宋体" w:hAnsi="宋体"/>
                <w:b/>
                <w:bCs/>
                <w:color w:val="auto"/>
              </w:rPr>
              <w:t>最高投标限价</w:t>
            </w:r>
          </w:p>
        </w:tc>
        <w:tc>
          <w:tcPr>
            <w:tcW w:w="1196" w:type="dxa"/>
            <w:vAlign w:val="center"/>
          </w:tcPr>
          <w:p w14:paraId="494B3C5C">
            <w:pPr>
              <w:jc w:val="center"/>
              <w:rPr>
                <w:rFonts w:ascii="宋体" w:hAnsi="宋体"/>
                <w:b/>
                <w:bCs/>
                <w:color w:val="auto"/>
              </w:rPr>
            </w:pPr>
            <w:r>
              <w:rPr>
                <w:rFonts w:hint="eastAsia" w:ascii="宋体" w:hAnsi="宋体"/>
                <w:b/>
                <w:bCs/>
                <w:color w:val="auto"/>
                <w:szCs w:val="21"/>
              </w:rPr>
              <w:t>确定</w:t>
            </w:r>
            <w:r>
              <w:rPr>
                <w:rFonts w:hint="eastAsia" w:ascii="宋体" w:hAnsi="宋体"/>
                <w:b/>
                <w:bCs/>
                <w:color w:val="auto"/>
              </w:rPr>
              <w:t>有效评标价</w:t>
            </w:r>
          </w:p>
        </w:tc>
        <w:tc>
          <w:tcPr>
            <w:tcW w:w="1397" w:type="dxa"/>
            <w:vAlign w:val="center"/>
          </w:tcPr>
          <w:p w14:paraId="520D30AC">
            <w:pPr>
              <w:jc w:val="center"/>
              <w:rPr>
                <w:rFonts w:ascii="宋体" w:hAnsi="宋体"/>
                <w:b/>
                <w:bCs/>
                <w:color w:val="auto"/>
              </w:rPr>
            </w:pPr>
            <w:r>
              <w:rPr>
                <w:rFonts w:hint="eastAsia" w:ascii="宋体" w:hAnsi="宋体"/>
                <w:b/>
                <w:bCs/>
                <w:color w:val="auto"/>
              </w:rPr>
              <w:t>有效评标价排序</w:t>
            </w:r>
          </w:p>
        </w:tc>
      </w:tr>
      <w:tr w14:paraId="74FE1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668" w:type="dxa"/>
            <w:vAlign w:val="center"/>
          </w:tcPr>
          <w:p w14:paraId="5B9017C2">
            <w:pPr>
              <w:jc w:val="center"/>
              <w:rPr>
                <w:rFonts w:ascii="宋体" w:hAnsi="宋体"/>
                <w:color w:val="auto"/>
              </w:rPr>
            </w:pPr>
          </w:p>
        </w:tc>
        <w:tc>
          <w:tcPr>
            <w:tcW w:w="978" w:type="dxa"/>
            <w:vAlign w:val="center"/>
          </w:tcPr>
          <w:p w14:paraId="5A5D385B">
            <w:pPr>
              <w:jc w:val="center"/>
              <w:rPr>
                <w:rFonts w:ascii="宋体" w:hAnsi="宋体"/>
                <w:color w:val="auto"/>
              </w:rPr>
            </w:pPr>
          </w:p>
        </w:tc>
        <w:tc>
          <w:tcPr>
            <w:tcW w:w="1560" w:type="dxa"/>
            <w:vAlign w:val="center"/>
          </w:tcPr>
          <w:p w14:paraId="3E32A235">
            <w:pPr>
              <w:jc w:val="center"/>
              <w:rPr>
                <w:rFonts w:ascii="宋体" w:hAnsi="宋体"/>
                <w:color w:val="auto"/>
              </w:rPr>
            </w:pPr>
          </w:p>
        </w:tc>
        <w:tc>
          <w:tcPr>
            <w:tcW w:w="1275" w:type="dxa"/>
            <w:vAlign w:val="center"/>
          </w:tcPr>
          <w:p w14:paraId="4B607B91">
            <w:pPr>
              <w:jc w:val="center"/>
              <w:rPr>
                <w:rFonts w:ascii="宋体" w:hAnsi="宋体"/>
                <w:color w:val="auto"/>
              </w:rPr>
            </w:pPr>
          </w:p>
        </w:tc>
        <w:tc>
          <w:tcPr>
            <w:tcW w:w="993" w:type="dxa"/>
            <w:vMerge w:val="restart"/>
            <w:vAlign w:val="center"/>
          </w:tcPr>
          <w:p w14:paraId="1270EC8A">
            <w:pPr>
              <w:jc w:val="center"/>
              <w:rPr>
                <w:rFonts w:ascii="宋体" w:hAnsi="宋体"/>
                <w:color w:val="auto"/>
              </w:rPr>
            </w:pPr>
          </w:p>
        </w:tc>
        <w:tc>
          <w:tcPr>
            <w:tcW w:w="1196" w:type="dxa"/>
            <w:vAlign w:val="center"/>
          </w:tcPr>
          <w:p w14:paraId="6B3A4510">
            <w:pPr>
              <w:jc w:val="center"/>
              <w:rPr>
                <w:rFonts w:ascii="宋体" w:hAnsi="宋体"/>
                <w:color w:val="auto"/>
              </w:rPr>
            </w:pPr>
          </w:p>
        </w:tc>
        <w:tc>
          <w:tcPr>
            <w:tcW w:w="1397" w:type="dxa"/>
            <w:vAlign w:val="center"/>
          </w:tcPr>
          <w:p w14:paraId="3C54CBBD">
            <w:pPr>
              <w:jc w:val="center"/>
              <w:rPr>
                <w:rFonts w:ascii="宋体" w:hAnsi="宋体"/>
                <w:color w:val="auto"/>
              </w:rPr>
            </w:pPr>
          </w:p>
        </w:tc>
      </w:tr>
      <w:tr w14:paraId="1403F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668" w:type="dxa"/>
            <w:vAlign w:val="center"/>
          </w:tcPr>
          <w:p w14:paraId="4237679D">
            <w:pPr>
              <w:spacing w:after="120" w:afterLines="50"/>
              <w:jc w:val="center"/>
              <w:rPr>
                <w:rFonts w:ascii="宋体" w:hAnsi="宋体"/>
                <w:color w:val="auto"/>
                <w:szCs w:val="21"/>
              </w:rPr>
            </w:pPr>
          </w:p>
        </w:tc>
        <w:tc>
          <w:tcPr>
            <w:tcW w:w="978" w:type="dxa"/>
            <w:vAlign w:val="center"/>
          </w:tcPr>
          <w:p w14:paraId="43C29156">
            <w:pPr>
              <w:jc w:val="center"/>
              <w:rPr>
                <w:rFonts w:ascii="宋体" w:hAnsi="宋体"/>
                <w:color w:val="auto"/>
              </w:rPr>
            </w:pPr>
          </w:p>
        </w:tc>
        <w:tc>
          <w:tcPr>
            <w:tcW w:w="1560" w:type="dxa"/>
            <w:vAlign w:val="center"/>
          </w:tcPr>
          <w:p w14:paraId="2DD4A1BF">
            <w:pPr>
              <w:jc w:val="center"/>
              <w:rPr>
                <w:rFonts w:ascii="宋体" w:hAnsi="宋体"/>
                <w:color w:val="auto"/>
              </w:rPr>
            </w:pPr>
          </w:p>
        </w:tc>
        <w:tc>
          <w:tcPr>
            <w:tcW w:w="1275" w:type="dxa"/>
            <w:vAlign w:val="center"/>
          </w:tcPr>
          <w:p w14:paraId="78AA0AA3">
            <w:pPr>
              <w:jc w:val="center"/>
              <w:rPr>
                <w:rFonts w:ascii="宋体" w:hAnsi="宋体"/>
                <w:color w:val="auto"/>
              </w:rPr>
            </w:pPr>
          </w:p>
        </w:tc>
        <w:tc>
          <w:tcPr>
            <w:tcW w:w="993" w:type="dxa"/>
            <w:vMerge w:val="continue"/>
            <w:vAlign w:val="center"/>
          </w:tcPr>
          <w:p w14:paraId="5E0A2017">
            <w:pPr>
              <w:jc w:val="center"/>
              <w:rPr>
                <w:rFonts w:ascii="宋体" w:hAnsi="宋体"/>
                <w:color w:val="auto"/>
              </w:rPr>
            </w:pPr>
          </w:p>
        </w:tc>
        <w:tc>
          <w:tcPr>
            <w:tcW w:w="1196" w:type="dxa"/>
            <w:vAlign w:val="center"/>
          </w:tcPr>
          <w:p w14:paraId="3AC18C77">
            <w:pPr>
              <w:jc w:val="center"/>
              <w:rPr>
                <w:rFonts w:ascii="宋体" w:hAnsi="宋体"/>
                <w:color w:val="auto"/>
              </w:rPr>
            </w:pPr>
          </w:p>
        </w:tc>
        <w:tc>
          <w:tcPr>
            <w:tcW w:w="1397" w:type="dxa"/>
            <w:vAlign w:val="center"/>
          </w:tcPr>
          <w:p w14:paraId="24565AB7">
            <w:pPr>
              <w:jc w:val="center"/>
              <w:rPr>
                <w:rFonts w:ascii="宋体" w:hAnsi="宋体"/>
                <w:color w:val="auto"/>
              </w:rPr>
            </w:pPr>
          </w:p>
        </w:tc>
      </w:tr>
      <w:tr w14:paraId="47DFF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668" w:type="dxa"/>
            <w:vAlign w:val="center"/>
          </w:tcPr>
          <w:p w14:paraId="163C2630">
            <w:pPr>
              <w:jc w:val="center"/>
              <w:rPr>
                <w:rFonts w:ascii="宋体" w:hAnsi="宋体"/>
                <w:color w:val="auto"/>
              </w:rPr>
            </w:pPr>
          </w:p>
        </w:tc>
        <w:tc>
          <w:tcPr>
            <w:tcW w:w="978" w:type="dxa"/>
            <w:vAlign w:val="center"/>
          </w:tcPr>
          <w:p w14:paraId="2B26B327">
            <w:pPr>
              <w:jc w:val="center"/>
              <w:rPr>
                <w:rFonts w:ascii="宋体" w:hAnsi="宋体"/>
                <w:color w:val="auto"/>
              </w:rPr>
            </w:pPr>
          </w:p>
        </w:tc>
        <w:tc>
          <w:tcPr>
            <w:tcW w:w="1560" w:type="dxa"/>
            <w:vAlign w:val="center"/>
          </w:tcPr>
          <w:p w14:paraId="7FD7F7B7">
            <w:pPr>
              <w:jc w:val="center"/>
              <w:rPr>
                <w:rFonts w:ascii="宋体" w:hAnsi="宋体"/>
                <w:color w:val="auto"/>
              </w:rPr>
            </w:pPr>
          </w:p>
        </w:tc>
        <w:tc>
          <w:tcPr>
            <w:tcW w:w="1275" w:type="dxa"/>
            <w:vAlign w:val="center"/>
          </w:tcPr>
          <w:p w14:paraId="13C8B7DD">
            <w:pPr>
              <w:jc w:val="center"/>
              <w:rPr>
                <w:rFonts w:ascii="宋体" w:hAnsi="宋体"/>
                <w:color w:val="auto"/>
              </w:rPr>
            </w:pPr>
          </w:p>
        </w:tc>
        <w:tc>
          <w:tcPr>
            <w:tcW w:w="993" w:type="dxa"/>
            <w:vMerge w:val="continue"/>
            <w:vAlign w:val="center"/>
          </w:tcPr>
          <w:p w14:paraId="7405E107">
            <w:pPr>
              <w:jc w:val="center"/>
              <w:rPr>
                <w:rFonts w:ascii="宋体" w:hAnsi="宋体"/>
                <w:color w:val="auto"/>
              </w:rPr>
            </w:pPr>
          </w:p>
        </w:tc>
        <w:tc>
          <w:tcPr>
            <w:tcW w:w="1196" w:type="dxa"/>
            <w:vAlign w:val="center"/>
          </w:tcPr>
          <w:p w14:paraId="4DFB8DC6">
            <w:pPr>
              <w:jc w:val="center"/>
              <w:rPr>
                <w:rFonts w:ascii="宋体" w:hAnsi="宋体"/>
                <w:color w:val="auto"/>
              </w:rPr>
            </w:pPr>
          </w:p>
        </w:tc>
        <w:tc>
          <w:tcPr>
            <w:tcW w:w="1397" w:type="dxa"/>
            <w:vAlign w:val="center"/>
          </w:tcPr>
          <w:p w14:paraId="2762AAC1">
            <w:pPr>
              <w:jc w:val="center"/>
              <w:rPr>
                <w:rFonts w:ascii="宋体" w:hAnsi="宋体"/>
                <w:color w:val="auto"/>
              </w:rPr>
            </w:pPr>
          </w:p>
        </w:tc>
      </w:tr>
      <w:tr w14:paraId="18771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668" w:type="dxa"/>
            <w:vAlign w:val="center"/>
          </w:tcPr>
          <w:p w14:paraId="13C247EE">
            <w:pPr>
              <w:jc w:val="center"/>
              <w:rPr>
                <w:rFonts w:ascii="宋体" w:hAnsi="宋体"/>
                <w:color w:val="auto"/>
              </w:rPr>
            </w:pPr>
          </w:p>
        </w:tc>
        <w:tc>
          <w:tcPr>
            <w:tcW w:w="978" w:type="dxa"/>
            <w:vAlign w:val="center"/>
          </w:tcPr>
          <w:p w14:paraId="58B47F3D">
            <w:pPr>
              <w:jc w:val="center"/>
              <w:rPr>
                <w:rFonts w:ascii="宋体" w:hAnsi="宋体"/>
                <w:color w:val="auto"/>
              </w:rPr>
            </w:pPr>
          </w:p>
        </w:tc>
        <w:tc>
          <w:tcPr>
            <w:tcW w:w="1560" w:type="dxa"/>
            <w:vAlign w:val="center"/>
          </w:tcPr>
          <w:p w14:paraId="0A4689AB">
            <w:pPr>
              <w:jc w:val="center"/>
              <w:rPr>
                <w:rFonts w:ascii="宋体" w:hAnsi="宋体"/>
                <w:color w:val="auto"/>
              </w:rPr>
            </w:pPr>
          </w:p>
        </w:tc>
        <w:tc>
          <w:tcPr>
            <w:tcW w:w="1275" w:type="dxa"/>
            <w:vAlign w:val="center"/>
          </w:tcPr>
          <w:p w14:paraId="3586F8B0">
            <w:pPr>
              <w:jc w:val="center"/>
              <w:rPr>
                <w:rFonts w:ascii="宋体" w:hAnsi="宋体"/>
                <w:color w:val="auto"/>
              </w:rPr>
            </w:pPr>
          </w:p>
        </w:tc>
        <w:tc>
          <w:tcPr>
            <w:tcW w:w="993" w:type="dxa"/>
            <w:vMerge w:val="continue"/>
            <w:vAlign w:val="center"/>
          </w:tcPr>
          <w:p w14:paraId="051D6A9E">
            <w:pPr>
              <w:jc w:val="center"/>
              <w:rPr>
                <w:rFonts w:ascii="宋体" w:hAnsi="宋体"/>
                <w:color w:val="auto"/>
              </w:rPr>
            </w:pPr>
          </w:p>
        </w:tc>
        <w:tc>
          <w:tcPr>
            <w:tcW w:w="1196" w:type="dxa"/>
            <w:vAlign w:val="center"/>
          </w:tcPr>
          <w:p w14:paraId="12D3D95B">
            <w:pPr>
              <w:jc w:val="center"/>
              <w:rPr>
                <w:rFonts w:ascii="宋体" w:hAnsi="宋体"/>
                <w:color w:val="auto"/>
              </w:rPr>
            </w:pPr>
          </w:p>
        </w:tc>
        <w:tc>
          <w:tcPr>
            <w:tcW w:w="1397" w:type="dxa"/>
            <w:vAlign w:val="center"/>
          </w:tcPr>
          <w:p w14:paraId="1DA3991D">
            <w:pPr>
              <w:jc w:val="center"/>
              <w:rPr>
                <w:rFonts w:ascii="宋体" w:hAnsi="宋体"/>
                <w:color w:val="auto"/>
              </w:rPr>
            </w:pPr>
          </w:p>
        </w:tc>
      </w:tr>
      <w:tr w14:paraId="6BF63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668" w:type="dxa"/>
            <w:vAlign w:val="center"/>
          </w:tcPr>
          <w:p w14:paraId="17711BCD">
            <w:pPr>
              <w:jc w:val="center"/>
              <w:rPr>
                <w:rFonts w:ascii="宋体" w:hAnsi="宋体"/>
                <w:color w:val="auto"/>
              </w:rPr>
            </w:pPr>
          </w:p>
        </w:tc>
        <w:tc>
          <w:tcPr>
            <w:tcW w:w="978" w:type="dxa"/>
            <w:vAlign w:val="center"/>
          </w:tcPr>
          <w:p w14:paraId="548D180F">
            <w:pPr>
              <w:jc w:val="center"/>
              <w:rPr>
                <w:rFonts w:ascii="宋体" w:hAnsi="宋体"/>
                <w:color w:val="auto"/>
              </w:rPr>
            </w:pPr>
          </w:p>
        </w:tc>
        <w:tc>
          <w:tcPr>
            <w:tcW w:w="1560" w:type="dxa"/>
            <w:vAlign w:val="center"/>
          </w:tcPr>
          <w:p w14:paraId="136817FC">
            <w:pPr>
              <w:jc w:val="center"/>
              <w:rPr>
                <w:rFonts w:ascii="宋体" w:hAnsi="宋体"/>
                <w:color w:val="auto"/>
              </w:rPr>
            </w:pPr>
          </w:p>
        </w:tc>
        <w:tc>
          <w:tcPr>
            <w:tcW w:w="1275" w:type="dxa"/>
            <w:vAlign w:val="center"/>
          </w:tcPr>
          <w:p w14:paraId="69341701">
            <w:pPr>
              <w:jc w:val="center"/>
              <w:rPr>
                <w:rFonts w:ascii="宋体" w:hAnsi="宋体"/>
                <w:color w:val="auto"/>
              </w:rPr>
            </w:pPr>
          </w:p>
        </w:tc>
        <w:tc>
          <w:tcPr>
            <w:tcW w:w="993" w:type="dxa"/>
            <w:vMerge w:val="continue"/>
            <w:vAlign w:val="center"/>
          </w:tcPr>
          <w:p w14:paraId="2E01962D">
            <w:pPr>
              <w:jc w:val="center"/>
              <w:rPr>
                <w:rFonts w:ascii="宋体" w:hAnsi="宋体"/>
                <w:color w:val="auto"/>
              </w:rPr>
            </w:pPr>
          </w:p>
        </w:tc>
        <w:tc>
          <w:tcPr>
            <w:tcW w:w="1196" w:type="dxa"/>
            <w:vAlign w:val="center"/>
          </w:tcPr>
          <w:p w14:paraId="13EDA9F3">
            <w:pPr>
              <w:jc w:val="center"/>
              <w:rPr>
                <w:rFonts w:ascii="宋体" w:hAnsi="宋体"/>
                <w:color w:val="auto"/>
              </w:rPr>
            </w:pPr>
          </w:p>
        </w:tc>
        <w:tc>
          <w:tcPr>
            <w:tcW w:w="1397" w:type="dxa"/>
            <w:vAlign w:val="center"/>
          </w:tcPr>
          <w:p w14:paraId="38A566C3">
            <w:pPr>
              <w:jc w:val="center"/>
              <w:rPr>
                <w:rFonts w:ascii="宋体" w:hAnsi="宋体"/>
                <w:color w:val="auto"/>
              </w:rPr>
            </w:pPr>
          </w:p>
        </w:tc>
      </w:tr>
      <w:tr w14:paraId="743CA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067" w:type="dxa"/>
            <w:gridSpan w:val="7"/>
            <w:vAlign w:val="center"/>
          </w:tcPr>
          <w:p w14:paraId="06CF7AEE">
            <w:pPr>
              <w:rPr>
                <w:rFonts w:ascii="宋体" w:hAnsi="宋体"/>
                <w:color w:val="auto"/>
              </w:rPr>
            </w:pPr>
            <w:r>
              <w:rPr>
                <w:rFonts w:hint="eastAsia" w:ascii="宋体" w:hAnsi="宋体"/>
                <w:color w:val="auto"/>
              </w:rPr>
              <w:t>评标委员会成员签名：</w:t>
            </w:r>
          </w:p>
          <w:p w14:paraId="0122131F">
            <w:pPr>
              <w:rPr>
                <w:rFonts w:ascii="宋体" w:hAnsi="宋体"/>
                <w:color w:val="auto"/>
              </w:rPr>
            </w:pPr>
          </w:p>
          <w:p w14:paraId="5887D6C7">
            <w:pPr>
              <w:rPr>
                <w:rFonts w:ascii="宋体" w:hAnsi="宋体"/>
                <w:color w:val="auto"/>
              </w:rPr>
            </w:pPr>
          </w:p>
          <w:p w14:paraId="44B39477">
            <w:pPr>
              <w:rPr>
                <w:rFonts w:ascii="宋体" w:hAnsi="宋体"/>
                <w:color w:val="auto"/>
              </w:rPr>
            </w:pPr>
          </w:p>
          <w:p w14:paraId="29049146">
            <w:pPr>
              <w:rPr>
                <w:rFonts w:ascii="宋体" w:hAnsi="宋体"/>
                <w:color w:val="auto"/>
              </w:rPr>
            </w:pPr>
          </w:p>
          <w:p w14:paraId="3F1A48E3">
            <w:pPr>
              <w:rPr>
                <w:rFonts w:ascii="宋体" w:hAnsi="宋体"/>
                <w:color w:val="auto"/>
              </w:rPr>
            </w:pPr>
          </w:p>
          <w:p w14:paraId="748FB0B7">
            <w:pPr>
              <w:rPr>
                <w:rFonts w:ascii="宋体" w:hAnsi="宋体"/>
                <w:color w:val="auto"/>
              </w:rPr>
            </w:pPr>
          </w:p>
          <w:p w14:paraId="2AD279E3">
            <w:pPr>
              <w:rPr>
                <w:rFonts w:ascii="宋体" w:hAnsi="宋体"/>
                <w:color w:val="auto"/>
              </w:rPr>
            </w:pPr>
          </w:p>
        </w:tc>
      </w:tr>
      <w:bookmarkEnd w:id="710"/>
    </w:tbl>
    <w:p w14:paraId="0A170730">
      <w:pPr>
        <w:jc w:val="right"/>
        <w:rPr>
          <w:color w:val="auto"/>
        </w:rPr>
      </w:pPr>
      <w:r>
        <w:rPr>
          <w:rFonts w:hint="eastAsia" w:ascii="宋体" w:hAnsi="宋体"/>
          <w:color w:val="auto"/>
          <w:szCs w:val="21"/>
        </w:rPr>
        <w:t xml:space="preserve">日期：  </w:t>
      </w:r>
      <w:r>
        <w:rPr>
          <w:rFonts w:ascii="宋体" w:hAnsi="宋体"/>
          <w:color w:val="auto"/>
          <w:szCs w:val="21"/>
        </w:rPr>
        <w:t xml:space="preserve">    </w:t>
      </w:r>
      <w:r>
        <w:rPr>
          <w:rFonts w:hint="eastAsia" w:ascii="宋体" w:hAnsi="宋体"/>
          <w:color w:val="auto"/>
          <w:szCs w:val="21"/>
        </w:rPr>
        <w:t xml:space="preserve">  年 </w:t>
      </w:r>
      <w:r>
        <w:rPr>
          <w:rFonts w:ascii="宋体" w:hAnsi="宋体"/>
          <w:color w:val="auto"/>
          <w:szCs w:val="21"/>
        </w:rPr>
        <w:t xml:space="preserve">    </w:t>
      </w:r>
      <w:r>
        <w:rPr>
          <w:rFonts w:hint="eastAsia" w:ascii="宋体" w:hAnsi="宋体"/>
          <w:color w:val="auto"/>
          <w:szCs w:val="21"/>
        </w:rPr>
        <w:t xml:space="preserve">  月 </w:t>
      </w:r>
      <w:r>
        <w:rPr>
          <w:rFonts w:ascii="宋体" w:hAnsi="宋体"/>
          <w:color w:val="auto"/>
          <w:szCs w:val="21"/>
        </w:rPr>
        <w:t xml:space="preserve">    </w:t>
      </w:r>
      <w:r>
        <w:rPr>
          <w:rFonts w:hint="eastAsia" w:ascii="宋体" w:hAnsi="宋体"/>
          <w:color w:val="auto"/>
          <w:szCs w:val="21"/>
        </w:rPr>
        <w:t xml:space="preserve"> 日</w:t>
      </w:r>
      <w:bookmarkEnd w:id="709"/>
    </w:p>
    <w:bookmarkEnd w:id="708"/>
    <w:p w14:paraId="258363C6">
      <w:pPr>
        <w:rPr>
          <w:color w:val="auto"/>
        </w:rPr>
      </w:pPr>
    </w:p>
    <w:p w14:paraId="5F7336CC">
      <w:pPr>
        <w:rPr>
          <w:color w:val="auto"/>
        </w:rPr>
      </w:pPr>
    </w:p>
    <w:p w14:paraId="1BEEBCC8">
      <w:pPr>
        <w:rPr>
          <w:color w:val="auto"/>
        </w:rPr>
      </w:pPr>
    </w:p>
    <w:p w14:paraId="39501CA9">
      <w:pPr>
        <w:rPr>
          <w:color w:val="auto"/>
        </w:rPr>
      </w:pPr>
    </w:p>
    <w:p w14:paraId="0825AE44">
      <w:pPr>
        <w:rPr>
          <w:color w:val="auto"/>
        </w:rPr>
      </w:pPr>
      <w:r>
        <w:rPr>
          <w:color w:val="auto"/>
        </w:rPr>
        <w:br w:type="page"/>
      </w:r>
    </w:p>
    <w:p w14:paraId="46E39EC1">
      <w:pPr>
        <w:pStyle w:val="27"/>
        <w:rPr>
          <w:rFonts w:ascii="黑体"/>
          <w:color w:val="auto"/>
        </w:rPr>
      </w:pPr>
      <w:bookmarkStart w:id="711" w:name="_Toc165804463"/>
      <w:bookmarkStart w:id="712" w:name="_Toc8703"/>
      <w:r>
        <w:rPr>
          <w:rFonts w:hint="eastAsia"/>
          <w:color w:val="auto"/>
        </w:rPr>
        <w:t>附表A-1</w:t>
      </w:r>
      <w:r>
        <w:rPr>
          <w:color w:val="auto"/>
        </w:rPr>
        <w:t>7</w:t>
      </w:r>
      <w:r>
        <w:rPr>
          <w:rFonts w:hint="eastAsia"/>
          <w:color w:val="auto"/>
        </w:rPr>
        <w:t>：推荐中标候选人一览表</w:t>
      </w:r>
      <w:bookmarkEnd w:id="711"/>
      <w:bookmarkEnd w:id="712"/>
    </w:p>
    <w:p w14:paraId="72A40BEB">
      <w:pPr>
        <w:spacing w:after="240" w:afterLines="100"/>
        <w:jc w:val="center"/>
        <w:rPr>
          <w:rFonts w:ascii="黑体" w:eastAsia="黑体"/>
          <w:color w:val="auto"/>
          <w:sz w:val="36"/>
          <w:szCs w:val="36"/>
        </w:rPr>
      </w:pPr>
    </w:p>
    <w:p w14:paraId="7D721FB4">
      <w:pPr>
        <w:adjustRightInd w:val="0"/>
        <w:snapToGrid w:val="0"/>
        <w:spacing w:before="240" w:beforeLines="100" w:after="240" w:afterLines="100" w:line="440" w:lineRule="exact"/>
        <w:jc w:val="center"/>
        <w:rPr>
          <w:rFonts w:ascii="黑体" w:hAnsi="黑体" w:eastAsia="黑体"/>
          <w:color w:val="auto"/>
          <w:sz w:val="36"/>
          <w:szCs w:val="36"/>
        </w:rPr>
      </w:pPr>
      <w:r>
        <w:rPr>
          <w:rFonts w:hint="eastAsia" w:ascii="黑体" w:hAnsi="黑体" w:eastAsia="黑体"/>
          <w:color w:val="auto"/>
          <w:sz w:val="36"/>
          <w:szCs w:val="36"/>
        </w:rPr>
        <w:t>推荐中标候选人一览表</w:t>
      </w:r>
    </w:p>
    <w:p w14:paraId="0ECD206F">
      <w:pPr>
        <w:rPr>
          <w:rFonts w:ascii="宋体" w:hAnsi="宋体"/>
          <w:color w:val="auto"/>
          <w:szCs w:val="44"/>
        </w:rPr>
      </w:pPr>
      <w:r>
        <w:rPr>
          <w:rFonts w:hint="eastAsia" w:ascii="宋体" w:hAnsi="宋体"/>
          <w:color w:val="auto"/>
          <w:szCs w:val="44"/>
        </w:rPr>
        <w:t>标段名称：</w:t>
      </w:r>
    </w:p>
    <w:p w14:paraId="148D3823">
      <w:pPr>
        <w:rPr>
          <w:color w:val="auto"/>
          <w:szCs w:val="44"/>
        </w:rPr>
      </w:pPr>
      <w:r>
        <w:rPr>
          <w:rFonts w:hint="eastAsia"/>
          <w:color w:val="auto"/>
          <w:szCs w:val="44"/>
        </w:rPr>
        <w:t>标段唯一标识码：</w:t>
      </w:r>
      <w:r>
        <w:rPr>
          <w:color w:val="auto"/>
          <w:szCs w:val="44"/>
        </w:rPr>
        <w:t xml:space="preserve">                                          </w:t>
      </w:r>
      <w:r>
        <w:rPr>
          <w:rFonts w:hint="eastAsia"/>
          <w:color w:val="auto"/>
          <w:szCs w:val="44"/>
        </w:rPr>
        <w:t>单位：人民币元</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1537"/>
        <w:gridCol w:w="1390"/>
        <w:gridCol w:w="2031"/>
        <w:gridCol w:w="2495"/>
      </w:tblGrid>
      <w:tr w14:paraId="23BD7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5720DD59">
            <w:pPr>
              <w:jc w:val="center"/>
              <w:rPr>
                <w:b/>
                <w:bCs/>
                <w:color w:val="auto"/>
              </w:rPr>
            </w:pPr>
            <w:bookmarkStart w:id="713" w:name="_Hlk166065593"/>
            <w:r>
              <w:rPr>
                <w:rFonts w:hint="eastAsia"/>
                <w:b/>
                <w:bCs/>
                <w:color w:val="auto"/>
              </w:rPr>
              <w:t>排名</w:t>
            </w:r>
          </w:p>
        </w:tc>
        <w:tc>
          <w:tcPr>
            <w:tcW w:w="1537" w:type="dxa"/>
            <w:vAlign w:val="center"/>
          </w:tcPr>
          <w:p w14:paraId="3B272766">
            <w:pPr>
              <w:jc w:val="center"/>
              <w:rPr>
                <w:b/>
                <w:bCs/>
                <w:color w:val="auto"/>
              </w:rPr>
            </w:pPr>
            <w:r>
              <w:rPr>
                <w:rFonts w:hint="eastAsia"/>
                <w:b/>
                <w:bCs/>
                <w:color w:val="auto"/>
              </w:rPr>
              <w:t>投标人名称</w:t>
            </w:r>
          </w:p>
        </w:tc>
        <w:tc>
          <w:tcPr>
            <w:tcW w:w="1390" w:type="dxa"/>
            <w:vAlign w:val="center"/>
          </w:tcPr>
          <w:p w14:paraId="71B5EEF6">
            <w:pPr>
              <w:jc w:val="center"/>
              <w:rPr>
                <w:b/>
                <w:bCs/>
                <w:color w:val="auto"/>
              </w:rPr>
            </w:pPr>
            <w:r>
              <w:rPr>
                <w:rFonts w:hint="eastAsia"/>
                <w:b/>
                <w:bCs/>
                <w:color w:val="auto"/>
              </w:rPr>
              <w:t>投标报价</w:t>
            </w:r>
          </w:p>
        </w:tc>
        <w:tc>
          <w:tcPr>
            <w:tcW w:w="2031" w:type="dxa"/>
            <w:vAlign w:val="center"/>
          </w:tcPr>
          <w:p w14:paraId="25E68ACF">
            <w:pPr>
              <w:jc w:val="center"/>
              <w:rPr>
                <w:b/>
                <w:bCs/>
                <w:color w:val="auto"/>
              </w:rPr>
            </w:pPr>
            <w:r>
              <w:rPr>
                <w:rFonts w:hint="eastAsia"/>
                <w:b/>
                <w:bCs/>
                <w:color w:val="auto"/>
              </w:rPr>
              <w:t>评审得分</w:t>
            </w:r>
          </w:p>
          <w:p w14:paraId="789D9E4B">
            <w:pPr>
              <w:jc w:val="center"/>
              <w:rPr>
                <w:b/>
                <w:bCs/>
                <w:color w:val="auto"/>
              </w:rPr>
            </w:pPr>
            <w:r>
              <w:rPr>
                <w:rFonts w:hint="eastAsia"/>
                <w:b/>
                <w:bCs/>
                <w:color w:val="auto"/>
              </w:rPr>
              <w:t>（有效评标价）</w:t>
            </w:r>
          </w:p>
        </w:tc>
        <w:tc>
          <w:tcPr>
            <w:tcW w:w="2495" w:type="dxa"/>
            <w:vAlign w:val="center"/>
          </w:tcPr>
          <w:p w14:paraId="3AF31462">
            <w:pPr>
              <w:jc w:val="center"/>
              <w:rPr>
                <w:b/>
                <w:bCs/>
                <w:color w:val="auto"/>
              </w:rPr>
            </w:pPr>
            <w:r>
              <w:rPr>
                <w:rFonts w:hint="eastAsia"/>
                <w:b/>
                <w:bCs/>
                <w:color w:val="auto"/>
              </w:rPr>
              <w:t>推荐意见和建议</w:t>
            </w:r>
          </w:p>
        </w:tc>
      </w:tr>
      <w:tr w14:paraId="4E6CC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09F417A5">
            <w:pPr>
              <w:jc w:val="center"/>
              <w:rPr>
                <w:b/>
                <w:bCs/>
                <w:color w:val="auto"/>
              </w:rPr>
            </w:pPr>
            <w:r>
              <w:rPr>
                <w:rFonts w:hint="eastAsia"/>
                <w:color w:val="auto"/>
              </w:rPr>
              <w:t>1</w:t>
            </w:r>
          </w:p>
        </w:tc>
        <w:tc>
          <w:tcPr>
            <w:tcW w:w="1537" w:type="dxa"/>
            <w:vAlign w:val="center"/>
          </w:tcPr>
          <w:p w14:paraId="39F7BC79">
            <w:pPr>
              <w:jc w:val="center"/>
              <w:rPr>
                <w:b/>
                <w:bCs/>
                <w:color w:val="auto"/>
              </w:rPr>
            </w:pPr>
          </w:p>
        </w:tc>
        <w:tc>
          <w:tcPr>
            <w:tcW w:w="1390" w:type="dxa"/>
            <w:vAlign w:val="center"/>
          </w:tcPr>
          <w:p w14:paraId="4935AD74">
            <w:pPr>
              <w:jc w:val="center"/>
              <w:rPr>
                <w:b/>
                <w:bCs/>
                <w:color w:val="auto"/>
              </w:rPr>
            </w:pPr>
          </w:p>
        </w:tc>
        <w:tc>
          <w:tcPr>
            <w:tcW w:w="2031" w:type="dxa"/>
            <w:vAlign w:val="center"/>
          </w:tcPr>
          <w:p w14:paraId="593ECAD4">
            <w:pPr>
              <w:jc w:val="center"/>
              <w:rPr>
                <w:b/>
                <w:bCs/>
                <w:color w:val="auto"/>
              </w:rPr>
            </w:pPr>
          </w:p>
        </w:tc>
        <w:tc>
          <w:tcPr>
            <w:tcW w:w="2495" w:type="dxa"/>
            <w:vAlign w:val="center"/>
          </w:tcPr>
          <w:p w14:paraId="6119A94C">
            <w:pPr>
              <w:jc w:val="center"/>
              <w:rPr>
                <w:b/>
                <w:bCs/>
                <w:color w:val="auto"/>
              </w:rPr>
            </w:pPr>
          </w:p>
        </w:tc>
      </w:tr>
      <w:tr w14:paraId="1F9FF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4C1F61AA">
            <w:pPr>
              <w:jc w:val="center"/>
              <w:rPr>
                <w:b/>
                <w:bCs/>
                <w:color w:val="auto"/>
              </w:rPr>
            </w:pPr>
            <w:r>
              <w:rPr>
                <w:rFonts w:hint="eastAsia"/>
                <w:color w:val="auto"/>
              </w:rPr>
              <w:t>2</w:t>
            </w:r>
          </w:p>
        </w:tc>
        <w:tc>
          <w:tcPr>
            <w:tcW w:w="1537" w:type="dxa"/>
            <w:vAlign w:val="center"/>
          </w:tcPr>
          <w:p w14:paraId="118519B8">
            <w:pPr>
              <w:jc w:val="center"/>
              <w:rPr>
                <w:b/>
                <w:bCs/>
                <w:color w:val="auto"/>
              </w:rPr>
            </w:pPr>
          </w:p>
        </w:tc>
        <w:tc>
          <w:tcPr>
            <w:tcW w:w="1390" w:type="dxa"/>
            <w:vAlign w:val="center"/>
          </w:tcPr>
          <w:p w14:paraId="3FF59780">
            <w:pPr>
              <w:jc w:val="center"/>
              <w:rPr>
                <w:b/>
                <w:bCs/>
                <w:color w:val="auto"/>
              </w:rPr>
            </w:pPr>
          </w:p>
        </w:tc>
        <w:tc>
          <w:tcPr>
            <w:tcW w:w="2031" w:type="dxa"/>
            <w:vAlign w:val="center"/>
          </w:tcPr>
          <w:p w14:paraId="46CD3630">
            <w:pPr>
              <w:jc w:val="center"/>
              <w:rPr>
                <w:b/>
                <w:bCs/>
                <w:color w:val="auto"/>
              </w:rPr>
            </w:pPr>
          </w:p>
        </w:tc>
        <w:tc>
          <w:tcPr>
            <w:tcW w:w="2495" w:type="dxa"/>
            <w:vAlign w:val="center"/>
          </w:tcPr>
          <w:p w14:paraId="6609DB01">
            <w:pPr>
              <w:jc w:val="center"/>
              <w:rPr>
                <w:b/>
                <w:bCs/>
                <w:color w:val="auto"/>
              </w:rPr>
            </w:pPr>
          </w:p>
        </w:tc>
      </w:tr>
      <w:tr w14:paraId="0E5A5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45188C9F">
            <w:pPr>
              <w:jc w:val="center"/>
              <w:rPr>
                <w:b/>
                <w:bCs/>
                <w:color w:val="auto"/>
              </w:rPr>
            </w:pPr>
            <w:r>
              <w:rPr>
                <w:rFonts w:hint="eastAsia"/>
                <w:color w:val="auto"/>
              </w:rPr>
              <w:t>3</w:t>
            </w:r>
          </w:p>
        </w:tc>
        <w:tc>
          <w:tcPr>
            <w:tcW w:w="1537" w:type="dxa"/>
            <w:vAlign w:val="center"/>
          </w:tcPr>
          <w:p w14:paraId="4527CD47">
            <w:pPr>
              <w:jc w:val="center"/>
              <w:rPr>
                <w:b/>
                <w:bCs/>
                <w:color w:val="auto"/>
              </w:rPr>
            </w:pPr>
          </w:p>
        </w:tc>
        <w:tc>
          <w:tcPr>
            <w:tcW w:w="1390" w:type="dxa"/>
            <w:vAlign w:val="center"/>
          </w:tcPr>
          <w:p w14:paraId="2FEF9163">
            <w:pPr>
              <w:jc w:val="center"/>
              <w:rPr>
                <w:b/>
                <w:bCs/>
                <w:color w:val="auto"/>
              </w:rPr>
            </w:pPr>
          </w:p>
        </w:tc>
        <w:tc>
          <w:tcPr>
            <w:tcW w:w="2031" w:type="dxa"/>
            <w:vAlign w:val="center"/>
          </w:tcPr>
          <w:p w14:paraId="42551BBE">
            <w:pPr>
              <w:jc w:val="center"/>
              <w:rPr>
                <w:b/>
                <w:bCs/>
                <w:color w:val="auto"/>
              </w:rPr>
            </w:pPr>
          </w:p>
        </w:tc>
        <w:tc>
          <w:tcPr>
            <w:tcW w:w="2495" w:type="dxa"/>
            <w:vAlign w:val="center"/>
          </w:tcPr>
          <w:p w14:paraId="732FF9E1">
            <w:pPr>
              <w:jc w:val="center"/>
              <w:rPr>
                <w:b/>
                <w:bCs/>
                <w:color w:val="auto"/>
              </w:rPr>
            </w:pPr>
          </w:p>
        </w:tc>
      </w:tr>
      <w:tr w14:paraId="63726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7E5CF725">
            <w:pPr>
              <w:jc w:val="center"/>
              <w:rPr>
                <w:b/>
                <w:bCs/>
                <w:color w:val="auto"/>
              </w:rPr>
            </w:pPr>
            <w:r>
              <w:rPr>
                <w:rFonts w:hint="eastAsia"/>
                <w:color w:val="auto"/>
              </w:rPr>
              <w:t>4</w:t>
            </w:r>
          </w:p>
        </w:tc>
        <w:tc>
          <w:tcPr>
            <w:tcW w:w="1537" w:type="dxa"/>
            <w:vAlign w:val="center"/>
          </w:tcPr>
          <w:p w14:paraId="53D851ED">
            <w:pPr>
              <w:jc w:val="center"/>
              <w:rPr>
                <w:b/>
                <w:bCs/>
                <w:color w:val="auto"/>
              </w:rPr>
            </w:pPr>
          </w:p>
        </w:tc>
        <w:tc>
          <w:tcPr>
            <w:tcW w:w="1390" w:type="dxa"/>
            <w:vAlign w:val="center"/>
          </w:tcPr>
          <w:p w14:paraId="6505ADF4">
            <w:pPr>
              <w:jc w:val="center"/>
              <w:rPr>
                <w:b/>
                <w:bCs/>
                <w:color w:val="auto"/>
              </w:rPr>
            </w:pPr>
          </w:p>
        </w:tc>
        <w:tc>
          <w:tcPr>
            <w:tcW w:w="2031" w:type="dxa"/>
            <w:vAlign w:val="center"/>
          </w:tcPr>
          <w:p w14:paraId="414575A2">
            <w:pPr>
              <w:jc w:val="center"/>
              <w:rPr>
                <w:b/>
                <w:bCs/>
                <w:color w:val="auto"/>
              </w:rPr>
            </w:pPr>
          </w:p>
        </w:tc>
        <w:tc>
          <w:tcPr>
            <w:tcW w:w="2495" w:type="dxa"/>
            <w:vAlign w:val="center"/>
          </w:tcPr>
          <w:p w14:paraId="13E4FB1F">
            <w:pPr>
              <w:jc w:val="center"/>
              <w:rPr>
                <w:b/>
                <w:bCs/>
                <w:color w:val="auto"/>
              </w:rPr>
            </w:pPr>
          </w:p>
        </w:tc>
      </w:tr>
      <w:tr w14:paraId="2E7A1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7557C15C">
            <w:pPr>
              <w:jc w:val="center"/>
              <w:rPr>
                <w:b/>
                <w:bCs/>
                <w:color w:val="auto"/>
              </w:rPr>
            </w:pPr>
            <w:r>
              <w:rPr>
                <w:rFonts w:hint="eastAsia"/>
                <w:color w:val="auto"/>
              </w:rPr>
              <w:t>5</w:t>
            </w:r>
          </w:p>
        </w:tc>
        <w:tc>
          <w:tcPr>
            <w:tcW w:w="1537" w:type="dxa"/>
            <w:vAlign w:val="center"/>
          </w:tcPr>
          <w:p w14:paraId="23172608">
            <w:pPr>
              <w:jc w:val="center"/>
              <w:rPr>
                <w:b/>
                <w:bCs/>
                <w:color w:val="auto"/>
              </w:rPr>
            </w:pPr>
          </w:p>
        </w:tc>
        <w:tc>
          <w:tcPr>
            <w:tcW w:w="1390" w:type="dxa"/>
            <w:vAlign w:val="center"/>
          </w:tcPr>
          <w:p w14:paraId="256F06DA">
            <w:pPr>
              <w:jc w:val="center"/>
              <w:rPr>
                <w:b/>
                <w:bCs/>
                <w:color w:val="auto"/>
              </w:rPr>
            </w:pPr>
          </w:p>
        </w:tc>
        <w:tc>
          <w:tcPr>
            <w:tcW w:w="2031" w:type="dxa"/>
            <w:vAlign w:val="center"/>
          </w:tcPr>
          <w:p w14:paraId="419D582B">
            <w:pPr>
              <w:jc w:val="center"/>
              <w:rPr>
                <w:b/>
                <w:bCs/>
                <w:color w:val="auto"/>
              </w:rPr>
            </w:pPr>
          </w:p>
        </w:tc>
        <w:tc>
          <w:tcPr>
            <w:tcW w:w="2495" w:type="dxa"/>
            <w:vAlign w:val="center"/>
          </w:tcPr>
          <w:p w14:paraId="78FCDEF8">
            <w:pPr>
              <w:jc w:val="center"/>
              <w:rPr>
                <w:b/>
                <w:bCs/>
                <w:color w:val="auto"/>
              </w:rPr>
            </w:pPr>
          </w:p>
        </w:tc>
      </w:tr>
      <w:tr w14:paraId="0673D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4F5E2082">
            <w:pPr>
              <w:jc w:val="center"/>
              <w:rPr>
                <w:b/>
                <w:bCs/>
                <w:color w:val="auto"/>
              </w:rPr>
            </w:pPr>
            <w:r>
              <w:rPr>
                <w:rFonts w:hint="eastAsia" w:ascii="宋体" w:hAnsi="宋体"/>
                <w:color w:val="auto"/>
              </w:rPr>
              <w:t>…</w:t>
            </w:r>
          </w:p>
        </w:tc>
        <w:tc>
          <w:tcPr>
            <w:tcW w:w="1537" w:type="dxa"/>
            <w:vAlign w:val="center"/>
          </w:tcPr>
          <w:p w14:paraId="2F9F79FE">
            <w:pPr>
              <w:jc w:val="center"/>
              <w:rPr>
                <w:b/>
                <w:bCs/>
                <w:color w:val="auto"/>
              </w:rPr>
            </w:pPr>
          </w:p>
        </w:tc>
        <w:tc>
          <w:tcPr>
            <w:tcW w:w="1390" w:type="dxa"/>
            <w:vAlign w:val="center"/>
          </w:tcPr>
          <w:p w14:paraId="6B9EB748">
            <w:pPr>
              <w:jc w:val="center"/>
              <w:rPr>
                <w:b/>
                <w:bCs/>
                <w:color w:val="auto"/>
              </w:rPr>
            </w:pPr>
          </w:p>
        </w:tc>
        <w:tc>
          <w:tcPr>
            <w:tcW w:w="2031" w:type="dxa"/>
            <w:vAlign w:val="center"/>
          </w:tcPr>
          <w:p w14:paraId="0BB334BF">
            <w:pPr>
              <w:jc w:val="center"/>
              <w:rPr>
                <w:b/>
                <w:bCs/>
                <w:color w:val="auto"/>
              </w:rPr>
            </w:pPr>
          </w:p>
        </w:tc>
        <w:tc>
          <w:tcPr>
            <w:tcW w:w="2495" w:type="dxa"/>
            <w:vAlign w:val="center"/>
          </w:tcPr>
          <w:p w14:paraId="7F755E10">
            <w:pPr>
              <w:jc w:val="center"/>
              <w:rPr>
                <w:b/>
                <w:bCs/>
                <w:color w:val="auto"/>
              </w:rPr>
            </w:pPr>
          </w:p>
        </w:tc>
      </w:tr>
      <w:tr w14:paraId="024CE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5" w:hRule="atLeast"/>
          <w:jc w:val="center"/>
        </w:trPr>
        <w:tc>
          <w:tcPr>
            <w:tcW w:w="8302" w:type="dxa"/>
            <w:gridSpan w:val="5"/>
            <w:vAlign w:val="center"/>
          </w:tcPr>
          <w:p w14:paraId="60DF817B">
            <w:pPr>
              <w:jc w:val="left"/>
              <w:rPr>
                <w:rFonts w:ascii="宋体" w:hAnsi="宋体"/>
                <w:color w:val="auto"/>
                <w:szCs w:val="44"/>
              </w:rPr>
            </w:pPr>
            <w:r>
              <w:rPr>
                <w:rFonts w:hint="eastAsia"/>
                <w:color w:val="auto"/>
              </w:rPr>
              <w:t>评标委员会全体成员签名：</w:t>
            </w:r>
            <w:r>
              <w:rPr>
                <w:color w:val="auto"/>
              </w:rPr>
              <w:t xml:space="preserve"> </w:t>
            </w:r>
          </w:p>
          <w:p w14:paraId="7C05D48A">
            <w:pPr>
              <w:jc w:val="left"/>
              <w:rPr>
                <w:rFonts w:ascii="宋体" w:hAnsi="宋体"/>
                <w:color w:val="auto"/>
                <w:szCs w:val="44"/>
              </w:rPr>
            </w:pPr>
          </w:p>
          <w:p w14:paraId="539B8F46">
            <w:pPr>
              <w:jc w:val="left"/>
              <w:rPr>
                <w:rFonts w:ascii="宋体" w:hAnsi="宋体"/>
                <w:color w:val="auto"/>
                <w:szCs w:val="44"/>
              </w:rPr>
            </w:pPr>
          </w:p>
          <w:p w14:paraId="7C1A4303">
            <w:pPr>
              <w:jc w:val="left"/>
              <w:rPr>
                <w:rFonts w:ascii="宋体" w:hAnsi="宋体"/>
                <w:color w:val="auto"/>
                <w:szCs w:val="44"/>
              </w:rPr>
            </w:pPr>
          </w:p>
          <w:p w14:paraId="669A3D27">
            <w:pPr>
              <w:jc w:val="left"/>
              <w:rPr>
                <w:rFonts w:ascii="宋体" w:hAnsi="宋体"/>
                <w:color w:val="auto"/>
                <w:szCs w:val="44"/>
              </w:rPr>
            </w:pPr>
          </w:p>
          <w:p w14:paraId="4073B8E8">
            <w:pPr>
              <w:jc w:val="left"/>
              <w:rPr>
                <w:rFonts w:ascii="宋体" w:hAnsi="宋体"/>
                <w:color w:val="auto"/>
                <w:szCs w:val="44"/>
              </w:rPr>
            </w:pPr>
          </w:p>
          <w:p w14:paraId="05F41F6E">
            <w:pPr>
              <w:jc w:val="left"/>
              <w:rPr>
                <w:rFonts w:ascii="宋体" w:hAnsi="宋体"/>
                <w:color w:val="auto"/>
                <w:szCs w:val="44"/>
              </w:rPr>
            </w:pPr>
          </w:p>
          <w:p w14:paraId="6313C209">
            <w:pPr>
              <w:jc w:val="left"/>
              <w:rPr>
                <w:color w:val="auto"/>
              </w:rPr>
            </w:pPr>
          </w:p>
        </w:tc>
      </w:tr>
      <w:bookmarkEnd w:id="713"/>
    </w:tbl>
    <w:p w14:paraId="0F2A591B">
      <w:pPr>
        <w:rPr>
          <w:color w:val="auto"/>
        </w:rPr>
      </w:pPr>
    </w:p>
    <w:p w14:paraId="0E1F025C">
      <w:pPr>
        <w:ind w:left="210" w:leftChars="100" w:firstLine="5460" w:firstLineChars="2600"/>
        <w:rPr>
          <w:color w:val="auto"/>
          <w:szCs w:val="44"/>
        </w:rPr>
      </w:pPr>
      <w:r>
        <w:rPr>
          <w:rFonts w:hint="eastAsia"/>
          <w:color w:val="auto"/>
        </w:rPr>
        <w:t xml:space="preserve">日期：  </w:t>
      </w:r>
      <w:r>
        <w:rPr>
          <w:color w:val="auto"/>
        </w:rPr>
        <w:t xml:space="preserve">  </w:t>
      </w:r>
      <w:r>
        <w:rPr>
          <w:rFonts w:hint="eastAsia"/>
          <w:color w:val="auto"/>
        </w:rPr>
        <w:t xml:space="preserve">  年   月 </w:t>
      </w:r>
      <w:r>
        <w:rPr>
          <w:color w:val="auto"/>
        </w:rPr>
        <w:t xml:space="preserve">  </w:t>
      </w:r>
      <w:r>
        <w:rPr>
          <w:rFonts w:hint="eastAsia"/>
          <w:color w:val="auto"/>
        </w:rPr>
        <w:t xml:space="preserve">  日</w:t>
      </w:r>
    </w:p>
    <w:p w14:paraId="778B8ADF">
      <w:pPr>
        <w:rPr>
          <w:color w:val="auto"/>
        </w:rPr>
      </w:pPr>
    </w:p>
    <w:p w14:paraId="217DAF09">
      <w:pPr>
        <w:rPr>
          <w:color w:val="auto"/>
        </w:rPr>
      </w:pPr>
    </w:p>
    <w:p w14:paraId="6D9C6389">
      <w:pPr>
        <w:rPr>
          <w:color w:val="auto"/>
        </w:rPr>
        <w:sectPr>
          <w:pgSz w:w="11906" w:h="16838"/>
          <w:pgMar w:top="1440" w:right="1797" w:bottom="1440" w:left="1797" w:header="851" w:footer="851" w:gutter="0"/>
          <w:cols w:space="720" w:num="1"/>
          <w:docGrid w:linePitch="312" w:charSpace="0"/>
        </w:sectPr>
      </w:pPr>
    </w:p>
    <w:p w14:paraId="40CF579B">
      <w:pPr>
        <w:pStyle w:val="27"/>
        <w:rPr>
          <w:color w:val="auto"/>
        </w:rPr>
      </w:pPr>
      <w:bookmarkStart w:id="714" w:name="_Toc165804464"/>
      <w:bookmarkStart w:id="715" w:name="_Toc9668"/>
      <w:r>
        <w:rPr>
          <w:rFonts w:hint="eastAsia"/>
          <w:color w:val="auto"/>
        </w:rPr>
        <w:t>附表</w:t>
      </w:r>
      <w:r>
        <w:rPr>
          <w:color w:val="auto"/>
        </w:rPr>
        <w:t>C</w:t>
      </w:r>
      <w:r>
        <w:rPr>
          <w:rFonts w:hint="eastAsia"/>
          <w:color w:val="auto"/>
        </w:rPr>
        <w:t>-1：成本评审结论记录表</w:t>
      </w:r>
      <w:bookmarkEnd w:id="714"/>
      <w:bookmarkEnd w:id="715"/>
    </w:p>
    <w:p w14:paraId="04372A5A">
      <w:pPr>
        <w:spacing w:before="312" w:beforeLines="100" w:after="312" w:afterLines="100"/>
        <w:jc w:val="center"/>
        <w:rPr>
          <w:rFonts w:ascii="黑体" w:eastAsia="黑体"/>
          <w:color w:val="auto"/>
          <w:sz w:val="32"/>
          <w:szCs w:val="32"/>
        </w:rPr>
      </w:pPr>
      <w:r>
        <w:rPr>
          <w:rFonts w:hint="eastAsia" w:ascii="黑体" w:eastAsia="黑体"/>
          <w:color w:val="auto"/>
          <w:sz w:val="32"/>
          <w:szCs w:val="32"/>
        </w:rPr>
        <w:t>成本评审结论记录表</w:t>
      </w:r>
    </w:p>
    <w:p w14:paraId="17969C98">
      <w:pPr>
        <w:rPr>
          <w:rFonts w:ascii="宋体" w:hAnsi="宋体"/>
          <w:color w:val="auto"/>
          <w:szCs w:val="21"/>
        </w:rPr>
      </w:pPr>
      <w:r>
        <w:rPr>
          <w:rFonts w:hint="eastAsia" w:ascii="宋体" w:hAnsi="宋体"/>
          <w:color w:val="auto"/>
          <w:szCs w:val="21"/>
        </w:rPr>
        <w:t>投标人名称：</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9"/>
        <w:gridCol w:w="7353"/>
      </w:tblGrid>
      <w:tr w14:paraId="60E9E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8720" w:type="dxa"/>
            <w:gridSpan w:val="2"/>
          </w:tcPr>
          <w:p w14:paraId="3AABF4C6">
            <w:pPr>
              <w:spacing w:before="94" w:beforeLines="30"/>
              <w:rPr>
                <w:rFonts w:ascii="宋体" w:hAnsi="宋体"/>
                <w:color w:val="auto"/>
                <w:szCs w:val="21"/>
              </w:rPr>
            </w:pPr>
            <w:r>
              <w:rPr>
                <w:rFonts w:hint="eastAsia" w:ascii="宋体" w:hAnsi="宋体"/>
                <w:color w:val="auto"/>
                <w:szCs w:val="21"/>
              </w:rPr>
              <w:t>需投标人澄清和说明的主要事项概要：</w:t>
            </w:r>
          </w:p>
        </w:tc>
      </w:tr>
      <w:tr w14:paraId="17E9F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8720" w:type="dxa"/>
            <w:gridSpan w:val="2"/>
          </w:tcPr>
          <w:p w14:paraId="58A705FC">
            <w:pPr>
              <w:spacing w:before="94" w:beforeLines="30"/>
              <w:rPr>
                <w:rFonts w:ascii="宋体" w:hAnsi="宋体"/>
                <w:color w:val="auto"/>
                <w:szCs w:val="21"/>
              </w:rPr>
            </w:pPr>
            <w:r>
              <w:rPr>
                <w:rFonts w:hint="eastAsia" w:ascii="宋体" w:hAnsi="宋体"/>
                <w:color w:val="auto"/>
                <w:szCs w:val="21"/>
              </w:rPr>
              <w:t>投标人澄清、说明、补正和提供</w:t>
            </w:r>
            <w:r>
              <w:rPr>
                <w:rFonts w:hint="eastAsia" w:hAnsi="宋体"/>
                <w:color w:val="auto"/>
              </w:rPr>
              <w:t>证明材料</w:t>
            </w:r>
            <w:r>
              <w:rPr>
                <w:rFonts w:hint="eastAsia" w:ascii="宋体" w:hAnsi="宋体"/>
                <w:color w:val="auto"/>
                <w:szCs w:val="21"/>
              </w:rPr>
              <w:t>的情况说明：</w:t>
            </w:r>
          </w:p>
        </w:tc>
      </w:tr>
      <w:tr w14:paraId="6436A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88" w:type="dxa"/>
            <w:vAlign w:val="center"/>
          </w:tcPr>
          <w:p w14:paraId="33FFC0CD">
            <w:pPr>
              <w:jc w:val="center"/>
              <w:rPr>
                <w:rFonts w:ascii="宋体" w:hAnsi="宋体"/>
                <w:color w:val="auto"/>
                <w:szCs w:val="21"/>
              </w:rPr>
            </w:pPr>
            <w:r>
              <w:rPr>
                <w:rFonts w:hint="eastAsia" w:ascii="宋体" w:hAnsi="宋体"/>
                <w:color w:val="auto"/>
                <w:szCs w:val="21"/>
              </w:rPr>
              <w:t>评审结论</w:t>
            </w:r>
          </w:p>
        </w:tc>
        <w:tc>
          <w:tcPr>
            <w:tcW w:w="7532" w:type="dxa"/>
            <w:vAlign w:val="center"/>
          </w:tcPr>
          <w:p w14:paraId="1B2EE22E">
            <w:pPr>
              <w:ind w:firstLine="210" w:firstLineChars="100"/>
              <w:rPr>
                <w:rFonts w:ascii="宋体" w:hAnsi="宋体"/>
                <w:color w:val="auto"/>
                <w:szCs w:val="21"/>
              </w:rPr>
            </w:pPr>
            <w:r>
              <w:rPr>
                <w:rFonts w:hint="eastAsia" w:ascii="宋体" w:hAnsi="宋体"/>
                <w:color w:val="auto"/>
                <w:szCs w:val="21"/>
              </w:rPr>
              <w:t xml:space="preserve"> □低于成本     □不低于成本</w:t>
            </w:r>
          </w:p>
        </w:tc>
      </w:tr>
      <w:tr w14:paraId="02039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9" w:hRule="atLeast"/>
        </w:trPr>
        <w:tc>
          <w:tcPr>
            <w:tcW w:w="1188" w:type="dxa"/>
            <w:vAlign w:val="center"/>
          </w:tcPr>
          <w:p w14:paraId="5E84413D">
            <w:pPr>
              <w:jc w:val="center"/>
              <w:rPr>
                <w:rFonts w:ascii="宋体" w:hAnsi="宋体"/>
                <w:color w:val="auto"/>
                <w:szCs w:val="21"/>
              </w:rPr>
            </w:pPr>
            <w:r>
              <w:rPr>
                <w:rFonts w:hint="eastAsia" w:ascii="宋体" w:hAnsi="宋体"/>
                <w:color w:val="auto"/>
                <w:szCs w:val="21"/>
              </w:rPr>
              <w:t>评</w:t>
            </w:r>
          </w:p>
          <w:p w14:paraId="76F8CFFB">
            <w:pPr>
              <w:jc w:val="center"/>
              <w:rPr>
                <w:rFonts w:ascii="宋体" w:hAnsi="宋体"/>
                <w:color w:val="auto"/>
                <w:szCs w:val="21"/>
              </w:rPr>
            </w:pPr>
            <w:r>
              <w:rPr>
                <w:rFonts w:hint="eastAsia" w:ascii="宋体" w:hAnsi="宋体"/>
                <w:color w:val="auto"/>
                <w:szCs w:val="21"/>
              </w:rPr>
              <w:t>审</w:t>
            </w:r>
          </w:p>
          <w:p w14:paraId="4090CFB2">
            <w:pPr>
              <w:jc w:val="center"/>
              <w:rPr>
                <w:rFonts w:ascii="宋体" w:hAnsi="宋体"/>
                <w:color w:val="auto"/>
                <w:szCs w:val="21"/>
              </w:rPr>
            </w:pPr>
            <w:r>
              <w:rPr>
                <w:rFonts w:hint="eastAsia" w:ascii="宋体" w:hAnsi="宋体"/>
                <w:color w:val="auto"/>
                <w:szCs w:val="21"/>
              </w:rPr>
              <w:t>意</w:t>
            </w:r>
          </w:p>
          <w:p w14:paraId="0CE8C762">
            <w:pPr>
              <w:jc w:val="center"/>
              <w:rPr>
                <w:rFonts w:ascii="宋体" w:hAnsi="宋体"/>
                <w:color w:val="auto"/>
                <w:szCs w:val="21"/>
              </w:rPr>
            </w:pPr>
            <w:r>
              <w:rPr>
                <w:rFonts w:hint="eastAsia" w:ascii="宋体" w:hAnsi="宋体"/>
                <w:color w:val="auto"/>
                <w:szCs w:val="21"/>
              </w:rPr>
              <w:t>见</w:t>
            </w:r>
          </w:p>
          <w:p w14:paraId="687D453F">
            <w:pPr>
              <w:jc w:val="center"/>
              <w:rPr>
                <w:rFonts w:ascii="宋体" w:hAnsi="宋体"/>
                <w:color w:val="auto"/>
                <w:szCs w:val="21"/>
              </w:rPr>
            </w:pPr>
            <w:r>
              <w:rPr>
                <w:rFonts w:hint="eastAsia" w:ascii="宋体" w:hAnsi="宋体"/>
                <w:color w:val="auto"/>
                <w:szCs w:val="21"/>
              </w:rPr>
              <w:t>概</w:t>
            </w:r>
          </w:p>
          <w:p w14:paraId="7655BAEB">
            <w:pPr>
              <w:jc w:val="center"/>
              <w:rPr>
                <w:rFonts w:ascii="宋体" w:hAnsi="宋体"/>
                <w:color w:val="auto"/>
                <w:szCs w:val="21"/>
              </w:rPr>
            </w:pPr>
            <w:r>
              <w:rPr>
                <w:rFonts w:hint="eastAsia" w:ascii="宋体" w:hAnsi="宋体"/>
                <w:color w:val="auto"/>
                <w:szCs w:val="21"/>
              </w:rPr>
              <w:t>要</w:t>
            </w:r>
          </w:p>
        </w:tc>
        <w:tc>
          <w:tcPr>
            <w:tcW w:w="7532" w:type="dxa"/>
            <w:vAlign w:val="center"/>
          </w:tcPr>
          <w:p w14:paraId="225D4D2F">
            <w:pPr>
              <w:jc w:val="center"/>
              <w:rPr>
                <w:rFonts w:ascii="宋体" w:hAnsi="宋体"/>
                <w:color w:val="auto"/>
                <w:szCs w:val="21"/>
              </w:rPr>
            </w:pPr>
          </w:p>
        </w:tc>
      </w:tr>
      <w:tr w14:paraId="68AC3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4" w:hRule="atLeast"/>
        </w:trPr>
        <w:tc>
          <w:tcPr>
            <w:tcW w:w="1188" w:type="dxa"/>
            <w:vAlign w:val="center"/>
          </w:tcPr>
          <w:p w14:paraId="1A8CE11A">
            <w:pPr>
              <w:jc w:val="center"/>
              <w:rPr>
                <w:rFonts w:ascii="宋体" w:hAnsi="宋体"/>
                <w:color w:val="auto"/>
                <w:szCs w:val="21"/>
              </w:rPr>
            </w:pPr>
            <w:r>
              <w:rPr>
                <w:rFonts w:hint="eastAsia" w:ascii="宋体" w:hAnsi="宋体"/>
                <w:color w:val="auto"/>
                <w:szCs w:val="21"/>
              </w:rPr>
              <w:t>评</w:t>
            </w:r>
          </w:p>
          <w:p w14:paraId="631BE8BA">
            <w:pPr>
              <w:jc w:val="center"/>
              <w:rPr>
                <w:rFonts w:ascii="宋体" w:hAnsi="宋体"/>
                <w:color w:val="auto"/>
                <w:szCs w:val="21"/>
              </w:rPr>
            </w:pPr>
            <w:r>
              <w:rPr>
                <w:rFonts w:hint="eastAsia" w:ascii="宋体" w:hAnsi="宋体"/>
                <w:color w:val="auto"/>
                <w:szCs w:val="21"/>
              </w:rPr>
              <w:t>标</w:t>
            </w:r>
          </w:p>
          <w:p w14:paraId="67199AD7">
            <w:pPr>
              <w:jc w:val="center"/>
              <w:rPr>
                <w:rFonts w:ascii="宋体" w:hAnsi="宋体"/>
                <w:color w:val="auto"/>
                <w:szCs w:val="21"/>
              </w:rPr>
            </w:pPr>
            <w:r>
              <w:rPr>
                <w:rFonts w:hint="eastAsia" w:ascii="宋体" w:hAnsi="宋体"/>
                <w:color w:val="auto"/>
                <w:szCs w:val="21"/>
              </w:rPr>
              <w:t>委</w:t>
            </w:r>
          </w:p>
          <w:p w14:paraId="25855FFF">
            <w:pPr>
              <w:jc w:val="center"/>
              <w:rPr>
                <w:rFonts w:ascii="宋体" w:hAnsi="宋体"/>
                <w:color w:val="auto"/>
                <w:szCs w:val="21"/>
              </w:rPr>
            </w:pPr>
            <w:r>
              <w:rPr>
                <w:rFonts w:hint="eastAsia" w:ascii="宋体" w:hAnsi="宋体"/>
                <w:color w:val="auto"/>
                <w:szCs w:val="21"/>
              </w:rPr>
              <w:t>员</w:t>
            </w:r>
          </w:p>
          <w:p w14:paraId="0FFAFAE5">
            <w:pPr>
              <w:jc w:val="center"/>
              <w:rPr>
                <w:rFonts w:ascii="宋体" w:hAnsi="宋体"/>
                <w:color w:val="auto"/>
                <w:szCs w:val="21"/>
              </w:rPr>
            </w:pPr>
            <w:r>
              <w:rPr>
                <w:rFonts w:hint="eastAsia" w:ascii="宋体" w:hAnsi="宋体"/>
                <w:color w:val="auto"/>
                <w:szCs w:val="21"/>
              </w:rPr>
              <w:t>会</w:t>
            </w:r>
          </w:p>
          <w:p w14:paraId="44BDFB6D">
            <w:pPr>
              <w:jc w:val="center"/>
              <w:rPr>
                <w:rFonts w:ascii="宋体" w:hAnsi="宋体"/>
                <w:color w:val="auto"/>
                <w:szCs w:val="21"/>
              </w:rPr>
            </w:pPr>
            <w:r>
              <w:rPr>
                <w:rFonts w:hint="eastAsia" w:ascii="宋体" w:hAnsi="宋体"/>
                <w:color w:val="auto"/>
                <w:szCs w:val="21"/>
              </w:rPr>
              <w:t>全</w:t>
            </w:r>
          </w:p>
          <w:p w14:paraId="3F42C5B6">
            <w:pPr>
              <w:jc w:val="center"/>
              <w:rPr>
                <w:rFonts w:ascii="宋体" w:hAnsi="宋体"/>
                <w:color w:val="auto"/>
                <w:szCs w:val="21"/>
              </w:rPr>
            </w:pPr>
            <w:r>
              <w:rPr>
                <w:rFonts w:hint="eastAsia" w:ascii="宋体" w:hAnsi="宋体"/>
                <w:color w:val="auto"/>
                <w:szCs w:val="21"/>
              </w:rPr>
              <w:t>体</w:t>
            </w:r>
          </w:p>
          <w:p w14:paraId="14531694">
            <w:pPr>
              <w:jc w:val="center"/>
              <w:rPr>
                <w:rFonts w:ascii="宋体" w:hAnsi="宋体"/>
                <w:color w:val="auto"/>
                <w:szCs w:val="21"/>
              </w:rPr>
            </w:pPr>
            <w:r>
              <w:rPr>
                <w:rFonts w:hint="eastAsia" w:ascii="宋体" w:hAnsi="宋体"/>
                <w:color w:val="auto"/>
                <w:szCs w:val="21"/>
              </w:rPr>
              <w:t>成</w:t>
            </w:r>
          </w:p>
          <w:p w14:paraId="5248A33A">
            <w:pPr>
              <w:jc w:val="center"/>
              <w:rPr>
                <w:rFonts w:ascii="宋体" w:hAnsi="宋体"/>
                <w:color w:val="auto"/>
                <w:szCs w:val="21"/>
              </w:rPr>
            </w:pPr>
            <w:r>
              <w:rPr>
                <w:rFonts w:hint="eastAsia" w:ascii="宋体" w:hAnsi="宋体"/>
                <w:color w:val="auto"/>
                <w:szCs w:val="21"/>
              </w:rPr>
              <w:t>员</w:t>
            </w:r>
          </w:p>
          <w:p w14:paraId="0B308705">
            <w:pPr>
              <w:jc w:val="center"/>
              <w:rPr>
                <w:rFonts w:ascii="宋体" w:hAnsi="宋体"/>
                <w:color w:val="auto"/>
                <w:szCs w:val="21"/>
              </w:rPr>
            </w:pPr>
            <w:r>
              <w:rPr>
                <w:rFonts w:hint="eastAsia" w:ascii="宋体" w:hAnsi="宋体"/>
                <w:color w:val="auto"/>
                <w:szCs w:val="21"/>
              </w:rPr>
              <w:t>签</w:t>
            </w:r>
          </w:p>
          <w:p w14:paraId="7623DD4D">
            <w:pPr>
              <w:jc w:val="center"/>
              <w:rPr>
                <w:rFonts w:ascii="宋体" w:hAnsi="宋体"/>
                <w:color w:val="auto"/>
                <w:szCs w:val="21"/>
              </w:rPr>
            </w:pPr>
            <w:r>
              <w:rPr>
                <w:rFonts w:hint="eastAsia" w:ascii="宋体" w:hAnsi="宋体"/>
                <w:color w:val="auto"/>
                <w:szCs w:val="21"/>
              </w:rPr>
              <w:t>名</w:t>
            </w:r>
          </w:p>
        </w:tc>
        <w:tc>
          <w:tcPr>
            <w:tcW w:w="7532" w:type="dxa"/>
            <w:vAlign w:val="bottom"/>
          </w:tcPr>
          <w:p w14:paraId="390931AB">
            <w:pPr>
              <w:wordWrap w:val="0"/>
              <w:spacing w:after="156" w:afterLines="50"/>
              <w:jc w:val="right"/>
              <w:rPr>
                <w:rFonts w:ascii="宋体" w:hAnsi="宋体"/>
                <w:color w:val="auto"/>
                <w:szCs w:val="21"/>
              </w:rPr>
            </w:pPr>
            <w:r>
              <w:rPr>
                <w:rFonts w:hint="eastAsia" w:ascii="宋体" w:hAnsi="宋体"/>
                <w:color w:val="auto"/>
                <w:szCs w:val="21"/>
              </w:rPr>
              <w:t xml:space="preserve">年   月   日       </w:t>
            </w:r>
          </w:p>
        </w:tc>
      </w:tr>
    </w:tbl>
    <w:p w14:paraId="7028410B">
      <w:pPr>
        <w:rPr>
          <w:color w:val="auto"/>
        </w:rPr>
        <w:sectPr>
          <w:footerReference r:id="rId16" w:type="default"/>
          <w:pgSz w:w="11906" w:h="16838"/>
          <w:pgMar w:top="1440" w:right="1800" w:bottom="1440" w:left="1800" w:header="851" w:footer="992" w:gutter="0"/>
          <w:cols w:space="425" w:num="1"/>
          <w:docGrid w:type="lines" w:linePitch="312" w:charSpace="0"/>
        </w:sectPr>
      </w:pPr>
    </w:p>
    <w:p w14:paraId="348E0852">
      <w:pPr>
        <w:bidi w:val="0"/>
        <w:rPr>
          <w:rFonts w:hint="eastAsia"/>
          <w:color w:val="auto"/>
        </w:rPr>
      </w:pPr>
      <w:bookmarkStart w:id="716" w:name="_Toc152264507"/>
    </w:p>
    <w:p w14:paraId="5BFE2D83">
      <w:pPr>
        <w:bidi w:val="0"/>
        <w:rPr>
          <w:rFonts w:hint="eastAsia"/>
          <w:color w:val="auto"/>
        </w:rPr>
      </w:pPr>
    </w:p>
    <w:p w14:paraId="440F2672">
      <w:pPr>
        <w:bidi w:val="0"/>
        <w:rPr>
          <w:rFonts w:hint="eastAsia"/>
          <w:color w:val="auto"/>
        </w:rPr>
      </w:pPr>
    </w:p>
    <w:p w14:paraId="211A66E2">
      <w:pPr>
        <w:bidi w:val="0"/>
        <w:rPr>
          <w:rFonts w:hint="eastAsia"/>
          <w:color w:val="auto"/>
        </w:rPr>
      </w:pPr>
    </w:p>
    <w:p w14:paraId="1B9E9647">
      <w:pPr>
        <w:bidi w:val="0"/>
        <w:rPr>
          <w:rFonts w:hint="eastAsia"/>
          <w:color w:val="auto"/>
        </w:rPr>
      </w:pPr>
    </w:p>
    <w:p w14:paraId="30E84A86">
      <w:pPr>
        <w:bidi w:val="0"/>
        <w:rPr>
          <w:rFonts w:hint="eastAsia"/>
          <w:color w:val="auto"/>
        </w:rPr>
      </w:pPr>
    </w:p>
    <w:p w14:paraId="6E3CB6E5">
      <w:pPr>
        <w:bidi w:val="0"/>
        <w:rPr>
          <w:rFonts w:hint="eastAsia"/>
          <w:color w:val="auto"/>
        </w:rPr>
      </w:pPr>
    </w:p>
    <w:p w14:paraId="4A85E1B8">
      <w:pPr>
        <w:bidi w:val="0"/>
        <w:rPr>
          <w:rFonts w:hint="eastAsia"/>
          <w:color w:val="auto"/>
        </w:rPr>
      </w:pPr>
    </w:p>
    <w:p w14:paraId="2338D37B">
      <w:pPr>
        <w:bidi w:val="0"/>
        <w:rPr>
          <w:rFonts w:hint="eastAsia"/>
          <w:color w:val="auto"/>
        </w:rPr>
      </w:pPr>
    </w:p>
    <w:p w14:paraId="2FD49B81">
      <w:pPr>
        <w:bidi w:val="0"/>
        <w:rPr>
          <w:rFonts w:hint="eastAsia"/>
          <w:color w:val="auto"/>
        </w:rPr>
      </w:pPr>
    </w:p>
    <w:p w14:paraId="2E1F3CAF">
      <w:pPr>
        <w:bidi w:val="0"/>
        <w:rPr>
          <w:rFonts w:hint="eastAsia"/>
          <w:color w:val="auto"/>
        </w:rPr>
      </w:pPr>
    </w:p>
    <w:p w14:paraId="204DF139">
      <w:pPr>
        <w:bidi w:val="0"/>
        <w:rPr>
          <w:rFonts w:hint="eastAsia"/>
          <w:color w:val="auto"/>
        </w:rPr>
      </w:pPr>
    </w:p>
    <w:p w14:paraId="12C2CE75">
      <w:pPr>
        <w:bidi w:val="0"/>
        <w:rPr>
          <w:rFonts w:hint="eastAsia"/>
          <w:color w:val="auto"/>
        </w:rPr>
      </w:pPr>
    </w:p>
    <w:p w14:paraId="5402B8F0">
      <w:pPr>
        <w:bidi w:val="0"/>
        <w:rPr>
          <w:rFonts w:hint="eastAsia"/>
          <w:color w:val="auto"/>
        </w:rPr>
      </w:pPr>
    </w:p>
    <w:p w14:paraId="3F8F65D4">
      <w:pPr>
        <w:bidi w:val="0"/>
        <w:rPr>
          <w:rFonts w:hint="eastAsia"/>
          <w:color w:val="auto"/>
        </w:rPr>
      </w:pPr>
    </w:p>
    <w:p w14:paraId="6909A187">
      <w:pPr>
        <w:bidi w:val="0"/>
        <w:rPr>
          <w:rFonts w:hint="eastAsia"/>
          <w:color w:val="auto"/>
        </w:rPr>
      </w:pPr>
    </w:p>
    <w:p w14:paraId="0A6577D5">
      <w:pPr>
        <w:bidi w:val="0"/>
        <w:rPr>
          <w:rFonts w:hint="eastAsia"/>
          <w:color w:val="auto"/>
        </w:rPr>
      </w:pPr>
    </w:p>
    <w:p w14:paraId="2C4F5D7A">
      <w:pPr>
        <w:pStyle w:val="2"/>
        <w:spacing w:before="120" w:after="120" w:line="400" w:lineRule="exact"/>
        <w:jc w:val="center"/>
        <w:rPr>
          <w:rFonts w:ascii="黑体" w:hAnsi="黑体" w:eastAsia="黑体"/>
          <w:b w:val="0"/>
          <w:bCs w:val="0"/>
          <w:color w:val="auto"/>
          <w:sz w:val="32"/>
        </w:rPr>
      </w:pPr>
      <w:bookmarkStart w:id="717" w:name="_Toc8616"/>
      <w:r>
        <w:rPr>
          <w:rFonts w:hint="eastAsia" w:ascii="黑体" w:hAnsi="黑体" w:eastAsia="黑体"/>
          <w:b w:val="0"/>
          <w:bCs w:val="0"/>
          <w:color w:val="auto"/>
          <w:sz w:val="32"/>
        </w:rPr>
        <w:t>第四章  合同条款及格式</w:t>
      </w:r>
      <w:bookmarkEnd w:id="716"/>
      <w:bookmarkEnd w:id="717"/>
    </w:p>
    <w:p w14:paraId="248BFD41">
      <w:pPr>
        <w:spacing w:line="320" w:lineRule="exact"/>
        <w:rPr>
          <w:color w:val="auto"/>
        </w:rPr>
        <w:sectPr>
          <w:pgSz w:w="11906" w:h="16838"/>
          <w:pgMar w:top="1440" w:right="1800" w:bottom="1440" w:left="1800" w:header="851" w:footer="992" w:gutter="0"/>
          <w:cols w:space="425" w:num="1"/>
          <w:docGrid w:type="lines" w:linePitch="312" w:charSpace="0"/>
        </w:sectPr>
      </w:pPr>
    </w:p>
    <w:p w14:paraId="340C8F89">
      <w:pPr>
        <w:spacing w:line="320" w:lineRule="exact"/>
        <w:ind w:left="735" w:hanging="735" w:hangingChars="350"/>
        <w:rPr>
          <w:color w:val="auto"/>
        </w:rPr>
      </w:pPr>
    </w:p>
    <w:p w14:paraId="240A1782">
      <w:pPr>
        <w:rPr>
          <w:color w:val="auto"/>
          <w:highlight w:val="none"/>
        </w:rPr>
      </w:pPr>
      <w:bookmarkStart w:id="718" w:name="EB1716b036e60b4ad2b3c781e47937a085"/>
    </w:p>
    <w:p w14:paraId="3EBFB2E1">
      <w:pPr>
        <w:rPr>
          <w:rFonts w:hint="eastAsia"/>
          <w:color w:val="auto"/>
          <w:sz w:val="20"/>
          <w:highlight w:val="none"/>
        </w:rPr>
      </w:pPr>
      <w:r>
        <w:rPr>
          <w:rFonts w:hint="eastAsia"/>
          <w:color w:val="auto"/>
          <w:sz w:val="20"/>
          <w:highlight w:val="none"/>
        </w:rPr>
        <w:t xml:space="preserve"> </w:t>
      </w:r>
      <w:bookmarkEnd w:id="718"/>
    </w:p>
    <w:p w14:paraId="7A9D76FE">
      <w:pPr>
        <w:jc w:val="left"/>
        <w:rPr>
          <w:rFonts w:ascii="Times New Roman" w:hAnsi="Times New Roman" w:eastAsia="仿宋_GB2312"/>
          <w:bCs/>
          <w:color w:val="auto"/>
          <w:sz w:val="32"/>
          <w:szCs w:val="32"/>
          <w:highlight w:val="none"/>
        </w:rPr>
      </w:pPr>
      <w:r>
        <w:rPr>
          <w:rFonts w:hint="eastAsia" w:eastAsia="仿宋_GB2312"/>
          <w:bCs/>
          <w:color w:val="auto"/>
          <w:sz w:val="32"/>
          <w:szCs w:val="32"/>
          <w:highlight w:val="none"/>
          <w:lang w:eastAsia="zh-CN"/>
        </w:rPr>
        <w:t>(</w:t>
      </w:r>
      <w:r>
        <w:rPr>
          <w:rFonts w:ascii="Times New Roman" w:hAnsi="Times New Roman" w:eastAsia="仿宋_GB2312"/>
          <w:bCs/>
          <w:color w:val="auto"/>
          <w:sz w:val="32"/>
          <w:szCs w:val="32"/>
          <w:highlight w:val="none"/>
        </w:rPr>
        <w:t>GF—201</w:t>
      </w:r>
      <w:r>
        <w:rPr>
          <w:rFonts w:hint="eastAsia" w:ascii="Times New Roman" w:hAnsi="Times New Roman" w:eastAsia="仿宋_GB2312"/>
          <w:bCs/>
          <w:color w:val="auto"/>
          <w:sz w:val="32"/>
          <w:szCs w:val="32"/>
          <w:highlight w:val="none"/>
        </w:rPr>
        <w:t>7</w:t>
      </w:r>
      <w:r>
        <w:rPr>
          <w:rFonts w:ascii="Times New Roman" w:hAnsi="Times New Roman" w:eastAsia="仿宋_GB2312"/>
          <w:bCs/>
          <w:color w:val="auto"/>
          <w:sz w:val="32"/>
          <w:szCs w:val="32"/>
          <w:highlight w:val="none"/>
        </w:rPr>
        <w:t>—</w:t>
      </w:r>
      <w:r>
        <w:rPr>
          <w:rFonts w:hint="eastAsia" w:ascii="Times New Roman" w:hAnsi="Times New Roman" w:eastAsia="仿宋_GB2312"/>
          <w:bCs/>
          <w:color w:val="auto"/>
          <w:sz w:val="32"/>
          <w:szCs w:val="32"/>
          <w:highlight w:val="none"/>
        </w:rPr>
        <w:t>0201</w:t>
      </w:r>
      <w:r>
        <w:rPr>
          <w:rFonts w:hint="eastAsia" w:eastAsia="仿宋_GB2312"/>
          <w:bCs/>
          <w:color w:val="auto"/>
          <w:sz w:val="32"/>
          <w:szCs w:val="32"/>
          <w:highlight w:val="none"/>
          <w:lang w:eastAsia="zh-CN"/>
        </w:rPr>
        <w:t>)</w:t>
      </w:r>
    </w:p>
    <w:p w14:paraId="12B7EBA9">
      <w:pPr>
        <w:jc w:val="center"/>
        <w:rPr>
          <w:rFonts w:ascii="Times New Roman" w:hAnsi="Times New Roman" w:eastAsia="华文中宋"/>
          <w:b/>
          <w:color w:val="auto"/>
          <w:sz w:val="52"/>
          <w:szCs w:val="52"/>
          <w:highlight w:val="none"/>
        </w:rPr>
      </w:pPr>
    </w:p>
    <w:p w14:paraId="0D2B7D0C">
      <w:pPr>
        <w:jc w:val="center"/>
        <w:rPr>
          <w:rFonts w:ascii="Times New Roman" w:hAnsi="Times New Roman" w:eastAsia="华文中宋"/>
          <w:b/>
          <w:color w:val="auto"/>
          <w:sz w:val="52"/>
          <w:szCs w:val="52"/>
          <w:highlight w:val="none"/>
        </w:rPr>
      </w:pPr>
    </w:p>
    <w:p w14:paraId="635D84F9">
      <w:pPr>
        <w:jc w:val="center"/>
        <w:rPr>
          <w:rFonts w:ascii="Times New Roman" w:hAnsi="Times New Roman" w:eastAsia="华文中宋"/>
          <w:b/>
          <w:color w:val="auto"/>
          <w:sz w:val="52"/>
          <w:szCs w:val="52"/>
          <w:highlight w:val="none"/>
        </w:rPr>
      </w:pPr>
    </w:p>
    <w:p w14:paraId="5FEDD556">
      <w:pPr>
        <w:jc w:val="center"/>
        <w:rPr>
          <w:rFonts w:ascii="Times New Roman" w:hAnsi="Times New Roman" w:eastAsia="华文中宋"/>
          <w:b/>
          <w:color w:val="auto"/>
          <w:sz w:val="52"/>
          <w:szCs w:val="52"/>
          <w:highlight w:val="none"/>
        </w:rPr>
      </w:pPr>
    </w:p>
    <w:p w14:paraId="2881CA77">
      <w:pPr>
        <w:jc w:val="center"/>
        <w:rPr>
          <w:rFonts w:hint="eastAsia" w:ascii="Times New Roman" w:hAnsi="Times New Roman" w:eastAsia="华文中宋"/>
          <w:b/>
          <w:color w:val="auto"/>
          <w:sz w:val="72"/>
          <w:szCs w:val="52"/>
          <w:highlight w:val="none"/>
          <w:lang w:eastAsia="zh-CN"/>
        </w:rPr>
      </w:pPr>
      <w:r>
        <w:rPr>
          <w:rFonts w:ascii="Times New Roman" w:hAnsi="Times New Roman" w:eastAsia="华文中宋"/>
          <w:b/>
          <w:color w:val="auto"/>
          <w:sz w:val="72"/>
          <w:szCs w:val="52"/>
          <w:highlight w:val="none"/>
        </w:rPr>
        <w:t>建设工程施工合同</w:t>
      </w:r>
    </w:p>
    <w:p w14:paraId="43827010">
      <w:pPr>
        <w:jc w:val="center"/>
        <w:rPr>
          <w:rFonts w:ascii="Times New Roman" w:hAnsi="Times New Roman" w:eastAsia="华文中宋"/>
          <w:b/>
          <w:color w:val="auto"/>
          <w:sz w:val="52"/>
          <w:szCs w:val="52"/>
          <w:highlight w:val="none"/>
        </w:rPr>
      </w:pPr>
      <w:r>
        <w:rPr>
          <w:rFonts w:ascii="Times New Roman" w:hAnsi="Times New Roman" w:eastAsia="华文中宋"/>
          <w:b/>
          <w:color w:val="auto"/>
          <w:sz w:val="52"/>
          <w:szCs w:val="52"/>
          <w:highlight w:val="none"/>
        </w:rPr>
        <w:t>（示范文本）</w:t>
      </w:r>
    </w:p>
    <w:p w14:paraId="21DD8B85">
      <w:pPr>
        <w:jc w:val="center"/>
        <w:rPr>
          <w:rFonts w:ascii="Times New Roman" w:hAnsi="Times New Roman" w:eastAsia="华文中宋"/>
          <w:b/>
          <w:color w:val="auto"/>
          <w:sz w:val="52"/>
          <w:szCs w:val="52"/>
          <w:highlight w:val="none"/>
        </w:rPr>
      </w:pPr>
    </w:p>
    <w:p w14:paraId="7F811D31">
      <w:pPr>
        <w:jc w:val="center"/>
        <w:rPr>
          <w:rFonts w:ascii="Times New Roman" w:hAnsi="Times New Roman" w:eastAsia="黑体"/>
          <w:b/>
          <w:color w:val="auto"/>
          <w:sz w:val="72"/>
          <w:szCs w:val="72"/>
          <w:highlight w:val="none"/>
        </w:rPr>
      </w:pPr>
    </w:p>
    <w:p w14:paraId="678DDBCD">
      <w:pPr>
        <w:rPr>
          <w:rFonts w:ascii="Times New Roman" w:hAnsi="Times New Roman"/>
          <w:b/>
          <w:color w:val="auto"/>
          <w:sz w:val="28"/>
          <w:szCs w:val="28"/>
          <w:highlight w:val="none"/>
        </w:rPr>
      </w:pPr>
    </w:p>
    <w:p w14:paraId="10765F9C">
      <w:pPr>
        <w:rPr>
          <w:rFonts w:ascii="Times New Roman" w:hAnsi="Times New Roman"/>
          <w:b/>
          <w:color w:val="auto"/>
          <w:sz w:val="28"/>
          <w:szCs w:val="28"/>
          <w:highlight w:val="none"/>
        </w:rPr>
      </w:pPr>
    </w:p>
    <w:p w14:paraId="25A71AC2">
      <w:pPr>
        <w:rPr>
          <w:rFonts w:ascii="Times New Roman" w:hAnsi="Times New Roman"/>
          <w:b/>
          <w:color w:val="auto"/>
          <w:sz w:val="28"/>
          <w:szCs w:val="28"/>
          <w:highlight w:val="none"/>
        </w:rPr>
      </w:pPr>
    </w:p>
    <w:p w14:paraId="62526198">
      <w:pPr>
        <w:rPr>
          <w:rFonts w:ascii="Times New Roman" w:hAnsi="Times New Roman"/>
          <w:b/>
          <w:color w:val="auto"/>
          <w:sz w:val="28"/>
          <w:szCs w:val="28"/>
          <w:highlight w:val="none"/>
        </w:rPr>
      </w:pPr>
    </w:p>
    <w:p w14:paraId="77264A27">
      <w:pPr>
        <w:ind w:right="2719" w:rightChars="1295" w:firstLine="2738" w:firstLineChars="1304"/>
        <w:jc w:val="distribute"/>
        <w:rPr>
          <w:rFonts w:ascii="Times New Roman" w:hAnsi="Times New Roman"/>
          <w:b/>
          <w:color w:val="auto"/>
          <w:sz w:val="32"/>
          <w:szCs w:val="28"/>
          <w:highlight w:val="none"/>
        </w:rPr>
      </w:pPr>
      <w:r>
        <w:rPr>
          <w:rFonts w:ascii="Times New Roman" w:hAnsi="Times New Roman"/>
          <w:color w:val="auto"/>
          <w:highlight w:val="none"/>
        </w:rPr>
        <mc:AlternateContent>
          <mc:Choice Requires="wps">
            <w:drawing>
              <wp:anchor distT="0" distB="0" distL="114300" distR="114300" simplePos="0" relativeHeight="251659264" behindDoc="0" locked="0" layoutInCell="1" allowOverlap="1">
                <wp:simplePos x="0" y="0"/>
                <wp:positionH relativeFrom="column">
                  <wp:posOffset>3970020</wp:posOffset>
                </wp:positionH>
                <wp:positionV relativeFrom="paragraph">
                  <wp:posOffset>120015</wp:posOffset>
                </wp:positionV>
                <wp:extent cx="723900" cy="457200"/>
                <wp:effectExtent l="4445" t="4445" r="14605" b="14605"/>
                <wp:wrapNone/>
                <wp:docPr id="6" name="文本框 6"/>
                <wp:cNvGraphicFramePr/>
                <a:graphic xmlns:a="http://schemas.openxmlformats.org/drawingml/2006/main">
                  <a:graphicData uri="http://schemas.microsoft.com/office/word/2010/wordprocessingShape">
                    <wps:wsp>
                      <wps:cNvSpPr txBox="1"/>
                      <wps:spPr>
                        <a:xfrm>
                          <a:off x="0" y="0"/>
                          <a:ext cx="723900" cy="457200"/>
                        </a:xfrm>
                        <a:prstGeom prst="rect">
                          <a:avLst/>
                        </a:prstGeom>
                        <a:noFill/>
                        <a:ln w="9525" cap="flat" cmpd="sng">
                          <a:solidFill>
                            <a:srgbClr val="FFFFFF"/>
                          </a:solidFill>
                          <a:prstDash val="solid"/>
                          <a:miter/>
                          <a:headEnd type="none" w="med" len="med"/>
                          <a:tailEnd type="none" w="med" len="med"/>
                        </a:ln>
                      </wps:spPr>
                      <wps:txbx>
                        <w:txbxContent>
                          <w:p w14:paraId="0C39DE6D">
                            <w:pPr>
                              <w:rPr>
                                <w:rFonts w:hint="eastAsia"/>
                                <w:b/>
                                <w:bCs/>
                                <w:sz w:val="32"/>
                              </w:rPr>
                            </w:pPr>
                            <w:r>
                              <w:rPr>
                                <w:rFonts w:hint="eastAsia"/>
                                <w:b/>
                                <w:bCs/>
                                <w:sz w:val="32"/>
                              </w:rPr>
                              <w:t>制定</w:t>
                            </w:r>
                          </w:p>
                        </w:txbxContent>
                      </wps:txbx>
                      <wps:bodyPr upright="1"/>
                    </wps:wsp>
                  </a:graphicData>
                </a:graphic>
              </wp:anchor>
            </w:drawing>
          </mc:Choice>
          <mc:Fallback>
            <w:pict>
              <v:shape id="_x0000_s1026" o:spid="_x0000_s1026" o:spt="202" type="#_x0000_t202" style="position:absolute;left:0pt;margin-left:312.6pt;margin-top:9.45pt;height:36pt;width:57pt;z-index:251659264;mso-width-relative:page;mso-height-relative:page;" filled="f" stroked="t" coordsize="21600,21600" o:gfxdata="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Qc0tcdgAAAAJAQAADwAAAAAAAAABACAAAAAiAAAAZHJz&#10;L2Rvd25yZXYueG1sUEsBAhQAFAAAAAgAh07iQPrQmWYEAgAADAQAAA4AAAAAAAAAAQAgAAAAJwEA&#10;AGRycy9lMm9Eb2MueG1sUEsFBgAAAAAGAAYAWQEAAJ0FAAAAAA==&#10;">
                <v:fill on="f" focussize="0,0"/>
                <v:stroke color="#FFFFFF" joinstyle="miter"/>
                <v:imagedata o:title=""/>
                <o:lock v:ext="edit" aspectratio="f"/>
                <v:textbox>
                  <w:txbxContent>
                    <w:p w14:paraId="0C39DE6D">
                      <w:pPr>
                        <w:rPr>
                          <w:rFonts w:hint="eastAsia"/>
                          <w:b/>
                          <w:bCs/>
                          <w:sz w:val="32"/>
                        </w:rPr>
                      </w:pPr>
                      <w:r>
                        <w:rPr>
                          <w:rFonts w:hint="eastAsia"/>
                          <w:b/>
                          <w:bCs/>
                          <w:sz w:val="32"/>
                        </w:rPr>
                        <w:t>制定</w:t>
                      </w:r>
                    </w:p>
                  </w:txbxContent>
                </v:textbox>
              </v:shape>
            </w:pict>
          </mc:Fallback>
        </mc:AlternateContent>
      </w:r>
      <w:r>
        <w:rPr>
          <w:rFonts w:ascii="Times New Roman" w:hAnsi="Times New Roman"/>
          <w:b/>
          <w:color w:val="auto"/>
          <w:sz w:val="32"/>
          <w:szCs w:val="28"/>
          <w:highlight w:val="none"/>
        </w:rPr>
        <w:t>住房城乡建设部</w:t>
      </w:r>
    </w:p>
    <w:p w14:paraId="500A6046">
      <w:pPr>
        <w:ind w:right="2719" w:rightChars="1295" w:firstLine="2750" w:firstLineChars="856"/>
        <w:jc w:val="distribute"/>
        <w:rPr>
          <w:rFonts w:ascii="Times New Roman" w:hAnsi="Times New Roman"/>
          <w:b/>
          <w:color w:val="auto"/>
          <w:sz w:val="32"/>
          <w:szCs w:val="28"/>
          <w:highlight w:val="none"/>
        </w:rPr>
      </w:pPr>
      <w:r>
        <w:rPr>
          <w:rFonts w:ascii="Times New Roman" w:hAnsi="Times New Roman"/>
          <w:b/>
          <w:color w:val="auto"/>
          <w:sz w:val="32"/>
          <w:szCs w:val="28"/>
          <w:highlight w:val="none"/>
        </w:rPr>
        <w:t>国家工商行政管理总局</w:t>
      </w:r>
    </w:p>
    <w:p w14:paraId="13867883">
      <w:pPr>
        <w:ind w:right="2719" w:rightChars="1295" w:firstLine="2750" w:firstLineChars="856"/>
        <w:jc w:val="distribute"/>
        <w:rPr>
          <w:rFonts w:ascii="Times New Roman" w:hAnsi="Times New Roman"/>
          <w:b/>
          <w:color w:val="auto"/>
          <w:sz w:val="32"/>
          <w:szCs w:val="28"/>
          <w:highlight w:val="none"/>
        </w:rPr>
      </w:pPr>
      <w:r>
        <w:rPr>
          <w:rFonts w:ascii="Times New Roman" w:hAnsi="Times New Roman"/>
          <w:b/>
          <w:color w:val="auto"/>
          <w:sz w:val="32"/>
          <w:szCs w:val="28"/>
          <w:highlight w:val="none"/>
        </w:rPr>
        <w:br w:type="page"/>
      </w:r>
    </w:p>
    <w:p w14:paraId="47AF38CD">
      <w:pPr>
        <w:pStyle w:val="53"/>
        <w:pageBreakBefore w:val="0"/>
        <w:widowControl w:val="0"/>
        <w:kinsoku/>
        <w:wordWrap/>
        <w:overflowPunct/>
        <w:topLinePunct w:val="0"/>
        <w:autoSpaceDE/>
        <w:autoSpaceDN/>
        <w:bidi w:val="0"/>
        <w:adjustRightInd/>
        <w:snapToGrid w:val="0"/>
        <w:spacing w:before="0" w:after="0" w:line="360" w:lineRule="auto"/>
        <w:jc w:val="center"/>
        <w:textAlignment w:val="auto"/>
        <w:outlineLvl w:val="9"/>
        <w:rPr>
          <w:rFonts w:hint="eastAsia" w:eastAsia="华文中宋"/>
          <w:color w:val="auto"/>
          <w:highlight w:val="none"/>
          <w:lang w:val="zh-CN"/>
        </w:rPr>
      </w:pPr>
      <w:bookmarkStart w:id="719" w:name="_Toc2161"/>
      <w:bookmarkStart w:id="720" w:name="_Toc296503025"/>
      <w:bookmarkStart w:id="721" w:name="_Toc296890982"/>
      <w:r>
        <w:rPr>
          <w:rFonts w:hint="eastAsia" w:eastAsia="华文中宋"/>
          <w:color w:val="auto"/>
          <w:highlight w:val="none"/>
          <w:lang w:val="zh-CN"/>
        </w:rPr>
        <w:t>说  明</w:t>
      </w:r>
      <w:bookmarkEnd w:id="719"/>
    </w:p>
    <w:p w14:paraId="616C4C9E">
      <w:pPr>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仿宋_GB2312" w:eastAsia="仿宋_GB2312"/>
          <w:color w:val="auto"/>
          <w:sz w:val="21"/>
          <w:szCs w:val="21"/>
          <w:highlight w:val="none"/>
        </w:rPr>
      </w:pPr>
      <w:r>
        <w:rPr>
          <w:rFonts w:hint="eastAsia" w:ascii="仿宋_GB2312" w:eastAsia="仿宋_GB2312"/>
          <w:color w:val="auto"/>
          <w:sz w:val="21"/>
          <w:szCs w:val="21"/>
          <w:highlight w:val="none"/>
        </w:rPr>
        <w:t>为了指导建设工程施工合同当事人的签约行为，维护合同当事人的合法权益，依据《中华人民共和国</w:t>
      </w:r>
      <w:r>
        <w:rPr>
          <w:rFonts w:hint="eastAsia" w:ascii="仿宋_GB2312" w:eastAsia="仿宋_GB2312"/>
          <w:color w:val="auto"/>
          <w:sz w:val="21"/>
          <w:szCs w:val="21"/>
          <w:highlight w:val="none"/>
          <w:lang w:eastAsia="zh-CN"/>
        </w:rPr>
        <w:t>民法典</w:t>
      </w:r>
      <w:r>
        <w:rPr>
          <w:rFonts w:hint="eastAsia" w:ascii="仿宋_GB2312" w:eastAsia="仿宋_GB2312"/>
          <w:color w:val="auto"/>
          <w:sz w:val="21"/>
          <w:szCs w:val="21"/>
          <w:highlight w:val="none"/>
        </w:rPr>
        <w:t>》、《中华人民共和国建筑法》、《中华人民共和国招标投标法》以及相关法律法规，住房城乡建设部、国家工商行政管理总局对《建设工程施工合同（示范文本）》（GF-2013-0201）进行了修订，制定了《建设工程施工合同（示范文本）》（GF-2017-0201）（以下简称《示范文本》）。为了便于合同当事人使用《示范文本》，现就有关问题说明如下：</w:t>
      </w:r>
    </w:p>
    <w:p w14:paraId="3572E156">
      <w:pPr>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黑体" w:hAnsi="黑体" w:eastAsia="黑体"/>
          <w:bCs/>
          <w:color w:val="auto"/>
          <w:sz w:val="21"/>
          <w:szCs w:val="21"/>
          <w:highlight w:val="none"/>
        </w:rPr>
      </w:pPr>
      <w:bookmarkStart w:id="722" w:name="_Toc27310"/>
      <w:r>
        <w:rPr>
          <w:rFonts w:hint="eastAsia" w:ascii="黑体" w:hAnsi="黑体" w:eastAsia="黑体"/>
          <w:bCs/>
          <w:color w:val="auto"/>
          <w:sz w:val="21"/>
          <w:szCs w:val="21"/>
          <w:highlight w:val="none"/>
        </w:rPr>
        <w:t>一、《示范文本》的组成</w:t>
      </w:r>
      <w:bookmarkEnd w:id="722"/>
    </w:p>
    <w:p w14:paraId="7735E508">
      <w:pPr>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仿宋_GB2312" w:eastAsia="仿宋_GB2312"/>
          <w:color w:val="auto"/>
          <w:sz w:val="21"/>
          <w:szCs w:val="21"/>
          <w:highlight w:val="none"/>
        </w:rPr>
      </w:pPr>
      <w:r>
        <w:rPr>
          <w:rFonts w:hint="eastAsia" w:ascii="仿宋_GB2312" w:eastAsia="仿宋_GB2312"/>
          <w:color w:val="auto"/>
          <w:sz w:val="21"/>
          <w:szCs w:val="21"/>
          <w:highlight w:val="none"/>
        </w:rPr>
        <w:t>《示范文本》由合同协议书、通用合同条款和专用合同条款三部分组成。</w:t>
      </w:r>
    </w:p>
    <w:p w14:paraId="656D1399">
      <w:pPr>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仿宋_GB2312" w:eastAsia="仿宋_GB2312"/>
          <w:color w:val="auto"/>
          <w:sz w:val="21"/>
          <w:szCs w:val="21"/>
          <w:highlight w:val="none"/>
        </w:rPr>
      </w:pPr>
      <w:bookmarkStart w:id="723" w:name="_Toc11117"/>
      <w:r>
        <w:rPr>
          <w:rFonts w:hint="eastAsia" w:ascii="仿宋_GB2312" w:eastAsia="仿宋_GB2312"/>
          <w:color w:val="auto"/>
          <w:sz w:val="21"/>
          <w:szCs w:val="21"/>
          <w:highlight w:val="none"/>
        </w:rPr>
        <w:t>（一）合同协议书</w:t>
      </w:r>
      <w:bookmarkEnd w:id="723"/>
    </w:p>
    <w:p w14:paraId="59DCC0DC">
      <w:pPr>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仿宋_GB2312" w:eastAsia="仿宋_GB2312"/>
          <w:color w:val="auto"/>
          <w:sz w:val="21"/>
          <w:szCs w:val="21"/>
          <w:highlight w:val="none"/>
        </w:rPr>
      </w:pPr>
      <w:r>
        <w:rPr>
          <w:rFonts w:hint="eastAsia" w:ascii="仿宋_GB2312" w:eastAsia="仿宋_GB2312"/>
          <w:color w:val="auto"/>
          <w:sz w:val="21"/>
          <w:szCs w:val="21"/>
          <w:highlight w:val="none"/>
        </w:rPr>
        <w:t>《示范文本》合同协议书共计13条，主要包括：工程概况、合同工期、质量标准、签约合同价和合同价格形式、项目经理、合同文件构成、承诺以及合同生效条件等重要内容，集中约定了合同当事人基本的合同权利义务。</w:t>
      </w:r>
    </w:p>
    <w:p w14:paraId="09954EBB">
      <w:pPr>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仿宋_GB2312" w:eastAsia="仿宋_GB2312"/>
          <w:color w:val="auto"/>
          <w:sz w:val="21"/>
          <w:szCs w:val="21"/>
          <w:highlight w:val="none"/>
        </w:rPr>
      </w:pPr>
      <w:bookmarkStart w:id="724" w:name="_Toc31545"/>
      <w:r>
        <w:rPr>
          <w:rFonts w:hint="eastAsia" w:ascii="仿宋_GB2312" w:eastAsia="仿宋_GB2312"/>
          <w:color w:val="auto"/>
          <w:sz w:val="21"/>
          <w:szCs w:val="21"/>
          <w:highlight w:val="none"/>
        </w:rPr>
        <w:t>（二）通用合同条款</w:t>
      </w:r>
      <w:bookmarkEnd w:id="724"/>
    </w:p>
    <w:p w14:paraId="3F731C9C">
      <w:pPr>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仿宋_GB2312" w:eastAsia="仿宋_GB2312"/>
          <w:color w:val="auto"/>
          <w:sz w:val="21"/>
          <w:szCs w:val="21"/>
          <w:highlight w:val="none"/>
        </w:rPr>
      </w:pPr>
      <w:r>
        <w:rPr>
          <w:rFonts w:hint="eastAsia" w:ascii="仿宋_GB2312" w:eastAsia="仿宋_GB2312"/>
          <w:color w:val="auto"/>
          <w:sz w:val="21"/>
          <w:szCs w:val="21"/>
          <w:highlight w:val="none"/>
        </w:rPr>
        <w:t>通用合同条款是合同当事人根据《中华人民共和国建筑法》、《中华人民共和国</w:t>
      </w:r>
      <w:r>
        <w:rPr>
          <w:rFonts w:hint="eastAsia" w:ascii="仿宋_GB2312" w:eastAsia="仿宋_GB2312"/>
          <w:color w:val="auto"/>
          <w:sz w:val="21"/>
          <w:szCs w:val="21"/>
          <w:highlight w:val="none"/>
          <w:lang w:eastAsia="zh-CN"/>
        </w:rPr>
        <w:t>民法典</w:t>
      </w:r>
      <w:r>
        <w:rPr>
          <w:rFonts w:hint="eastAsia" w:ascii="仿宋_GB2312" w:eastAsia="仿宋_GB2312"/>
          <w:color w:val="auto"/>
          <w:sz w:val="21"/>
          <w:szCs w:val="21"/>
          <w:highlight w:val="none"/>
        </w:rPr>
        <w:t>》等法律法规的规定，就工程建设的实施及相关事项，对合同当事人的权利义务作出的原则性约定。</w:t>
      </w:r>
    </w:p>
    <w:p w14:paraId="26295397">
      <w:pPr>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仿宋_GB2312" w:eastAsia="仿宋_GB2312"/>
          <w:color w:val="auto"/>
          <w:sz w:val="21"/>
          <w:szCs w:val="21"/>
          <w:highlight w:val="none"/>
        </w:rPr>
      </w:pPr>
      <w:r>
        <w:rPr>
          <w:rFonts w:hint="eastAsia" w:ascii="仿宋_GB2312" w:eastAsia="仿宋_GB2312"/>
          <w:color w:val="auto"/>
          <w:sz w:val="21"/>
          <w:szCs w:val="21"/>
          <w:highlight w:val="none"/>
        </w:rPr>
        <w:t>通用合同条款共计20条，具体条款分别为：一般约定、发包人、承包人、监理人、工程质量、安全文明施工与环境保护、工期和进度、材料与设备、试验与检验、变更、价格调整、合同价格、计量与支付、验收和工程试车、竣工结算、缺陷责任与保修、违约、不可抗力、保险、索赔和争议解决。前述条款安排既考虑了现行法律法规对工程建设的有关要求，也考虑了建设工程施工管理的特殊需要。</w:t>
      </w:r>
    </w:p>
    <w:p w14:paraId="2A916602">
      <w:pPr>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仿宋_GB2312" w:eastAsia="仿宋_GB2312"/>
          <w:color w:val="auto"/>
          <w:sz w:val="21"/>
          <w:szCs w:val="21"/>
          <w:highlight w:val="none"/>
        </w:rPr>
      </w:pPr>
      <w:bookmarkStart w:id="725" w:name="_Toc15463"/>
      <w:r>
        <w:rPr>
          <w:rFonts w:hint="eastAsia" w:ascii="仿宋_GB2312" w:eastAsia="仿宋_GB2312"/>
          <w:color w:val="auto"/>
          <w:sz w:val="21"/>
          <w:szCs w:val="21"/>
          <w:highlight w:val="none"/>
        </w:rPr>
        <w:t>（三）专用合同条款</w:t>
      </w:r>
      <w:bookmarkEnd w:id="725"/>
    </w:p>
    <w:p w14:paraId="2FF3E5E2">
      <w:pPr>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仿宋_GB2312" w:eastAsia="仿宋_GB2312"/>
          <w:color w:val="auto"/>
          <w:sz w:val="21"/>
          <w:szCs w:val="21"/>
          <w:highlight w:val="none"/>
        </w:rPr>
      </w:pPr>
      <w:r>
        <w:rPr>
          <w:rFonts w:hint="eastAsia" w:ascii="仿宋_GB2312" w:eastAsia="仿宋_GB2312"/>
          <w:color w:val="auto"/>
          <w:sz w:val="21"/>
          <w:szCs w:val="21"/>
          <w:highlight w:val="none"/>
        </w:rPr>
        <w:t>专用合同条款是对通用合同条款原则性约定的细化、完善、补充、修改或另行约定的条款。合同当事人可以根据不同建设工程的特点及具体情况，通过双方的谈判、协商对相应的专用合同条款进行修改补充。在使用专用合同条款时，应注意以下事项：</w:t>
      </w:r>
    </w:p>
    <w:p w14:paraId="3F7C4D20">
      <w:pPr>
        <w:pageBreakBefore w:val="0"/>
        <w:widowControl w:val="0"/>
        <w:kinsoku/>
        <w:wordWrap/>
        <w:overflowPunct/>
        <w:topLinePunct w:val="0"/>
        <w:autoSpaceDE/>
        <w:autoSpaceDN/>
        <w:bidi w:val="0"/>
        <w:adjustRightInd/>
        <w:snapToGrid w:val="0"/>
        <w:spacing w:line="360" w:lineRule="auto"/>
        <w:ind w:right="25" w:rightChars="12" w:firstLine="420" w:firstLineChars="200"/>
        <w:textAlignment w:val="auto"/>
        <w:rPr>
          <w:rFonts w:hint="eastAsia" w:ascii="仿宋_GB2312" w:eastAsia="仿宋_GB2312"/>
          <w:color w:val="auto"/>
          <w:sz w:val="21"/>
          <w:szCs w:val="21"/>
          <w:highlight w:val="none"/>
        </w:rPr>
      </w:pPr>
      <w:r>
        <w:rPr>
          <w:rFonts w:hint="eastAsia" w:ascii="仿宋_GB2312" w:eastAsia="仿宋_GB2312"/>
          <w:color w:val="auto"/>
          <w:sz w:val="21"/>
          <w:szCs w:val="21"/>
          <w:highlight w:val="none"/>
        </w:rPr>
        <w:t>1.专用合同条款的编号应与相应的通用合同条款的编号一致；</w:t>
      </w:r>
    </w:p>
    <w:p w14:paraId="664F31F1">
      <w:pPr>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仿宋_GB2312" w:eastAsia="仿宋_GB2312"/>
          <w:color w:val="auto"/>
          <w:sz w:val="21"/>
          <w:szCs w:val="21"/>
          <w:highlight w:val="none"/>
        </w:rPr>
      </w:pPr>
      <w:r>
        <w:rPr>
          <w:rFonts w:hint="eastAsia" w:ascii="仿宋_GB2312" w:eastAsia="仿宋_GB2312"/>
          <w:color w:val="auto"/>
          <w:sz w:val="21"/>
          <w:szCs w:val="21"/>
          <w:highlight w:val="none"/>
        </w:rPr>
        <w:t>2.合同当事人可以通过对专用合同条款的修改，满足具体建设工程的特殊要求，避免直接修改通用合同条款；</w:t>
      </w:r>
    </w:p>
    <w:p w14:paraId="4288B4FD">
      <w:pPr>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仿宋_GB2312" w:eastAsia="仿宋_GB2312"/>
          <w:color w:val="auto"/>
          <w:sz w:val="21"/>
          <w:szCs w:val="21"/>
          <w:highlight w:val="none"/>
        </w:rPr>
      </w:pPr>
      <w:r>
        <w:rPr>
          <w:rFonts w:hint="eastAsia" w:ascii="仿宋_GB2312" w:eastAsia="仿宋_GB2312"/>
          <w:color w:val="auto"/>
          <w:sz w:val="21"/>
          <w:szCs w:val="21"/>
          <w:highlight w:val="none"/>
        </w:rPr>
        <w:t>3.在专用合同条款中有横道线的地方，合同当事人可针对相应的通用合同条款进行细化、完善、补充、修改或另行约定；如无细化、完善、补充、修改或另行约定，则填写“无”或划“/”。</w:t>
      </w:r>
    </w:p>
    <w:p w14:paraId="1162141A">
      <w:pPr>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仿宋_GB2312" w:eastAsia="仿宋_GB2312"/>
          <w:b/>
          <w:color w:val="auto"/>
          <w:sz w:val="21"/>
          <w:szCs w:val="21"/>
          <w:highlight w:val="none"/>
        </w:rPr>
      </w:pPr>
      <w:bookmarkStart w:id="726" w:name="_Toc29463"/>
      <w:r>
        <w:rPr>
          <w:rFonts w:hint="eastAsia" w:ascii="黑体" w:hAnsi="黑体" w:eastAsia="黑体"/>
          <w:bCs/>
          <w:color w:val="auto"/>
          <w:sz w:val="21"/>
          <w:szCs w:val="21"/>
          <w:highlight w:val="none"/>
        </w:rPr>
        <w:t>二、《示范文本》的性质和适用范围</w:t>
      </w:r>
      <w:bookmarkEnd w:id="726"/>
    </w:p>
    <w:p w14:paraId="3FCABAD1">
      <w:pPr>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仿宋_GB2312" w:eastAsia="仿宋_GB2312"/>
          <w:color w:val="auto"/>
          <w:sz w:val="21"/>
          <w:szCs w:val="21"/>
          <w:highlight w:val="none"/>
        </w:rPr>
      </w:pPr>
      <w:r>
        <w:rPr>
          <w:rFonts w:hint="eastAsia" w:ascii="仿宋_GB2312" w:eastAsia="仿宋_GB2312"/>
          <w:color w:val="auto"/>
          <w:sz w:val="21"/>
          <w:szCs w:val="21"/>
          <w:highlight w:val="none"/>
        </w:rPr>
        <w:t>《示范文本》为非强制性使用文本。《示范文本》适用于房屋建筑工程、土木工程、线路管道和设备安装工程、装修工程等建设工程的施工承发包活动</w:t>
      </w:r>
      <w:r>
        <w:rPr>
          <w:rFonts w:hint="eastAsia" w:ascii="仿宋_GB2312" w:eastAsia="仿宋_GB2312"/>
          <w:color w:val="auto"/>
          <w:sz w:val="21"/>
          <w:szCs w:val="21"/>
          <w:highlight w:val="none"/>
          <w:lang w:eastAsia="zh-CN"/>
        </w:rPr>
        <w:t>，</w:t>
      </w:r>
      <w:r>
        <w:rPr>
          <w:rFonts w:hint="eastAsia" w:ascii="仿宋_GB2312" w:eastAsia="仿宋_GB2312"/>
          <w:color w:val="auto"/>
          <w:sz w:val="21"/>
          <w:szCs w:val="21"/>
          <w:highlight w:val="none"/>
        </w:rPr>
        <w:t>合同当事人可结合建设工程具体情况，根据《示范文本》订立合同，并按照法律法规规定和合同约定承担相应的法律责任及合同权利义务。</w:t>
      </w:r>
    </w:p>
    <w:p w14:paraId="43EE6066">
      <w:pPr>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仿宋_GB2312" w:eastAsia="仿宋_GB2312"/>
          <w:color w:val="auto"/>
          <w:sz w:val="21"/>
          <w:szCs w:val="21"/>
          <w:highlight w:val="none"/>
        </w:rPr>
      </w:pPr>
    </w:p>
    <w:p w14:paraId="0D4CFA2D">
      <w:pPr>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仿宋_GB2312" w:eastAsia="仿宋_GB2312"/>
          <w:color w:val="auto"/>
          <w:sz w:val="21"/>
          <w:szCs w:val="21"/>
          <w:highlight w:val="none"/>
        </w:rPr>
        <w:sectPr>
          <w:footerReference r:id="rId17" w:type="default"/>
          <w:pgSz w:w="11906" w:h="16838"/>
          <w:pgMar w:top="1418" w:right="1555" w:bottom="1418" w:left="1531" w:header="851" w:footer="992" w:gutter="0"/>
          <w:pgNumType w:start="0"/>
          <w:cols w:space="720" w:num="1"/>
          <w:titlePg/>
          <w:docGrid w:type="lines" w:linePitch="312" w:charSpace="0"/>
        </w:sectPr>
      </w:pPr>
    </w:p>
    <w:p w14:paraId="23E93D0C">
      <w:pPr>
        <w:pStyle w:val="53"/>
        <w:spacing w:before="120" w:after="120"/>
        <w:jc w:val="center"/>
        <w:rPr>
          <w:rFonts w:eastAsia="华文中宋"/>
          <w:color w:val="auto"/>
          <w:highlight w:val="none"/>
        </w:rPr>
      </w:pPr>
      <w:bookmarkStart w:id="727" w:name="_Toc31883"/>
      <w:r>
        <w:rPr>
          <w:rFonts w:eastAsia="华文中宋"/>
          <w:color w:val="auto"/>
          <w:highlight w:val="none"/>
          <w:lang w:val="zh-CN"/>
        </w:rPr>
        <w:t>目</w:t>
      </w:r>
      <w:r>
        <w:rPr>
          <w:rFonts w:hint="eastAsia" w:eastAsia="华文中宋"/>
          <w:color w:val="auto"/>
          <w:highlight w:val="none"/>
          <w:lang w:val="zh-CN"/>
        </w:rPr>
        <w:t xml:space="preserve">  </w:t>
      </w:r>
      <w:r>
        <w:rPr>
          <w:rFonts w:eastAsia="华文中宋"/>
          <w:color w:val="auto"/>
          <w:highlight w:val="none"/>
          <w:lang w:val="zh-CN"/>
        </w:rPr>
        <w:t>录</w:t>
      </w:r>
      <w:bookmarkEnd w:id="727"/>
    </w:p>
    <w:p w14:paraId="7FB5915D">
      <w:pPr>
        <w:pStyle w:val="11"/>
        <w:tabs>
          <w:tab w:val="right" w:leader="dot" w:pos="8810"/>
        </w:tabs>
        <w:ind w:left="0" w:firstLine="315" w:firstLineChars="150"/>
        <w:rPr>
          <w:rFonts w:ascii="Times New Roman" w:hAnsi="Times New Roman" w:eastAsia="仿宋_GB2312"/>
          <w:b/>
          <w:color w:val="auto"/>
          <w:sz w:val="21"/>
          <w:szCs w:val="21"/>
          <w:highlight w:val="none"/>
        </w:rPr>
      </w:pPr>
      <w:r>
        <w:rPr>
          <w:rFonts w:ascii="Times New Roman" w:hAnsi="Times New Roman" w:eastAsia="仿宋_GB2312"/>
          <w:color w:val="auto"/>
          <w:sz w:val="21"/>
          <w:szCs w:val="21"/>
          <w:highlight w:val="none"/>
        </w:rPr>
        <w:fldChar w:fldCharType="begin"/>
      </w:r>
      <w:r>
        <w:rPr>
          <w:rFonts w:ascii="Times New Roman" w:hAnsi="Times New Roman" w:eastAsia="仿宋_GB2312"/>
          <w:color w:val="auto"/>
          <w:sz w:val="21"/>
          <w:szCs w:val="21"/>
          <w:highlight w:val="none"/>
        </w:rPr>
        <w:instrText xml:space="preserve"> TOC \o "1-5" \h \z \u </w:instrText>
      </w:r>
      <w:r>
        <w:rPr>
          <w:rFonts w:ascii="Times New Roman" w:hAnsi="Times New Roman" w:eastAsia="仿宋_GB2312"/>
          <w:color w:val="auto"/>
          <w:sz w:val="21"/>
          <w:szCs w:val="21"/>
          <w:highlight w:val="none"/>
        </w:rPr>
        <w:fldChar w:fldCharType="separate"/>
      </w: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"_Toc351203480"</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b/>
          <w:color w:val="auto"/>
          <w:sz w:val="21"/>
          <w:szCs w:val="21"/>
          <w:highlight w:val="none"/>
        </w:rPr>
        <w:t>第一部分 合同协议书</w:t>
      </w:r>
      <w:r>
        <w:rPr>
          <w:rFonts w:ascii="Times New Roman" w:hAnsi="Times New Roman" w:eastAsia="仿宋_GB2312"/>
          <w:color w:val="auto"/>
          <w:sz w:val="21"/>
          <w:szCs w:val="21"/>
          <w:highlight w:val="none"/>
        </w:rPr>
        <w:t>……………………</w:t>
      </w:r>
      <w:r>
        <w:rPr>
          <w:rFonts w:ascii="Times New Roman" w:hAnsi="Times New Roman" w:eastAsia="仿宋_GB2312"/>
          <w:color w:val="auto"/>
          <w:spacing w:val="34"/>
          <w:sz w:val="21"/>
          <w:szCs w:val="21"/>
          <w:highlight w:val="none"/>
        </w:rPr>
        <w:t>…</w:t>
      </w:r>
      <w:r>
        <w:rPr>
          <w:rFonts w:ascii="Times New Roman" w:hAnsi="Times New Roman" w:eastAsia="仿宋_GB2312"/>
          <w:color w:val="auto"/>
          <w:sz w:val="21"/>
          <w:szCs w:val="21"/>
          <w:highlight w:val="none"/>
        </w:rPr>
        <w:t>…</w:t>
      </w:r>
      <w:r>
        <w:rPr>
          <w:rFonts w:hint="eastAsia" w:ascii="Times New Roman" w:hAnsi="Times New Roman" w:eastAsia="仿宋_GB2312"/>
          <w:color w:val="auto"/>
          <w:sz w:val="21"/>
          <w:szCs w:val="21"/>
          <w:highlight w:val="none"/>
        </w:rPr>
        <w:t>......................</w:t>
      </w:r>
      <w:r>
        <w:rPr>
          <w:rFonts w:ascii="Times New Roman" w:hAnsi="Times New Roman" w:eastAsia="仿宋_GB2312"/>
          <w:color w:val="auto"/>
          <w:sz w:val="21"/>
          <w:szCs w:val="21"/>
          <w:highlight w:val="none"/>
        </w:rPr>
        <w:t>…</w:t>
      </w:r>
      <w:r>
        <w:rPr>
          <w:rFonts w:hint="eastAsia" w:ascii="Times New Roman" w:hAnsi="Times New Roman" w:eastAsia="仿宋_GB2312"/>
          <w:color w:val="auto"/>
          <w:sz w:val="21"/>
          <w:szCs w:val="21"/>
          <w:highlight w:val="none"/>
        </w:rPr>
        <w:t>...</w:t>
      </w:r>
      <w:r>
        <w:rPr>
          <w:rFonts w:ascii="Times New Roman" w:hAnsi="Times New Roman" w:eastAsia="仿宋_GB2312"/>
          <w:color w:val="auto"/>
          <w:sz w:val="21"/>
          <w:szCs w:val="21"/>
          <w:highlight w:val="none"/>
        </w:rPr>
        <w:fldChar w:fldCharType="begin"/>
      </w:r>
      <w:r>
        <w:rPr>
          <w:rFonts w:ascii="Times New Roman" w:hAnsi="Times New Roman" w:eastAsia="仿宋_GB2312"/>
          <w:color w:val="auto"/>
          <w:sz w:val="21"/>
          <w:szCs w:val="21"/>
          <w:highlight w:val="none"/>
        </w:rPr>
        <w:instrText xml:space="preserve"> PAGEREF _Toc351203480 \h </w:instrText>
      </w:r>
      <w:r>
        <w:rPr>
          <w:rFonts w:ascii="Times New Roman" w:hAnsi="Times New Roman" w:eastAsia="仿宋_GB2312"/>
          <w:color w:val="auto"/>
          <w:sz w:val="21"/>
          <w:szCs w:val="21"/>
          <w:highlight w:val="none"/>
        </w:rPr>
        <w:fldChar w:fldCharType="separate"/>
      </w:r>
      <w:r>
        <w:rPr>
          <w:rFonts w:ascii="Times New Roman" w:hAnsi="Times New Roman" w:eastAsia="仿宋_GB2312"/>
          <w:color w:val="auto"/>
          <w:sz w:val="21"/>
          <w:szCs w:val="21"/>
          <w:highlight w:val="none"/>
        </w:rPr>
        <w:t>2</w:t>
      </w:r>
      <w:r>
        <w:rPr>
          <w:rFonts w:ascii="Times New Roman" w:hAnsi="Times New Roman" w:eastAsia="仿宋_GB2312"/>
          <w:color w:val="auto"/>
          <w:sz w:val="21"/>
          <w:szCs w:val="21"/>
          <w:highlight w:val="none"/>
        </w:rPr>
        <w:fldChar w:fldCharType="end"/>
      </w:r>
      <w:r>
        <w:rPr>
          <w:rFonts w:ascii="Times New Roman" w:hAnsi="Times New Roman" w:eastAsia="仿宋_GB2312"/>
          <w:b/>
          <w:color w:val="auto"/>
          <w:sz w:val="21"/>
          <w:szCs w:val="21"/>
          <w:highlight w:val="none"/>
        </w:rPr>
        <w:fldChar w:fldCharType="end"/>
      </w:r>
    </w:p>
    <w:p w14:paraId="65B624A1">
      <w:pPr>
        <w:pStyle w:val="16"/>
        <w:tabs>
          <w:tab w:val="left" w:pos="1890"/>
          <w:tab w:val="right" w:leader="dot" w:pos="8296"/>
          <w:tab w:val="clear" w:pos="8302"/>
        </w:tabs>
        <w:ind w:firstLine="315" w:firstLineChars="15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"_Toc351203481"</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一、工程概况</w:t>
      </w:r>
      <w:bookmarkStart w:id="728" w:name="_Hlt39071005"/>
      <w:r>
        <w:rPr>
          <w:rFonts w:ascii="Times New Roman" w:hAnsi="Times New Roman" w:eastAsia="仿宋_GB2312"/>
          <w:color w:val="auto"/>
          <w:sz w:val="21"/>
          <w:szCs w:val="21"/>
          <w:highlight w:val="none"/>
        </w:rPr>
        <w:tab/>
      </w:r>
      <w:bookmarkEnd w:id="728"/>
      <w:r>
        <w:rPr>
          <w:rFonts w:hint="eastAsia" w:ascii="Times New Roman" w:hAnsi="Times New Roman" w:eastAsia="仿宋_GB2312"/>
          <w:color w:val="auto"/>
          <w:sz w:val="21"/>
          <w:szCs w:val="21"/>
          <w:highlight w:val="none"/>
        </w:rPr>
        <w:t>..</w:t>
      </w:r>
      <w:r>
        <w:rPr>
          <w:rFonts w:ascii="Times New Roman" w:hAnsi="Times New Roman" w:eastAsia="仿宋_GB2312"/>
          <w:color w:val="auto"/>
          <w:sz w:val="21"/>
          <w:szCs w:val="21"/>
          <w:highlight w:val="none"/>
        </w:rPr>
        <w:t>…</w:t>
      </w:r>
      <w:r>
        <w:rPr>
          <w:rFonts w:hint="eastAsia" w:ascii="Times New Roman" w:hAnsi="Times New Roman" w:eastAsia="仿宋_GB2312"/>
          <w:color w:val="auto"/>
          <w:sz w:val="21"/>
          <w:szCs w:val="21"/>
          <w:highlight w:val="none"/>
        </w:rPr>
        <w:t>.</w:t>
      </w:r>
      <w:r>
        <w:rPr>
          <w:rFonts w:ascii="Times New Roman" w:hAnsi="Times New Roman" w:eastAsia="仿宋_GB2312"/>
          <w:color w:val="auto"/>
          <w:sz w:val="21"/>
          <w:szCs w:val="21"/>
          <w:highlight w:val="none"/>
        </w:rPr>
        <w:fldChar w:fldCharType="begin"/>
      </w:r>
      <w:r>
        <w:rPr>
          <w:rFonts w:ascii="Times New Roman" w:hAnsi="Times New Roman" w:eastAsia="仿宋_GB2312"/>
          <w:color w:val="auto"/>
          <w:sz w:val="21"/>
          <w:szCs w:val="21"/>
          <w:highlight w:val="none"/>
        </w:rPr>
        <w:instrText xml:space="preserve"> PAGEREF _Toc351203481 \h </w:instrText>
      </w:r>
      <w:r>
        <w:rPr>
          <w:rFonts w:ascii="Times New Roman" w:hAnsi="Times New Roman" w:eastAsia="仿宋_GB2312"/>
          <w:color w:val="auto"/>
          <w:sz w:val="21"/>
          <w:szCs w:val="21"/>
          <w:highlight w:val="none"/>
        </w:rPr>
        <w:fldChar w:fldCharType="separate"/>
      </w:r>
      <w:r>
        <w:rPr>
          <w:rFonts w:ascii="Times New Roman" w:hAnsi="Times New Roman" w:eastAsia="仿宋_GB2312"/>
          <w:color w:val="auto"/>
          <w:sz w:val="21"/>
          <w:szCs w:val="21"/>
          <w:highlight w:val="none"/>
        </w:rPr>
        <w:t>1</w:t>
      </w:r>
      <w:r>
        <w:rPr>
          <w:rFonts w:ascii="Times New Roman" w:hAnsi="Times New Roman" w:eastAsia="仿宋_GB2312"/>
          <w:color w:val="auto"/>
          <w:sz w:val="21"/>
          <w:szCs w:val="21"/>
          <w:highlight w:val="none"/>
        </w:rPr>
        <w:fldChar w:fldCharType="end"/>
      </w:r>
      <w:r>
        <w:rPr>
          <w:rFonts w:ascii="Times New Roman" w:hAnsi="Times New Roman" w:eastAsia="仿宋_GB2312"/>
          <w:color w:val="auto"/>
          <w:sz w:val="21"/>
          <w:szCs w:val="21"/>
          <w:highlight w:val="none"/>
        </w:rPr>
        <w:fldChar w:fldCharType="end"/>
      </w:r>
    </w:p>
    <w:p w14:paraId="290AECAE">
      <w:pPr>
        <w:pStyle w:val="16"/>
        <w:tabs>
          <w:tab w:val="left" w:pos="1890"/>
          <w:tab w:val="right" w:leader="dot" w:pos="8296"/>
          <w:tab w:val="clear" w:pos="8302"/>
        </w:tabs>
        <w:ind w:firstLine="315" w:firstLineChars="15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"_Toc351203482"</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二、合同工期</w:t>
      </w:r>
      <w:r>
        <w:rPr>
          <w:rFonts w:ascii="Times New Roman" w:hAnsi="Times New Roman" w:eastAsia="仿宋_GB2312"/>
          <w:color w:val="auto"/>
          <w:sz w:val="21"/>
          <w:szCs w:val="21"/>
          <w:highlight w:val="none"/>
        </w:rPr>
        <w:tab/>
      </w:r>
      <w:r>
        <w:rPr>
          <w:rFonts w:ascii="Times New Roman" w:hAnsi="Times New Roman" w:eastAsia="仿宋_GB2312"/>
          <w:color w:val="auto"/>
          <w:sz w:val="21"/>
          <w:szCs w:val="21"/>
          <w:highlight w:val="none"/>
        </w:rPr>
        <w:fldChar w:fldCharType="begin"/>
      </w:r>
      <w:r>
        <w:rPr>
          <w:rFonts w:ascii="Times New Roman" w:hAnsi="Times New Roman" w:eastAsia="仿宋_GB2312"/>
          <w:color w:val="auto"/>
          <w:sz w:val="21"/>
          <w:szCs w:val="21"/>
          <w:highlight w:val="none"/>
        </w:rPr>
        <w:instrText xml:space="preserve"> PAGEREF _Toc351203482 \h </w:instrText>
      </w:r>
      <w:r>
        <w:rPr>
          <w:rFonts w:ascii="Times New Roman" w:hAnsi="Times New Roman" w:eastAsia="仿宋_GB2312"/>
          <w:color w:val="auto"/>
          <w:sz w:val="21"/>
          <w:szCs w:val="21"/>
          <w:highlight w:val="none"/>
        </w:rPr>
        <w:fldChar w:fldCharType="separate"/>
      </w:r>
      <w:r>
        <w:rPr>
          <w:rFonts w:ascii="Times New Roman" w:hAnsi="Times New Roman" w:eastAsia="仿宋_GB2312"/>
          <w:color w:val="auto"/>
          <w:sz w:val="21"/>
          <w:szCs w:val="21"/>
          <w:highlight w:val="none"/>
        </w:rPr>
        <w:t>1</w:t>
      </w:r>
      <w:r>
        <w:rPr>
          <w:rFonts w:ascii="Times New Roman" w:hAnsi="Times New Roman" w:eastAsia="仿宋_GB2312"/>
          <w:color w:val="auto"/>
          <w:sz w:val="21"/>
          <w:szCs w:val="21"/>
          <w:highlight w:val="none"/>
        </w:rPr>
        <w:fldChar w:fldCharType="end"/>
      </w:r>
      <w:r>
        <w:rPr>
          <w:rFonts w:ascii="Times New Roman" w:hAnsi="Times New Roman" w:eastAsia="仿宋_GB2312"/>
          <w:color w:val="auto"/>
          <w:sz w:val="21"/>
          <w:szCs w:val="21"/>
          <w:highlight w:val="none"/>
        </w:rPr>
        <w:fldChar w:fldCharType="end"/>
      </w:r>
    </w:p>
    <w:p w14:paraId="3CB0D704">
      <w:pPr>
        <w:pStyle w:val="16"/>
        <w:tabs>
          <w:tab w:val="left" w:pos="1890"/>
          <w:tab w:val="right" w:leader="dot" w:pos="8296"/>
          <w:tab w:val="clear" w:pos="8302"/>
        </w:tabs>
        <w:ind w:firstLine="315" w:firstLineChars="15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"_Toc351203483"</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三、质量标准</w:t>
      </w:r>
      <w:r>
        <w:rPr>
          <w:rFonts w:ascii="Times New Roman" w:hAnsi="Times New Roman" w:eastAsia="仿宋_GB2312"/>
          <w:color w:val="auto"/>
          <w:sz w:val="21"/>
          <w:szCs w:val="21"/>
          <w:highlight w:val="none"/>
        </w:rPr>
        <w:tab/>
      </w:r>
      <w:r>
        <w:rPr>
          <w:rFonts w:ascii="Times New Roman" w:hAnsi="Times New Roman" w:eastAsia="仿宋_GB2312"/>
          <w:color w:val="auto"/>
          <w:sz w:val="21"/>
          <w:szCs w:val="21"/>
          <w:highlight w:val="none"/>
        </w:rPr>
        <w:fldChar w:fldCharType="begin"/>
      </w:r>
      <w:r>
        <w:rPr>
          <w:rFonts w:ascii="Times New Roman" w:hAnsi="Times New Roman" w:eastAsia="仿宋_GB2312"/>
          <w:color w:val="auto"/>
          <w:sz w:val="21"/>
          <w:szCs w:val="21"/>
          <w:highlight w:val="none"/>
        </w:rPr>
        <w:instrText xml:space="preserve"> PAGEREF _Toc351203483 \h </w:instrText>
      </w:r>
      <w:r>
        <w:rPr>
          <w:rFonts w:ascii="Times New Roman" w:hAnsi="Times New Roman" w:eastAsia="仿宋_GB2312"/>
          <w:color w:val="auto"/>
          <w:sz w:val="21"/>
          <w:szCs w:val="21"/>
          <w:highlight w:val="none"/>
        </w:rPr>
        <w:fldChar w:fldCharType="separate"/>
      </w:r>
      <w:r>
        <w:rPr>
          <w:rFonts w:ascii="Times New Roman" w:hAnsi="Times New Roman" w:eastAsia="仿宋_GB2312"/>
          <w:color w:val="auto"/>
          <w:sz w:val="21"/>
          <w:szCs w:val="21"/>
          <w:highlight w:val="none"/>
        </w:rPr>
        <w:t>1</w:t>
      </w:r>
      <w:r>
        <w:rPr>
          <w:rFonts w:ascii="Times New Roman" w:hAnsi="Times New Roman" w:eastAsia="仿宋_GB2312"/>
          <w:color w:val="auto"/>
          <w:sz w:val="21"/>
          <w:szCs w:val="21"/>
          <w:highlight w:val="none"/>
        </w:rPr>
        <w:fldChar w:fldCharType="end"/>
      </w:r>
      <w:r>
        <w:rPr>
          <w:rFonts w:ascii="Times New Roman" w:hAnsi="Times New Roman" w:eastAsia="仿宋_GB2312"/>
          <w:color w:val="auto"/>
          <w:sz w:val="21"/>
          <w:szCs w:val="21"/>
          <w:highlight w:val="none"/>
        </w:rPr>
        <w:fldChar w:fldCharType="end"/>
      </w:r>
    </w:p>
    <w:p w14:paraId="5B8E2879">
      <w:pPr>
        <w:pStyle w:val="16"/>
        <w:tabs>
          <w:tab w:val="left" w:pos="1890"/>
          <w:tab w:val="right" w:leader="dot" w:pos="8296"/>
          <w:tab w:val="clear" w:pos="8302"/>
        </w:tabs>
        <w:ind w:firstLine="315" w:firstLineChars="15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"_Toc351203484"</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四、签约合同价与合同价格形式</w:t>
      </w:r>
      <w:r>
        <w:rPr>
          <w:rFonts w:ascii="Times New Roman" w:hAnsi="Times New Roman" w:eastAsia="仿宋_GB2312"/>
          <w:color w:val="auto"/>
          <w:sz w:val="21"/>
          <w:szCs w:val="21"/>
          <w:highlight w:val="none"/>
        </w:rPr>
        <w:tab/>
      </w:r>
      <w:r>
        <w:rPr>
          <w:rFonts w:ascii="Times New Roman" w:hAnsi="Times New Roman" w:eastAsia="仿宋_GB2312"/>
          <w:color w:val="auto"/>
          <w:sz w:val="21"/>
          <w:szCs w:val="21"/>
          <w:highlight w:val="none"/>
        </w:rPr>
        <w:fldChar w:fldCharType="begin"/>
      </w:r>
      <w:r>
        <w:rPr>
          <w:rFonts w:ascii="Times New Roman" w:hAnsi="Times New Roman" w:eastAsia="仿宋_GB2312"/>
          <w:color w:val="auto"/>
          <w:sz w:val="21"/>
          <w:szCs w:val="21"/>
          <w:highlight w:val="none"/>
        </w:rPr>
        <w:instrText xml:space="preserve"> PAGEREF _Toc351203484 \h </w:instrText>
      </w:r>
      <w:r>
        <w:rPr>
          <w:rFonts w:ascii="Times New Roman" w:hAnsi="Times New Roman" w:eastAsia="仿宋_GB2312"/>
          <w:color w:val="auto"/>
          <w:sz w:val="21"/>
          <w:szCs w:val="21"/>
          <w:highlight w:val="none"/>
        </w:rPr>
        <w:fldChar w:fldCharType="separate"/>
      </w:r>
      <w:r>
        <w:rPr>
          <w:rFonts w:ascii="Times New Roman" w:hAnsi="Times New Roman" w:eastAsia="仿宋_GB2312"/>
          <w:color w:val="auto"/>
          <w:sz w:val="21"/>
          <w:szCs w:val="21"/>
          <w:highlight w:val="none"/>
        </w:rPr>
        <w:t>1</w:t>
      </w:r>
      <w:r>
        <w:rPr>
          <w:rFonts w:ascii="Times New Roman" w:hAnsi="Times New Roman" w:eastAsia="仿宋_GB2312"/>
          <w:color w:val="auto"/>
          <w:sz w:val="21"/>
          <w:szCs w:val="21"/>
          <w:highlight w:val="none"/>
        </w:rPr>
        <w:fldChar w:fldCharType="end"/>
      </w:r>
      <w:r>
        <w:rPr>
          <w:rFonts w:ascii="Times New Roman" w:hAnsi="Times New Roman" w:eastAsia="仿宋_GB2312"/>
          <w:color w:val="auto"/>
          <w:sz w:val="21"/>
          <w:szCs w:val="21"/>
          <w:highlight w:val="none"/>
        </w:rPr>
        <w:fldChar w:fldCharType="end"/>
      </w:r>
    </w:p>
    <w:p w14:paraId="0542B684">
      <w:pPr>
        <w:pStyle w:val="16"/>
        <w:tabs>
          <w:tab w:val="left" w:pos="1890"/>
          <w:tab w:val="right" w:leader="dot" w:pos="8296"/>
          <w:tab w:val="clear" w:pos="8302"/>
        </w:tabs>
        <w:ind w:firstLine="315" w:firstLineChars="15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"_Toc351203485"</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五、项目经理</w:t>
      </w:r>
      <w:r>
        <w:rPr>
          <w:rFonts w:ascii="Times New Roman" w:hAnsi="Times New Roman" w:eastAsia="仿宋_GB2312"/>
          <w:color w:val="auto"/>
          <w:sz w:val="21"/>
          <w:szCs w:val="21"/>
          <w:highlight w:val="none"/>
        </w:rPr>
        <w:tab/>
      </w:r>
      <w:r>
        <w:rPr>
          <w:rFonts w:ascii="Times New Roman" w:hAnsi="Times New Roman" w:eastAsia="仿宋_GB2312"/>
          <w:color w:val="auto"/>
          <w:sz w:val="21"/>
          <w:szCs w:val="21"/>
          <w:highlight w:val="none"/>
        </w:rPr>
        <w:fldChar w:fldCharType="begin"/>
      </w:r>
      <w:r>
        <w:rPr>
          <w:rFonts w:ascii="Times New Roman" w:hAnsi="Times New Roman" w:eastAsia="仿宋_GB2312"/>
          <w:color w:val="auto"/>
          <w:sz w:val="21"/>
          <w:szCs w:val="21"/>
          <w:highlight w:val="none"/>
        </w:rPr>
        <w:instrText xml:space="preserve"> PAGEREF _Toc351203485 \h </w:instrText>
      </w:r>
      <w:r>
        <w:rPr>
          <w:rFonts w:ascii="Times New Roman" w:hAnsi="Times New Roman" w:eastAsia="仿宋_GB2312"/>
          <w:color w:val="auto"/>
          <w:sz w:val="21"/>
          <w:szCs w:val="21"/>
          <w:highlight w:val="none"/>
        </w:rPr>
        <w:fldChar w:fldCharType="separate"/>
      </w:r>
      <w:r>
        <w:rPr>
          <w:rFonts w:ascii="Times New Roman" w:hAnsi="Times New Roman" w:eastAsia="仿宋_GB2312"/>
          <w:color w:val="auto"/>
          <w:sz w:val="21"/>
          <w:szCs w:val="21"/>
          <w:highlight w:val="none"/>
        </w:rPr>
        <w:t>2</w:t>
      </w:r>
      <w:r>
        <w:rPr>
          <w:rFonts w:ascii="Times New Roman" w:hAnsi="Times New Roman" w:eastAsia="仿宋_GB2312"/>
          <w:color w:val="auto"/>
          <w:sz w:val="21"/>
          <w:szCs w:val="21"/>
          <w:highlight w:val="none"/>
        </w:rPr>
        <w:fldChar w:fldCharType="end"/>
      </w:r>
      <w:r>
        <w:rPr>
          <w:rFonts w:ascii="Times New Roman" w:hAnsi="Times New Roman" w:eastAsia="仿宋_GB2312"/>
          <w:color w:val="auto"/>
          <w:sz w:val="21"/>
          <w:szCs w:val="21"/>
          <w:highlight w:val="none"/>
        </w:rPr>
        <w:fldChar w:fldCharType="end"/>
      </w:r>
    </w:p>
    <w:p w14:paraId="4495153D">
      <w:pPr>
        <w:pStyle w:val="16"/>
        <w:tabs>
          <w:tab w:val="left" w:pos="1890"/>
          <w:tab w:val="right" w:leader="dot" w:pos="8296"/>
          <w:tab w:val="clear" w:pos="8302"/>
        </w:tabs>
        <w:ind w:firstLine="315" w:firstLineChars="15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"_Toc351203486"</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六、合同文件构成</w:t>
      </w:r>
      <w:r>
        <w:rPr>
          <w:rFonts w:ascii="Times New Roman" w:hAnsi="Times New Roman" w:eastAsia="仿宋_GB2312"/>
          <w:color w:val="auto"/>
          <w:sz w:val="21"/>
          <w:szCs w:val="21"/>
          <w:highlight w:val="none"/>
        </w:rPr>
        <w:tab/>
      </w:r>
      <w:r>
        <w:rPr>
          <w:rFonts w:hint="eastAsia" w:ascii="Times New Roman" w:hAnsi="Times New Roman" w:eastAsia="仿宋_GB2312"/>
          <w:color w:val="auto"/>
          <w:sz w:val="21"/>
          <w:szCs w:val="21"/>
          <w:highlight w:val="none"/>
        </w:rPr>
        <w:t>2</w:t>
      </w:r>
      <w:r>
        <w:rPr>
          <w:rFonts w:ascii="Times New Roman" w:hAnsi="Times New Roman" w:eastAsia="仿宋_GB2312"/>
          <w:color w:val="auto"/>
          <w:sz w:val="21"/>
          <w:szCs w:val="21"/>
          <w:highlight w:val="none"/>
        </w:rPr>
        <w:fldChar w:fldCharType="end"/>
      </w:r>
    </w:p>
    <w:p w14:paraId="130B8775">
      <w:pPr>
        <w:pStyle w:val="16"/>
        <w:tabs>
          <w:tab w:val="left" w:pos="1890"/>
          <w:tab w:val="right" w:leader="dot" w:pos="8296"/>
          <w:tab w:val="clear" w:pos="8302"/>
        </w:tabs>
        <w:ind w:firstLine="315" w:firstLineChars="15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"_Toc351203487"</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七、承诺</w:t>
      </w:r>
      <w:r>
        <w:rPr>
          <w:rFonts w:ascii="Times New Roman" w:hAnsi="Times New Roman" w:eastAsia="仿宋_GB2312"/>
          <w:color w:val="auto"/>
          <w:sz w:val="21"/>
          <w:szCs w:val="21"/>
          <w:highlight w:val="none"/>
        </w:rPr>
        <w:tab/>
      </w:r>
      <w:r>
        <w:rPr>
          <w:rFonts w:ascii="Times New Roman" w:hAnsi="Times New Roman" w:eastAsia="仿宋_GB2312"/>
          <w:color w:val="auto"/>
          <w:sz w:val="21"/>
          <w:szCs w:val="21"/>
          <w:highlight w:val="none"/>
        </w:rPr>
        <w:fldChar w:fldCharType="begin"/>
      </w:r>
      <w:r>
        <w:rPr>
          <w:rFonts w:ascii="Times New Roman" w:hAnsi="Times New Roman" w:eastAsia="仿宋_GB2312"/>
          <w:color w:val="auto"/>
          <w:sz w:val="21"/>
          <w:szCs w:val="21"/>
          <w:highlight w:val="none"/>
        </w:rPr>
        <w:instrText xml:space="preserve"> PAGEREF _Toc351203487 \h </w:instrText>
      </w:r>
      <w:r>
        <w:rPr>
          <w:rFonts w:ascii="Times New Roman" w:hAnsi="Times New Roman" w:eastAsia="仿宋_GB2312"/>
          <w:color w:val="auto"/>
          <w:sz w:val="21"/>
          <w:szCs w:val="21"/>
          <w:highlight w:val="none"/>
        </w:rPr>
        <w:fldChar w:fldCharType="separate"/>
      </w:r>
      <w:r>
        <w:rPr>
          <w:rFonts w:ascii="Times New Roman" w:hAnsi="Times New Roman" w:eastAsia="仿宋_GB2312"/>
          <w:color w:val="auto"/>
          <w:sz w:val="21"/>
          <w:szCs w:val="21"/>
          <w:highlight w:val="none"/>
        </w:rPr>
        <w:t>2</w:t>
      </w:r>
      <w:r>
        <w:rPr>
          <w:rFonts w:ascii="Times New Roman" w:hAnsi="Times New Roman" w:eastAsia="仿宋_GB2312"/>
          <w:color w:val="auto"/>
          <w:sz w:val="21"/>
          <w:szCs w:val="21"/>
          <w:highlight w:val="none"/>
        </w:rPr>
        <w:fldChar w:fldCharType="end"/>
      </w:r>
      <w:r>
        <w:rPr>
          <w:rFonts w:ascii="Times New Roman" w:hAnsi="Times New Roman" w:eastAsia="仿宋_GB2312"/>
          <w:color w:val="auto"/>
          <w:sz w:val="21"/>
          <w:szCs w:val="21"/>
          <w:highlight w:val="none"/>
        </w:rPr>
        <w:fldChar w:fldCharType="end"/>
      </w:r>
    </w:p>
    <w:p w14:paraId="74E6EB4A">
      <w:pPr>
        <w:pStyle w:val="16"/>
        <w:tabs>
          <w:tab w:val="left" w:pos="1890"/>
          <w:tab w:val="right" w:leader="dot" w:pos="8296"/>
          <w:tab w:val="clear" w:pos="8302"/>
        </w:tabs>
        <w:ind w:firstLine="315" w:firstLineChars="15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"_Toc351203488"</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八、词语含义</w:t>
      </w:r>
      <w:r>
        <w:rPr>
          <w:rFonts w:ascii="Times New Roman" w:hAnsi="Times New Roman" w:eastAsia="仿宋_GB2312"/>
          <w:color w:val="auto"/>
          <w:sz w:val="21"/>
          <w:szCs w:val="21"/>
          <w:highlight w:val="none"/>
        </w:rPr>
        <w:tab/>
      </w:r>
      <w:r>
        <w:rPr>
          <w:rFonts w:hint="eastAsia" w:ascii="Times New Roman" w:hAnsi="Times New Roman" w:eastAsia="仿宋_GB2312"/>
          <w:color w:val="auto"/>
          <w:sz w:val="21"/>
          <w:szCs w:val="21"/>
          <w:highlight w:val="none"/>
        </w:rPr>
        <w:t>3</w:t>
      </w:r>
      <w:r>
        <w:rPr>
          <w:rFonts w:ascii="Times New Roman" w:hAnsi="Times New Roman" w:eastAsia="仿宋_GB2312"/>
          <w:color w:val="auto"/>
          <w:sz w:val="21"/>
          <w:szCs w:val="21"/>
          <w:highlight w:val="none"/>
        </w:rPr>
        <w:fldChar w:fldCharType="end"/>
      </w:r>
    </w:p>
    <w:p w14:paraId="38FBC2BB">
      <w:pPr>
        <w:pStyle w:val="16"/>
        <w:tabs>
          <w:tab w:val="left" w:pos="1890"/>
          <w:tab w:val="right" w:leader="dot" w:pos="8296"/>
          <w:tab w:val="clear" w:pos="8302"/>
        </w:tabs>
        <w:ind w:firstLine="315" w:firstLineChars="15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"_Toc351203489"</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九、签订时间</w:t>
      </w:r>
      <w:r>
        <w:rPr>
          <w:rFonts w:ascii="Times New Roman" w:hAnsi="Times New Roman" w:eastAsia="仿宋_GB2312"/>
          <w:color w:val="auto"/>
          <w:sz w:val="21"/>
          <w:szCs w:val="21"/>
          <w:highlight w:val="none"/>
        </w:rPr>
        <w:tab/>
      </w:r>
      <w:r>
        <w:rPr>
          <w:rFonts w:ascii="Times New Roman" w:hAnsi="Times New Roman" w:eastAsia="仿宋_GB2312"/>
          <w:color w:val="auto"/>
          <w:sz w:val="21"/>
          <w:szCs w:val="21"/>
          <w:highlight w:val="none"/>
        </w:rPr>
        <w:fldChar w:fldCharType="begin"/>
      </w:r>
      <w:r>
        <w:rPr>
          <w:rFonts w:ascii="Times New Roman" w:hAnsi="Times New Roman" w:eastAsia="仿宋_GB2312"/>
          <w:color w:val="auto"/>
          <w:sz w:val="21"/>
          <w:szCs w:val="21"/>
          <w:highlight w:val="none"/>
        </w:rPr>
        <w:instrText xml:space="preserve"> PAGEREF _Toc351203489 \h </w:instrText>
      </w:r>
      <w:r>
        <w:rPr>
          <w:rFonts w:ascii="Times New Roman" w:hAnsi="Times New Roman" w:eastAsia="仿宋_GB2312"/>
          <w:color w:val="auto"/>
          <w:sz w:val="21"/>
          <w:szCs w:val="21"/>
          <w:highlight w:val="none"/>
        </w:rPr>
        <w:fldChar w:fldCharType="separate"/>
      </w:r>
      <w:r>
        <w:rPr>
          <w:rFonts w:ascii="Times New Roman" w:hAnsi="Times New Roman" w:eastAsia="仿宋_GB2312"/>
          <w:color w:val="auto"/>
          <w:sz w:val="21"/>
          <w:szCs w:val="21"/>
          <w:highlight w:val="none"/>
        </w:rPr>
        <w:t>2</w:t>
      </w:r>
      <w:r>
        <w:rPr>
          <w:rFonts w:ascii="Times New Roman" w:hAnsi="Times New Roman" w:eastAsia="仿宋_GB2312"/>
          <w:color w:val="auto"/>
          <w:sz w:val="21"/>
          <w:szCs w:val="21"/>
          <w:highlight w:val="none"/>
        </w:rPr>
        <w:fldChar w:fldCharType="end"/>
      </w:r>
      <w:r>
        <w:rPr>
          <w:rFonts w:ascii="Times New Roman" w:hAnsi="Times New Roman" w:eastAsia="仿宋_GB2312"/>
          <w:color w:val="auto"/>
          <w:sz w:val="21"/>
          <w:szCs w:val="21"/>
          <w:highlight w:val="none"/>
        </w:rPr>
        <w:fldChar w:fldCharType="end"/>
      </w:r>
    </w:p>
    <w:p w14:paraId="6CE6C0B5">
      <w:pPr>
        <w:pStyle w:val="16"/>
        <w:tabs>
          <w:tab w:val="left" w:pos="1890"/>
          <w:tab w:val="right" w:leader="dot" w:pos="8296"/>
          <w:tab w:val="clear" w:pos="8302"/>
        </w:tabs>
        <w:ind w:firstLine="315" w:firstLineChars="15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"_Toc351203490"</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十、签订地点</w:t>
      </w:r>
      <w:r>
        <w:rPr>
          <w:rFonts w:ascii="Times New Roman" w:hAnsi="Times New Roman" w:eastAsia="仿宋_GB2312"/>
          <w:color w:val="auto"/>
          <w:sz w:val="21"/>
          <w:szCs w:val="21"/>
          <w:highlight w:val="none"/>
        </w:rPr>
        <w:tab/>
      </w:r>
      <w:r>
        <w:rPr>
          <w:rFonts w:ascii="Times New Roman" w:hAnsi="Times New Roman" w:eastAsia="仿宋_GB2312"/>
          <w:color w:val="auto"/>
          <w:sz w:val="21"/>
          <w:szCs w:val="21"/>
          <w:highlight w:val="none"/>
        </w:rPr>
        <w:fldChar w:fldCharType="begin"/>
      </w:r>
      <w:r>
        <w:rPr>
          <w:rFonts w:ascii="Times New Roman" w:hAnsi="Times New Roman" w:eastAsia="仿宋_GB2312"/>
          <w:color w:val="auto"/>
          <w:sz w:val="21"/>
          <w:szCs w:val="21"/>
          <w:highlight w:val="none"/>
        </w:rPr>
        <w:instrText xml:space="preserve"> PAGEREF _Toc351203490 \h </w:instrText>
      </w:r>
      <w:r>
        <w:rPr>
          <w:rFonts w:ascii="Times New Roman" w:hAnsi="Times New Roman" w:eastAsia="仿宋_GB2312"/>
          <w:color w:val="auto"/>
          <w:sz w:val="21"/>
          <w:szCs w:val="21"/>
          <w:highlight w:val="none"/>
        </w:rPr>
        <w:fldChar w:fldCharType="separate"/>
      </w:r>
      <w:r>
        <w:rPr>
          <w:rFonts w:ascii="Times New Roman" w:hAnsi="Times New Roman" w:eastAsia="仿宋_GB2312"/>
          <w:color w:val="auto"/>
          <w:sz w:val="21"/>
          <w:szCs w:val="21"/>
          <w:highlight w:val="none"/>
        </w:rPr>
        <w:t>2</w:t>
      </w:r>
      <w:r>
        <w:rPr>
          <w:rFonts w:ascii="Times New Roman" w:hAnsi="Times New Roman" w:eastAsia="仿宋_GB2312"/>
          <w:color w:val="auto"/>
          <w:sz w:val="21"/>
          <w:szCs w:val="21"/>
          <w:highlight w:val="none"/>
        </w:rPr>
        <w:fldChar w:fldCharType="end"/>
      </w:r>
      <w:r>
        <w:rPr>
          <w:rFonts w:ascii="Times New Roman" w:hAnsi="Times New Roman" w:eastAsia="仿宋_GB2312"/>
          <w:color w:val="auto"/>
          <w:sz w:val="21"/>
          <w:szCs w:val="21"/>
          <w:highlight w:val="none"/>
        </w:rPr>
        <w:fldChar w:fldCharType="end"/>
      </w:r>
    </w:p>
    <w:p w14:paraId="2894DC76">
      <w:pPr>
        <w:pStyle w:val="16"/>
        <w:tabs>
          <w:tab w:val="left" w:pos="1890"/>
          <w:tab w:val="right" w:leader="dot" w:pos="8296"/>
          <w:tab w:val="clear" w:pos="8302"/>
        </w:tabs>
        <w:ind w:firstLine="315" w:firstLineChars="15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"_Toc351203491"</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十一、补充协议</w:t>
      </w:r>
      <w:r>
        <w:rPr>
          <w:rFonts w:ascii="Times New Roman" w:hAnsi="Times New Roman" w:eastAsia="仿宋_GB2312"/>
          <w:color w:val="auto"/>
          <w:sz w:val="21"/>
          <w:szCs w:val="21"/>
          <w:highlight w:val="none"/>
        </w:rPr>
        <w:tab/>
      </w:r>
      <w:r>
        <w:rPr>
          <w:rFonts w:ascii="Times New Roman" w:hAnsi="Times New Roman" w:eastAsia="仿宋_GB2312"/>
          <w:color w:val="auto"/>
          <w:sz w:val="21"/>
          <w:szCs w:val="21"/>
          <w:highlight w:val="none"/>
        </w:rPr>
        <w:fldChar w:fldCharType="begin"/>
      </w:r>
      <w:r>
        <w:rPr>
          <w:rFonts w:ascii="Times New Roman" w:hAnsi="Times New Roman" w:eastAsia="仿宋_GB2312"/>
          <w:color w:val="auto"/>
          <w:sz w:val="21"/>
          <w:szCs w:val="21"/>
          <w:highlight w:val="none"/>
        </w:rPr>
        <w:instrText xml:space="preserve"> PAGEREF _Toc351203491 \h </w:instrText>
      </w:r>
      <w:r>
        <w:rPr>
          <w:rFonts w:ascii="Times New Roman" w:hAnsi="Times New Roman" w:eastAsia="仿宋_GB2312"/>
          <w:color w:val="auto"/>
          <w:sz w:val="21"/>
          <w:szCs w:val="21"/>
          <w:highlight w:val="none"/>
        </w:rPr>
        <w:fldChar w:fldCharType="separate"/>
      </w:r>
      <w:r>
        <w:rPr>
          <w:rFonts w:ascii="Times New Roman" w:hAnsi="Times New Roman" w:eastAsia="仿宋_GB2312"/>
          <w:color w:val="auto"/>
          <w:sz w:val="21"/>
          <w:szCs w:val="21"/>
          <w:highlight w:val="none"/>
        </w:rPr>
        <w:t>2</w:t>
      </w:r>
      <w:r>
        <w:rPr>
          <w:rFonts w:ascii="Times New Roman" w:hAnsi="Times New Roman" w:eastAsia="仿宋_GB2312"/>
          <w:color w:val="auto"/>
          <w:sz w:val="21"/>
          <w:szCs w:val="21"/>
          <w:highlight w:val="none"/>
        </w:rPr>
        <w:fldChar w:fldCharType="end"/>
      </w:r>
      <w:r>
        <w:rPr>
          <w:rFonts w:ascii="Times New Roman" w:hAnsi="Times New Roman" w:eastAsia="仿宋_GB2312"/>
          <w:color w:val="auto"/>
          <w:sz w:val="21"/>
          <w:szCs w:val="21"/>
          <w:highlight w:val="none"/>
        </w:rPr>
        <w:fldChar w:fldCharType="end"/>
      </w:r>
    </w:p>
    <w:p w14:paraId="42FBC347">
      <w:pPr>
        <w:pStyle w:val="16"/>
        <w:tabs>
          <w:tab w:val="left" w:pos="1890"/>
          <w:tab w:val="right" w:leader="dot" w:pos="8296"/>
          <w:tab w:val="clear" w:pos="8302"/>
        </w:tabs>
        <w:ind w:firstLine="315" w:firstLineChars="15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"_Toc351203492"</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十二、合同生效</w:t>
      </w:r>
      <w:r>
        <w:rPr>
          <w:rFonts w:ascii="Times New Roman" w:hAnsi="Times New Roman" w:eastAsia="仿宋_GB2312"/>
          <w:color w:val="auto"/>
          <w:sz w:val="21"/>
          <w:szCs w:val="21"/>
          <w:highlight w:val="none"/>
        </w:rPr>
        <w:tab/>
      </w:r>
      <w:r>
        <w:rPr>
          <w:rFonts w:ascii="Times New Roman" w:hAnsi="Times New Roman" w:eastAsia="仿宋_GB2312"/>
          <w:color w:val="auto"/>
          <w:sz w:val="21"/>
          <w:szCs w:val="21"/>
          <w:highlight w:val="none"/>
        </w:rPr>
        <w:fldChar w:fldCharType="begin"/>
      </w:r>
      <w:r>
        <w:rPr>
          <w:rFonts w:ascii="Times New Roman" w:hAnsi="Times New Roman" w:eastAsia="仿宋_GB2312"/>
          <w:color w:val="auto"/>
          <w:sz w:val="21"/>
          <w:szCs w:val="21"/>
          <w:highlight w:val="none"/>
        </w:rPr>
        <w:instrText xml:space="preserve"> PAGEREF _Toc351203492 \h </w:instrText>
      </w:r>
      <w:r>
        <w:rPr>
          <w:rFonts w:ascii="Times New Roman" w:hAnsi="Times New Roman" w:eastAsia="仿宋_GB2312"/>
          <w:color w:val="auto"/>
          <w:sz w:val="21"/>
          <w:szCs w:val="21"/>
          <w:highlight w:val="none"/>
        </w:rPr>
        <w:fldChar w:fldCharType="separate"/>
      </w:r>
      <w:r>
        <w:rPr>
          <w:rFonts w:ascii="Times New Roman" w:hAnsi="Times New Roman" w:eastAsia="仿宋_GB2312"/>
          <w:color w:val="auto"/>
          <w:sz w:val="21"/>
          <w:szCs w:val="21"/>
          <w:highlight w:val="none"/>
        </w:rPr>
        <w:t>2</w:t>
      </w:r>
      <w:r>
        <w:rPr>
          <w:rFonts w:ascii="Times New Roman" w:hAnsi="Times New Roman" w:eastAsia="仿宋_GB2312"/>
          <w:color w:val="auto"/>
          <w:sz w:val="21"/>
          <w:szCs w:val="21"/>
          <w:highlight w:val="none"/>
        </w:rPr>
        <w:fldChar w:fldCharType="end"/>
      </w:r>
      <w:r>
        <w:rPr>
          <w:rFonts w:ascii="Times New Roman" w:hAnsi="Times New Roman" w:eastAsia="仿宋_GB2312"/>
          <w:color w:val="auto"/>
          <w:sz w:val="21"/>
          <w:szCs w:val="21"/>
          <w:highlight w:val="none"/>
        </w:rPr>
        <w:fldChar w:fldCharType="end"/>
      </w:r>
    </w:p>
    <w:p w14:paraId="06AFEEC5">
      <w:pPr>
        <w:pStyle w:val="16"/>
        <w:tabs>
          <w:tab w:val="left" w:pos="1890"/>
          <w:tab w:val="right" w:leader="dot" w:pos="8296"/>
          <w:tab w:val="clear" w:pos="8302"/>
        </w:tabs>
        <w:ind w:firstLine="315" w:firstLineChars="15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"_Toc351203493"</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十三、合同份数</w:t>
      </w:r>
      <w:r>
        <w:rPr>
          <w:rFonts w:ascii="Times New Roman" w:hAnsi="Times New Roman" w:eastAsia="仿宋_GB2312"/>
          <w:color w:val="auto"/>
          <w:sz w:val="21"/>
          <w:szCs w:val="21"/>
          <w:highlight w:val="none"/>
        </w:rPr>
        <w:tab/>
      </w:r>
      <w:r>
        <w:rPr>
          <w:rFonts w:ascii="Times New Roman" w:hAnsi="Times New Roman" w:eastAsia="仿宋_GB2312"/>
          <w:color w:val="auto"/>
          <w:sz w:val="21"/>
          <w:szCs w:val="21"/>
          <w:highlight w:val="none"/>
        </w:rPr>
        <w:fldChar w:fldCharType="begin"/>
      </w:r>
      <w:r>
        <w:rPr>
          <w:rFonts w:ascii="Times New Roman" w:hAnsi="Times New Roman" w:eastAsia="仿宋_GB2312"/>
          <w:color w:val="auto"/>
          <w:sz w:val="21"/>
          <w:szCs w:val="21"/>
          <w:highlight w:val="none"/>
        </w:rPr>
        <w:instrText xml:space="preserve"> PAGEREF _Toc351203493 \h </w:instrText>
      </w:r>
      <w:r>
        <w:rPr>
          <w:rFonts w:ascii="Times New Roman" w:hAnsi="Times New Roman" w:eastAsia="仿宋_GB2312"/>
          <w:color w:val="auto"/>
          <w:sz w:val="21"/>
          <w:szCs w:val="21"/>
          <w:highlight w:val="none"/>
        </w:rPr>
        <w:fldChar w:fldCharType="separate"/>
      </w:r>
      <w:r>
        <w:rPr>
          <w:rFonts w:ascii="Times New Roman" w:hAnsi="Times New Roman" w:eastAsia="仿宋_GB2312"/>
          <w:color w:val="auto"/>
          <w:sz w:val="21"/>
          <w:szCs w:val="21"/>
          <w:highlight w:val="none"/>
        </w:rPr>
        <w:t>3</w:t>
      </w:r>
      <w:r>
        <w:rPr>
          <w:rFonts w:ascii="Times New Roman" w:hAnsi="Times New Roman" w:eastAsia="仿宋_GB2312"/>
          <w:color w:val="auto"/>
          <w:sz w:val="21"/>
          <w:szCs w:val="21"/>
          <w:highlight w:val="none"/>
        </w:rPr>
        <w:fldChar w:fldCharType="end"/>
      </w:r>
      <w:r>
        <w:rPr>
          <w:rFonts w:ascii="Times New Roman" w:hAnsi="Times New Roman" w:eastAsia="仿宋_GB2312"/>
          <w:color w:val="auto"/>
          <w:sz w:val="21"/>
          <w:szCs w:val="21"/>
          <w:highlight w:val="none"/>
        </w:rPr>
        <w:fldChar w:fldCharType="end"/>
      </w:r>
    </w:p>
    <w:p w14:paraId="42BAB9B8">
      <w:pPr>
        <w:pStyle w:val="11"/>
        <w:tabs>
          <w:tab w:val="right" w:leader="dot" w:pos="8810"/>
        </w:tabs>
        <w:ind w:left="0" w:firstLine="209" w:firstLineChars="99"/>
        <w:rPr>
          <w:rFonts w:ascii="Times New Roman" w:hAnsi="Times New Roman" w:eastAsia="仿宋_GB2312"/>
          <w:b/>
          <w:color w:val="auto"/>
          <w:sz w:val="21"/>
          <w:szCs w:val="21"/>
          <w:highlight w:val="none"/>
        </w:rPr>
      </w:pPr>
      <w:r>
        <w:rPr>
          <w:rFonts w:ascii="Times New Roman" w:hAnsi="Times New Roman" w:eastAsia="仿宋_GB2312"/>
          <w:b/>
          <w:color w:val="auto"/>
          <w:sz w:val="21"/>
          <w:szCs w:val="21"/>
          <w:highlight w:val="none"/>
        </w:rPr>
        <w:fldChar w:fldCharType="begin"/>
      </w:r>
      <w:r>
        <w:rPr>
          <w:rStyle w:val="23"/>
          <w:rFonts w:ascii="Times New Roman" w:hAnsi="Times New Roman" w:eastAsia="仿宋_GB2312"/>
          <w:b/>
          <w:color w:val="auto"/>
          <w:sz w:val="21"/>
          <w:szCs w:val="21"/>
          <w:highlight w:val="none"/>
        </w:rPr>
        <w:instrText xml:space="preserve"> </w:instrText>
      </w:r>
      <w:r>
        <w:rPr>
          <w:rFonts w:ascii="Times New Roman" w:hAnsi="Times New Roman" w:eastAsia="仿宋_GB2312"/>
          <w:b/>
          <w:color w:val="auto"/>
          <w:sz w:val="21"/>
          <w:szCs w:val="21"/>
          <w:highlight w:val="none"/>
        </w:rPr>
        <w:instrText xml:space="preserve">HYPERLINK \l "_Toc351203494"</w:instrText>
      </w:r>
      <w:r>
        <w:rPr>
          <w:rStyle w:val="23"/>
          <w:rFonts w:ascii="Times New Roman" w:hAnsi="Times New Roman" w:eastAsia="仿宋_GB2312"/>
          <w:b/>
          <w:color w:val="auto"/>
          <w:sz w:val="21"/>
          <w:szCs w:val="21"/>
          <w:highlight w:val="none"/>
        </w:rPr>
        <w:instrText xml:space="preserve"> </w:instrText>
      </w:r>
      <w:r>
        <w:rPr>
          <w:rFonts w:ascii="Times New Roman" w:hAnsi="Times New Roman" w:eastAsia="仿宋_GB2312"/>
          <w:b/>
          <w:color w:val="auto"/>
          <w:sz w:val="21"/>
          <w:szCs w:val="21"/>
          <w:highlight w:val="none"/>
        </w:rPr>
        <w:fldChar w:fldCharType="separate"/>
      </w:r>
      <w:r>
        <w:rPr>
          <w:rStyle w:val="23"/>
          <w:rFonts w:ascii="Times New Roman" w:hAnsi="Times New Roman" w:eastAsia="仿宋_GB2312"/>
          <w:b/>
          <w:color w:val="auto"/>
          <w:sz w:val="21"/>
          <w:szCs w:val="21"/>
          <w:highlight w:val="none"/>
        </w:rPr>
        <w:t>第二部分 通用合同条款</w:t>
      </w:r>
      <w:r>
        <w:rPr>
          <w:rFonts w:ascii="Times New Roman" w:hAnsi="Times New Roman" w:eastAsia="仿宋_GB2312"/>
          <w:color w:val="auto"/>
          <w:sz w:val="21"/>
          <w:szCs w:val="21"/>
          <w:highlight w:val="none"/>
        </w:rPr>
        <w:t>……………………</w:t>
      </w:r>
      <w:r>
        <w:rPr>
          <w:rFonts w:hint="eastAsia" w:ascii="Times New Roman" w:hAnsi="Times New Roman" w:eastAsia="仿宋_GB2312"/>
          <w:color w:val="auto"/>
          <w:sz w:val="21"/>
          <w:szCs w:val="21"/>
          <w:highlight w:val="none"/>
        </w:rPr>
        <w:t>......</w:t>
      </w:r>
      <w:r>
        <w:rPr>
          <w:rFonts w:ascii="Times New Roman" w:hAnsi="Times New Roman" w:eastAsia="仿宋_GB2312"/>
          <w:color w:val="auto"/>
          <w:sz w:val="21"/>
          <w:szCs w:val="21"/>
          <w:highlight w:val="none"/>
        </w:rPr>
        <w:t>…</w:t>
      </w:r>
      <w:r>
        <w:rPr>
          <w:rFonts w:hint="eastAsia" w:ascii="Times New Roman" w:hAnsi="Times New Roman" w:eastAsia="仿宋_GB2312"/>
          <w:color w:val="auto"/>
          <w:sz w:val="21"/>
          <w:szCs w:val="21"/>
          <w:highlight w:val="none"/>
        </w:rPr>
        <w:t>...............</w:t>
      </w:r>
      <w:r>
        <w:rPr>
          <w:rFonts w:ascii="Times New Roman" w:hAnsi="Times New Roman" w:eastAsia="仿宋_GB2312"/>
          <w:color w:val="auto"/>
          <w:sz w:val="21"/>
          <w:szCs w:val="21"/>
          <w:highlight w:val="none"/>
        </w:rPr>
        <w:t>…</w:t>
      </w:r>
      <w:r>
        <w:rPr>
          <w:rFonts w:hint="eastAsia" w:ascii="Times New Roman" w:hAnsi="Times New Roman" w:eastAsia="仿宋_GB2312"/>
          <w:color w:val="auto"/>
          <w:sz w:val="21"/>
          <w:szCs w:val="21"/>
          <w:highlight w:val="none"/>
        </w:rPr>
        <w:t>......</w:t>
      </w:r>
      <w:r>
        <w:rPr>
          <w:rFonts w:ascii="Times New Roman" w:hAnsi="Times New Roman" w:eastAsia="仿宋_GB2312"/>
          <w:color w:val="auto"/>
          <w:sz w:val="21"/>
          <w:szCs w:val="21"/>
          <w:highlight w:val="none"/>
        </w:rPr>
        <w:fldChar w:fldCharType="begin"/>
      </w:r>
      <w:r>
        <w:rPr>
          <w:rFonts w:ascii="Times New Roman" w:hAnsi="Times New Roman" w:eastAsia="仿宋_GB2312"/>
          <w:color w:val="auto"/>
          <w:sz w:val="21"/>
          <w:szCs w:val="21"/>
          <w:highlight w:val="none"/>
        </w:rPr>
        <w:instrText xml:space="preserve"> PAGEREF _Toc351203494 \h </w:instrText>
      </w:r>
      <w:r>
        <w:rPr>
          <w:rFonts w:ascii="Times New Roman" w:hAnsi="Times New Roman" w:eastAsia="仿宋_GB2312"/>
          <w:color w:val="auto"/>
          <w:sz w:val="21"/>
          <w:szCs w:val="21"/>
          <w:highlight w:val="none"/>
        </w:rPr>
        <w:fldChar w:fldCharType="separate"/>
      </w:r>
      <w:r>
        <w:rPr>
          <w:rFonts w:ascii="Times New Roman" w:hAnsi="Times New Roman" w:eastAsia="仿宋_GB2312"/>
          <w:color w:val="auto"/>
          <w:sz w:val="21"/>
          <w:szCs w:val="21"/>
          <w:highlight w:val="none"/>
        </w:rPr>
        <w:t>1</w:t>
      </w:r>
      <w:r>
        <w:rPr>
          <w:rFonts w:ascii="Times New Roman" w:hAnsi="Times New Roman" w:eastAsia="仿宋_GB2312"/>
          <w:color w:val="auto"/>
          <w:sz w:val="21"/>
          <w:szCs w:val="21"/>
          <w:highlight w:val="none"/>
        </w:rPr>
        <w:fldChar w:fldCharType="end"/>
      </w:r>
      <w:r>
        <w:rPr>
          <w:rFonts w:ascii="Times New Roman" w:hAnsi="Times New Roman" w:eastAsia="仿宋_GB2312"/>
          <w:b/>
          <w:color w:val="auto"/>
          <w:sz w:val="21"/>
          <w:szCs w:val="21"/>
          <w:highlight w:val="none"/>
        </w:rPr>
        <w:fldChar w:fldCharType="end"/>
      </w:r>
    </w:p>
    <w:p w14:paraId="556339DD">
      <w:pPr>
        <w:pStyle w:val="16"/>
        <w:tabs>
          <w:tab w:val="left" w:pos="1890"/>
          <w:tab w:val="right" w:leader="dot" w:pos="8296"/>
          <w:tab w:val="clear" w:pos="8302"/>
        </w:tabs>
        <w:ind w:firstLine="315" w:firstLineChars="15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"_Toc351203495"</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1. 一般约定</w:t>
      </w:r>
      <w:r>
        <w:rPr>
          <w:rFonts w:ascii="Times New Roman" w:hAnsi="Times New Roman" w:eastAsia="仿宋_GB2312"/>
          <w:color w:val="auto"/>
          <w:sz w:val="21"/>
          <w:szCs w:val="21"/>
          <w:highlight w:val="none"/>
        </w:rPr>
        <w:tab/>
      </w:r>
      <w:r>
        <w:rPr>
          <w:rFonts w:ascii="Times New Roman" w:hAnsi="Times New Roman" w:eastAsia="仿宋_GB2312"/>
          <w:color w:val="auto"/>
          <w:sz w:val="21"/>
          <w:szCs w:val="21"/>
          <w:highlight w:val="none"/>
        </w:rPr>
        <w:fldChar w:fldCharType="begin"/>
      </w:r>
      <w:r>
        <w:rPr>
          <w:rFonts w:ascii="Times New Roman" w:hAnsi="Times New Roman" w:eastAsia="仿宋_GB2312"/>
          <w:color w:val="auto"/>
          <w:sz w:val="21"/>
          <w:szCs w:val="21"/>
          <w:highlight w:val="none"/>
        </w:rPr>
        <w:instrText xml:space="preserve"> PAGEREF _Toc351203495 \h </w:instrText>
      </w:r>
      <w:r>
        <w:rPr>
          <w:rFonts w:ascii="Times New Roman" w:hAnsi="Times New Roman" w:eastAsia="仿宋_GB2312"/>
          <w:color w:val="auto"/>
          <w:sz w:val="21"/>
          <w:szCs w:val="21"/>
          <w:highlight w:val="none"/>
        </w:rPr>
        <w:fldChar w:fldCharType="separate"/>
      </w:r>
      <w:r>
        <w:rPr>
          <w:rFonts w:ascii="Times New Roman" w:hAnsi="Times New Roman" w:eastAsia="仿宋_GB2312"/>
          <w:color w:val="auto"/>
          <w:sz w:val="21"/>
          <w:szCs w:val="21"/>
          <w:highlight w:val="none"/>
        </w:rPr>
        <w:t>4</w:t>
      </w:r>
      <w:r>
        <w:rPr>
          <w:rFonts w:ascii="Times New Roman" w:hAnsi="Times New Roman" w:eastAsia="仿宋_GB2312"/>
          <w:color w:val="auto"/>
          <w:sz w:val="21"/>
          <w:szCs w:val="21"/>
          <w:highlight w:val="none"/>
        </w:rPr>
        <w:fldChar w:fldCharType="end"/>
      </w:r>
      <w:r>
        <w:rPr>
          <w:rFonts w:ascii="Times New Roman" w:hAnsi="Times New Roman" w:eastAsia="仿宋_GB2312"/>
          <w:color w:val="auto"/>
          <w:sz w:val="21"/>
          <w:szCs w:val="21"/>
          <w:highlight w:val="none"/>
        </w:rPr>
        <w:fldChar w:fldCharType="end"/>
      </w:r>
    </w:p>
    <w:p w14:paraId="1D4BEB12">
      <w:pPr>
        <w:pStyle w:val="16"/>
        <w:tabs>
          <w:tab w:val="left" w:pos="1890"/>
          <w:tab w:val="right" w:leader="dot" w:pos="8296"/>
          <w:tab w:val="clear" w:pos="8302"/>
        </w:tabs>
        <w:ind w:firstLine="210" w:firstLineChars="10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"_Toc351203509"</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2. 发包人</w:t>
      </w:r>
      <w:r>
        <w:rPr>
          <w:rFonts w:ascii="Times New Roman" w:hAnsi="Times New Roman" w:eastAsia="仿宋_GB2312"/>
          <w:color w:val="auto"/>
          <w:sz w:val="21"/>
          <w:szCs w:val="21"/>
          <w:highlight w:val="none"/>
        </w:rPr>
        <w:tab/>
      </w:r>
      <w:r>
        <w:rPr>
          <w:rFonts w:ascii="Times New Roman" w:hAnsi="Times New Roman" w:eastAsia="仿宋_GB2312"/>
          <w:color w:val="auto"/>
          <w:sz w:val="21"/>
          <w:szCs w:val="21"/>
          <w:highlight w:val="none"/>
        </w:rPr>
        <w:fldChar w:fldCharType="begin"/>
      </w:r>
      <w:r>
        <w:rPr>
          <w:rFonts w:ascii="Times New Roman" w:hAnsi="Times New Roman" w:eastAsia="仿宋_GB2312"/>
          <w:color w:val="auto"/>
          <w:sz w:val="21"/>
          <w:szCs w:val="21"/>
          <w:highlight w:val="none"/>
        </w:rPr>
        <w:instrText xml:space="preserve"> PAGEREF _Toc351203509 \h </w:instrText>
      </w:r>
      <w:r>
        <w:rPr>
          <w:rFonts w:ascii="Times New Roman" w:hAnsi="Times New Roman" w:eastAsia="仿宋_GB2312"/>
          <w:color w:val="auto"/>
          <w:sz w:val="21"/>
          <w:szCs w:val="21"/>
          <w:highlight w:val="none"/>
        </w:rPr>
        <w:fldChar w:fldCharType="separate"/>
      </w:r>
      <w:r>
        <w:rPr>
          <w:rFonts w:ascii="Times New Roman" w:hAnsi="Times New Roman" w:eastAsia="仿宋_GB2312"/>
          <w:color w:val="auto"/>
          <w:sz w:val="21"/>
          <w:szCs w:val="21"/>
          <w:highlight w:val="none"/>
        </w:rPr>
        <w:t>10</w:t>
      </w:r>
      <w:r>
        <w:rPr>
          <w:rFonts w:ascii="Times New Roman" w:hAnsi="Times New Roman" w:eastAsia="仿宋_GB2312"/>
          <w:color w:val="auto"/>
          <w:sz w:val="21"/>
          <w:szCs w:val="21"/>
          <w:highlight w:val="none"/>
        </w:rPr>
        <w:fldChar w:fldCharType="end"/>
      </w:r>
      <w:r>
        <w:rPr>
          <w:rFonts w:ascii="Times New Roman" w:hAnsi="Times New Roman" w:eastAsia="仿宋_GB2312"/>
          <w:color w:val="auto"/>
          <w:sz w:val="21"/>
          <w:szCs w:val="21"/>
          <w:highlight w:val="none"/>
        </w:rPr>
        <w:fldChar w:fldCharType="end"/>
      </w:r>
    </w:p>
    <w:p w14:paraId="7760A108">
      <w:pPr>
        <w:pStyle w:val="16"/>
        <w:tabs>
          <w:tab w:val="left" w:pos="1890"/>
          <w:tab w:val="right" w:leader="dot" w:pos="8296"/>
          <w:tab w:val="clear" w:pos="8302"/>
        </w:tabs>
        <w:ind w:firstLine="210" w:firstLineChars="10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"_Toc351203518"</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3. 承包人</w:t>
      </w:r>
      <w:r>
        <w:rPr>
          <w:rFonts w:ascii="Times New Roman" w:hAnsi="Times New Roman" w:eastAsia="仿宋_GB2312"/>
          <w:color w:val="auto"/>
          <w:sz w:val="21"/>
          <w:szCs w:val="21"/>
          <w:highlight w:val="none"/>
        </w:rPr>
        <w:tab/>
      </w:r>
      <w:r>
        <w:rPr>
          <w:rFonts w:ascii="Times New Roman" w:hAnsi="Times New Roman" w:eastAsia="仿宋_GB2312"/>
          <w:color w:val="auto"/>
          <w:sz w:val="21"/>
          <w:szCs w:val="21"/>
          <w:highlight w:val="none"/>
        </w:rPr>
        <w:fldChar w:fldCharType="begin"/>
      </w:r>
      <w:r>
        <w:rPr>
          <w:rFonts w:ascii="Times New Roman" w:hAnsi="Times New Roman" w:eastAsia="仿宋_GB2312"/>
          <w:color w:val="auto"/>
          <w:sz w:val="21"/>
          <w:szCs w:val="21"/>
          <w:highlight w:val="none"/>
        </w:rPr>
        <w:instrText xml:space="preserve"> PAGEREF _Toc351203518 \h </w:instrText>
      </w:r>
      <w:r>
        <w:rPr>
          <w:rFonts w:ascii="Times New Roman" w:hAnsi="Times New Roman" w:eastAsia="仿宋_GB2312"/>
          <w:color w:val="auto"/>
          <w:sz w:val="21"/>
          <w:szCs w:val="21"/>
          <w:highlight w:val="none"/>
        </w:rPr>
        <w:fldChar w:fldCharType="separate"/>
      </w:r>
      <w:r>
        <w:rPr>
          <w:rFonts w:ascii="Times New Roman" w:hAnsi="Times New Roman" w:eastAsia="仿宋_GB2312"/>
          <w:color w:val="auto"/>
          <w:sz w:val="21"/>
          <w:szCs w:val="21"/>
          <w:highlight w:val="none"/>
        </w:rPr>
        <w:t>12</w:t>
      </w:r>
      <w:r>
        <w:rPr>
          <w:rFonts w:ascii="Times New Roman" w:hAnsi="Times New Roman" w:eastAsia="仿宋_GB2312"/>
          <w:color w:val="auto"/>
          <w:sz w:val="21"/>
          <w:szCs w:val="21"/>
          <w:highlight w:val="none"/>
        </w:rPr>
        <w:fldChar w:fldCharType="end"/>
      </w:r>
      <w:r>
        <w:rPr>
          <w:rFonts w:ascii="Times New Roman" w:hAnsi="Times New Roman" w:eastAsia="仿宋_GB2312"/>
          <w:color w:val="auto"/>
          <w:sz w:val="21"/>
          <w:szCs w:val="21"/>
          <w:highlight w:val="none"/>
        </w:rPr>
        <w:fldChar w:fldCharType="end"/>
      </w:r>
    </w:p>
    <w:p w14:paraId="6921B305">
      <w:pPr>
        <w:pStyle w:val="16"/>
        <w:tabs>
          <w:tab w:val="left" w:pos="1890"/>
          <w:tab w:val="right" w:leader="dot" w:pos="8296"/>
          <w:tab w:val="clear" w:pos="8302"/>
        </w:tabs>
        <w:ind w:firstLine="210" w:firstLineChars="10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"_Toc351203527"</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4. 监理人</w:t>
      </w:r>
      <w:r>
        <w:rPr>
          <w:rFonts w:ascii="Times New Roman" w:hAnsi="Times New Roman" w:eastAsia="仿宋_GB2312"/>
          <w:color w:val="auto"/>
          <w:sz w:val="21"/>
          <w:szCs w:val="21"/>
          <w:highlight w:val="none"/>
        </w:rPr>
        <w:tab/>
      </w:r>
      <w:r>
        <w:rPr>
          <w:rFonts w:hint="eastAsia" w:ascii="Times New Roman" w:hAnsi="Times New Roman" w:eastAsia="仿宋_GB2312"/>
          <w:color w:val="auto"/>
          <w:sz w:val="21"/>
          <w:szCs w:val="21"/>
          <w:highlight w:val="none"/>
        </w:rPr>
        <w:t>30</w:t>
      </w:r>
      <w:r>
        <w:rPr>
          <w:rFonts w:ascii="Times New Roman" w:hAnsi="Times New Roman" w:eastAsia="仿宋_GB2312"/>
          <w:color w:val="auto"/>
          <w:sz w:val="21"/>
          <w:szCs w:val="21"/>
          <w:highlight w:val="none"/>
        </w:rPr>
        <w:fldChar w:fldCharType="end"/>
      </w:r>
    </w:p>
    <w:p w14:paraId="506FA806">
      <w:pPr>
        <w:pStyle w:val="16"/>
        <w:tabs>
          <w:tab w:val="left" w:pos="1890"/>
          <w:tab w:val="right" w:leader="dot" w:pos="8296"/>
          <w:tab w:val="clear" w:pos="8302"/>
        </w:tabs>
        <w:ind w:firstLine="210" w:firstLineChars="10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"_Toc351203532"</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5. 工程质量</w:t>
      </w:r>
      <w:r>
        <w:rPr>
          <w:rFonts w:ascii="Times New Roman" w:hAnsi="Times New Roman" w:eastAsia="仿宋_GB2312"/>
          <w:color w:val="auto"/>
          <w:sz w:val="21"/>
          <w:szCs w:val="21"/>
          <w:highlight w:val="none"/>
        </w:rPr>
        <w:tab/>
      </w:r>
      <w:r>
        <w:rPr>
          <w:rFonts w:ascii="Times New Roman" w:hAnsi="Times New Roman" w:eastAsia="仿宋_GB2312"/>
          <w:color w:val="auto"/>
          <w:sz w:val="21"/>
          <w:szCs w:val="21"/>
          <w:highlight w:val="none"/>
        </w:rPr>
        <w:fldChar w:fldCharType="begin"/>
      </w:r>
      <w:r>
        <w:rPr>
          <w:rFonts w:ascii="Times New Roman" w:hAnsi="Times New Roman" w:eastAsia="仿宋_GB2312"/>
          <w:color w:val="auto"/>
          <w:sz w:val="21"/>
          <w:szCs w:val="21"/>
          <w:highlight w:val="none"/>
        </w:rPr>
        <w:instrText xml:space="preserve"> PAGEREF _Toc351203532 \h </w:instrText>
      </w:r>
      <w:r>
        <w:rPr>
          <w:rFonts w:ascii="Times New Roman" w:hAnsi="Times New Roman" w:eastAsia="仿宋_GB2312"/>
          <w:color w:val="auto"/>
          <w:sz w:val="21"/>
          <w:szCs w:val="21"/>
          <w:highlight w:val="none"/>
        </w:rPr>
        <w:fldChar w:fldCharType="separate"/>
      </w:r>
      <w:r>
        <w:rPr>
          <w:rFonts w:ascii="Times New Roman" w:hAnsi="Times New Roman" w:eastAsia="仿宋_GB2312"/>
          <w:color w:val="auto"/>
          <w:sz w:val="21"/>
          <w:szCs w:val="21"/>
          <w:highlight w:val="none"/>
        </w:rPr>
        <w:t>16</w:t>
      </w:r>
      <w:r>
        <w:rPr>
          <w:rFonts w:ascii="Times New Roman" w:hAnsi="Times New Roman" w:eastAsia="仿宋_GB2312"/>
          <w:color w:val="auto"/>
          <w:sz w:val="21"/>
          <w:szCs w:val="21"/>
          <w:highlight w:val="none"/>
        </w:rPr>
        <w:fldChar w:fldCharType="end"/>
      </w:r>
      <w:r>
        <w:rPr>
          <w:rFonts w:ascii="Times New Roman" w:hAnsi="Times New Roman" w:eastAsia="仿宋_GB2312"/>
          <w:color w:val="auto"/>
          <w:sz w:val="21"/>
          <w:szCs w:val="21"/>
          <w:highlight w:val="none"/>
        </w:rPr>
        <w:fldChar w:fldCharType="end"/>
      </w:r>
    </w:p>
    <w:p w14:paraId="7570A2F4">
      <w:pPr>
        <w:pStyle w:val="16"/>
        <w:tabs>
          <w:tab w:val="left" w:pos="1890"/>
          <w:tab w:val="right" w:leader="dot" w:pos="8296"/>
          <w:tab w:val="clear" w:pos="8302"/>
        </w:tabs>
        <w:ind w:firstLine="210" w:firstLineChars="10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"_Toc351203538"</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6. 安全文明施工与环境保护</w:t>
      </w:r>
      <w:r>
        <w:rPr>
          <w:rFonts w:ascii="Times New Roman" w:hAnsi="Times New Roman" w:eastAsia="仿宋_GB2312"/>
          <w:color w:val="auto"/>
          <w:sz w:val="21"/>
          <w:szCs w:val="21"/>
          <w:highlight w:val="none"/>
        </w:rPr>
        <w:tab/>
      </w:r>
      <w:r>
        <w:rPr>
          <w:rFonts w:ascii="Times New Roman" w:hAnsi="Times New Roman" w:eastAsia="仿宋_GB2312"/>
          <w:color w:val="auto"/>
          <w:sz w:val="21"/>
          <w:szCs w:val="21"/>
          <w:highlight w:val="none"/>
        </w:rPr>
        <w:fldChar w:fldCharType="begin"/>
      </w:r>
      <w:r>
        <w:rPr>
          <w:rFonts w:ascii="Times New Roman" w:hAnsi="Times New Roman" w:eastAsia="仿宋_GB2312"/>
          <w:color w:val="auto"/>
          <w:sz w:val="21"/>
          <w:szCs w:val="21"/>
          <w:highlight w:val="none"/>
        </w:rPr>
        <w:instrText xml:space="preserve"> PAGEREF _Toc351203538 \h </w:instrText>
      </w:r>
      <w:r>
        <w:rPr>
          <w:rFonts w:ascii="Times New Roman" w:hAnsi="Times New Roman" w:eastAsia="仿宋_GB2312"/>
          <w:color w:val="auto"/>
          <w:sz w:val="21"/>
          <w:szCs w:val="21"/>
          <w:highlight w:val="none"/>
        </w:rPr>
        <w:fldChar w:fldCharType="separate"/>
      </w:r>
      <w:r>
        <w:rPr>
          <w:rFonts w:ascii="Times New Roman" w:hAnsi="Times New Roman" w:eastAsia="仿宋_GB2312"/>
          <w:color w:val="auto"/>
          <w:sz w:val="21"/>
          <w:szCs w:val="21"/>
          <w:highlight w:val="none"/>
        </w:rPr>
        <w:t>18</w:t>
      </w:r>
      <w:r>
        <w:rPr>
          <w:rFonts w:ascii="Times New Roman" w:hAnsi="Times New Roman" w:eastAsia="仿宋_GB2312"/>
          <w:color w:val="auto"/>
          <w:sz w:val="21"/>
          <w:szCs w:val="21"/>
          <w:highlight w:val="none"/>
        </w:rPr>
        <w:fldChar w:fldCharType="end"/>
      </w:r>
      <w:r>
        <w:rPr>
          <w:rFonts w:ascii="Times New Roman" w:hAnsi="Times New Roman" w:eastAsia="仿宋_GB2312"/>
          <w:color w:val="auto"/>
          <w:sz w:val="21"/>
          <w:szCs w:val="21"/>
          <w:highlight w:val="none"/>
        </w:rPr>
        <w:fldChar w:fldCharType="end"/>
      </w:r>
    </w:p>
    <w:p w14:paraId="3CC78DE4">
      <w:pPr>
        <w:pStyle w:val="16"/>
        <w:tabs>
          <w:tab w:val="left" w:pos="1890"/>
          <w:tab w:val="right" w:leader="dot" w:pos="8296"/>
          <w:tab w:val="clear" w:pos="8302"/>
        </w:tabs>
        <w:ind w:firstLine="210" w:firstLineChars="10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"_Toc351203542"</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7. 工期和进度</w:t>
      </w:r>
      <w:r>
        <w:rPr>
          <w:rFonts w:ascii="Times New Roman" w:hAnsi="Times New Roman" w:eastAsia="仿宋_GB2312"/>
          <w:color w:val="auto"/>
          <w:sz w:val="21"/>
          <w:szCs w:val="21"/>
          <w:highlight w:val="none"/>
        </w:rPr>
        <w:tab/>
      </w:r>
      <w:r>
        <w:rPr>
          <w:rFonts w:ascii="Times New Roman" w:hAnsi="Times New Roman" w:eastAsia="仿宋_GB2312"/>
          <w:color w:val="auto"/>
          <w:sz w:val="21"/>
          <w:szCs w:val="21"/>
          <w:highlight w:val="none"/>
        </w:rPr>
        <w:fldChar w:fldCharType="begin"/>
      </w:r>
      <w:r>
        <w:rPr>
          <w:rFonts w:ascii="Times New Roman" w:hAnsi="Times New Roman" w:eastAsia="仿宋_GB2312"/>
          <w:color w:val="auto"/>
          <w:sz w:val="21"/>
          <w:szCs w:val="21"/>
          <w:highlight w:val="none"/>
        </w:rPr>
        <w:instrText xml:space="preserve"> PAGEREF _Toc351203542 \h </w:instrText>
      </w:r>
      <w:r>
        <w:rPr>
          <w:rFonts w:ascii="Times New Roman" w:hAnsi="Times New Roman" w:eastAsia="仿宋_GB2312"/>
          <w:color w:val="auto"/>
          <w:sz w:val="21"/>
          <w:szCs w:val="21"/>
          <w:highlight w:val="none"/>
        </w:rPr>
        <w:fldChar w:fldCharType="separate"/>
      </w:r>
      <w:r>
        <w:rPr>
          <w:rFonts w:ascii="Times New Roman" w:hAnsi="Times New Roman" w:eastAsia="仿宋_GB2312"/>
          <w:color w:val="auto"/>
          <w:sz w:val="21"/>
          <w:szCs w:val="21"/>
          <w:highlight w:val="none"/>
        </w:rPr>
        <w:t>21</w:t>
      </w:r>
      <w:r>
        <w:rPr>
          <w:rFonts w:ascii="Times New Roman" w:hAnsi="Times New Roman" w:eastAsia="仿宋_GB2312"/>
          <w:color w:val="auto"/>
          <w:sz w:val="21"/>
          <w:szCs w:val="21"/>
          <w:highlight w:val="none"/>
        </w:rPr>
        <w:fldChar w:fldCharType="end"/>
      </w:r>
      <w:r>
        <w:rPr>
          <w:rFonts w:ascii="Times New Roman" w:hAnsi="Times New Roman" w:eastAsia="仿宋_GB2312"/>
          <w:color w:val="auto"/>
          <w:sz w:val="21"/>
          <w:szCs w:val="21"/>
          <w:highlight w:val="none"/>
        </w:rPr>
        <w:fldChar w:fldCharType="end"/>
      </w:r>
    </w:p>
    <w:p w14:paraId="07111A87">
      <w:pPr>
        <w:pStyle w:val="16"/>
        <w:tabs>
          <w:tab w:val="left" w:pos="1890"/>
          <w:tab w:val="right" w:leader="dot" w:pos="8296"/>
          <w:tab w:val="clear" w:pos="8302"/>
        </w:tabs>
        <w:ind w:firstLine="210" w:firstLineChars="10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"_Toc351203552"</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8. 材料与设备</w:t>
      </w:r>
      <w:r>
        <w:rPr>
          <w:rFonts w:ascii="Times New Roman" w:hAnsi="Times New Roman" w:eastAsia="仿宋_GB2312"/>
          <w:color w:val="auto"/>
          <w:sz w:val="21"/>
          <w:szCs w:val="21"/>
          <w:highlight w:val="none"/>
        </w:rPr>
        <w:tab/>
      </w:r>
      <w:r>
        <w:rPr>
          <w:rFonts w:hint="eastAsia" w:ascii="Times New Roman" w:hAnsi="Times New Roman" w:eastAsia="仿宋_GB2312"/>
          <w:color w:val="auto"/>
          <w:sz w:val="21"/>
          <w:szCs w:val="21"/>
          <w:highlight w:val="none"/>
        </w:rPr>
        <w:t>50</w:t>
      </w:r>
      <w:r>
        <w:rPr>
          <w:rFonts w:ascii="Times New Roman" w:hAnsi="Times New Roman" w:eastAsia="仿宋_GB2312"/>
          <w:color w:val="auto"/>
          <w:sz w:val="21"/>
          <w:szCs w:val="21"/>
          <w:highlight w:val="none"/>
        </w:rPr>
        <w:fldChar w:fldCharType="end"/>
      </w:r>
    </w:p>
    <w:p w14:paraId="29662649">
      <w:pPr>
        <w:pStyle w:val="16"/>
        <w:tabs>
          <w:tab w:val="left" w:pos="1890"/>
          <w:tab w:val="right" w:leader="dot" w:pos="8296"/>
          <w:tab w:val="clear" w:pos="8302"/>
        </w:tabs>
        <w:ind w:firstLine="210" w:firstLineChars="10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"_Toc351203562"</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9. 试验与检验</w:t>
      </w:r>
      <w:r>
        <w:rPr>
          <w:rFonts w:ascii="Times New Roman" w:hAnsi="Times New Roman" w:eastAsia="仿宋_GB2312"/>
          <w:color w:val="auto"/>
          <w:sz w:val="21"/>
          <w:szCs w:val="21"/>
          <w:highlight w:val="none"/>
        </w:rPr>
        <w:tab/>
      </w:r>
      <w:r>
        <w:rPr>
          <w:rFonts w:ascii="Times New Roman" w:hAnsi="Times New Roman" w:eastAsia="仿宋_GB2312"/>
          <w:color w:val="auto"/>
          <w:sz w:val="21"/>
          <w:szCs w:val="21"/>
          <w:highlight w:val="none"/>
        </w:rPr>
        <w:fldChar w:fldCharType="begin"/>
      </w:r>
      <w:r>
        <w:rPr>
          <w:rFonts w:ascii="Times New Roman" w:hAnsi="Times New Roman" w:eastAsia="仿宋_GB2312"/>
          <w:color w:val="auto"/>
          <w:sz w:val="21"/>
          <w:szCs w:val="21"/>
          <w:highlight w:val="none"/>
        </w:rPr>
        <w:instrText xml:space="preserve"> PAGEREF _Toc351203562 \h </w:instrText>
      </w:r>
      <w:r>
        <w:rPr>
          <w:rFonts w:ascii="Times New Roman" w:hAnsi="Times New Roman" w:eastAsia="仿宋_GB2312"/>
          <w:color w:val="auto"/>
          <w:sz w:val="21"/>
          <w:szCs w:val="21"/>
          <w:highlight w:val="none"/>
        </w:rPr>
        <w:fldChar w:fldCharType="separate"/>
      </w:r>
      <w:r>
        <w:rPr>
          <w:rFonts w:ascii="Times New Roman" w:hAnsi="Times New Roman" w:eastAsia="仿宋_GB2312"/>
          <w:color w:val="auto"/>
          <w:sz w:val="21"/>
          <w:szCs w:val="21"/>
          <w:highlight w:val="none"/>
        </w:rPr>
        <w:t>28</w:t>
      </w:r>
      <w:r>
        <w:rPr>
          <w:rFonts w:ascii="Times New Roman" w:hAnsi="Times New Roman" w:eastAsia="仿宋_GB2312"/>
          <w:color w:val="auto"/>
          <w:sz w:val="21"/>
          <w:szCs w:val="21"/>
          <w:highlight w:val="none"/>
        </w:rPr>
        <w:fldChar w:fldCharType="end"/>
      </w:r>
      <w:r>
        <w:rPr>
          <w:rFonts w:ascii="Times New Roman" w:hAnsi="Times New Roman" w:eastAsia="仿宋_GB2312"/>
          <w:color w:val="auto"/>
          <w:sz w:val="21"/>
          <w:szCs w:val="21"/>
          <w:highlight w:val="none"/>
        </w:rPr>
        <w:fldChar w:fldCharType="end"/>
      </w:r>
    </w:p>
    <w:p w14:paraId="059AE666">
      <w:pPr>
        <w:pStyle w:val="16"/>
        <w:tabs>
          <w:tab w:val="left" w:pos="1890"/>
          <w:tab w:val="right" w:leader="dot" w:pos="8296"/>
          <w:tab w:val="clear" w:pos="8302"/>
        </w:tabs>
        <w:ind w:firstLine="210" w:firstLineChars="10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"_Toc351203567"</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10. 变更</w:t>
      </w:r>
      <w:r>
        <w:rPr>
          <w:rFonts w:ascii="Times New Roman" w:hAnsi="Times New Roman" w:eastAsia="仿宋_GB2312"/>
          <w:color w:val="auto"/>
          <w:sz w:val="21"/>
          <w:szCs w:val="21"/>
          <w:highlight w:val="none"/>
        </w:rPr>
        <w:tab/>
      </w:r>
      <w:r>
        <w:rPr>
          <w:rFonts w:ascii="Times New Roman" w:hAnsi="Times New Roman" w:eastAsia="仿宋_GB2312"/>
          <w:color w:val="auto"/>
          <w:sz w:val="21"/>
          <w:szCs w:val="21"/>
          <w:highlight w:val="none"/>
        </w:rPr>
        <w:fldChar w:fldCharType="begin"/>
      </w:r>
      <w:r>
        <w:rPr>
          <w:rFonts w:ascii="Times New Roman" w:hAnsi="Times New Roman" w:eastAsia="仿宋_GB2312"/>
          <w:color w:val="auto"/>
          <w:sz w:val="21"/>
          <w:szCs w:val="21"/>
          <w:highlight w:val="none"/>
        </w:rPr>
        <w:instrText xml:space="preserve"> PAGEREF _Toc351203567 \h </w:instrText>
      </w:r>
      <w:r>
        <w:rPr>
          <w:rFonts w:ascii="Times New Roman" w:hAnsi="Times New Roman" w:eastAsia="仿宋_GB2312"/>
          <w:color w:val="auto"/>
          <w:sz w:val="21"/>
          <w:szCs w:val="21"/>
          <w:highlight w:val="none"/>
        </w:rPr>
        <w:fldChar w:fldCharType="separate"/>
      </w:r>
      <w:r>
        <w:rPr>
          <w:rFonts w:ascii="Times New Roman" w:hAnsi="Times New Roman" w:eastAsia="仿宋_GB2312"/>
          <w:color w:val="auto"/>
          <w:sz w:val="21"/>
          <w:szCs w:val="21"/>
          <w:highlight w:val="none"/>
        </w:rPr>
        <w:t>29</w:t>
      </w:r>
      <w:r>
        <w:rPr>
          <w:rFonts w:ascii="Times New Roman" w:hAnsi="Times New Roman" w:eastAsia="仿宋_GB2312"/>
          <w:color w:val="auto"/>
          <w:sz w:val="21"/>
          <w:szCs w:val="21"/>
          <w:highlight w:val="none"/>
        </w:rPr>
        <w:fldChar w:fldCharType="end"/>
      </w:r>
      <w:r>
        <w:rPr>
          <w:rFonts w:ascii="Times New Roman" w:hAnsi="Times New Roman" w:eastAsia="仿宋_GB2312"/>
          <w:color w:val="auto"/>
          <w:sz w:val="21"/>
          <w:szCs w:val="21"/>
          <w:highlight w:val="none"/>
        </w:rPr>
        <w:fldChar w:fldCharType="end"/>
      </w:r>
    </w:p>
    <w:p w14:paraId="648342BA">
      <w:pPr>
        <w:pStyle w:val="16"/>
        <w:tabs>
          <w:tab w:val="left" w:pos="1890"/>
          <w:tab w:val="right" w:leader="dot" w:pos="8296"/>
          <w:tab w:val="clear" w:pos="8302"/>
        </w:tabs>
        <w:ind w:firstLine="210" w:firstLineChars="10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"_Toc351203577"</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11. 价格调整</w:t>
      </w:r>
      <w:r>
        <w:rPr>
          <w:rFonts w:ascii="Times New Roman" w:hAnsi="Times New Roman" w:eastAsia="仿宋_GB2312"/>
          <w:color w:val="auto"/>
          <w:sz w:val="21"/>
          <w:szCs w:val="21"/>
          <w:highlight w:val="none"/>
        </w:rPr>
        <w:tab/>
      </w:r>
      <w:r>
        <w:rPr>
          <w:rFonts w:ascii="Times New Roman" w:hAnsi="Times New Roman" w:eastAsia="仿宋_GB2312"/>
          <w:color w:val="auto"/>
          <w:sz w:val="21"/>
          <w:szCs w:val="21"/>
          <w:highlight w:val="none"/>
        </w:rPr>
        <w:fldChar w:fldCharType="begin"/>
      </w:r>
      <w:r>
        <w:rPr>
          <w:rFonts w:ascii="Times New Roman" w:hAnsi="Times New Roman" w:eastAsia="仿宋_GB2312"/>
          <w:color w:val="auto"/>
          <w:sz w:val="21"/>
          <w:szCs w:val="21"/>
          <w:highlight w:val="none"/>
        </w:rPr>
        <w:instrText xml:space="preserve"> PAGEREF _Toc351203577 \h </w:instrText>
      </w:r>
      <w:r>
        <w:rPr>
          <w:rFonts w:ascii="Times New Roman" w:hAnsi="Times New Roman" w:eastAsia="仿宋_GB2312"/>
          <w:color w:val="auto"/>
          <w:sz w:val="21"/>
          <w:szCs w:val="21"/>
          <w:highlight w:val="none"/>
        </w:rPr>
        <w:fldChar w:fldCharType="separate"/>
      </w:r>
      <w:r>
        <w:rPr>
          <w:rFonts w:ascii="Times New Roman" w:hAnsi="Times New Roman" w:eastAsia="仿宋_GB2312"/>
          <w:color w:val="auto"/>
          <w:sz w:val="21"/>
          <w:szCs w:val="21"/>
          <w:highlight w:val="none"/>
        </w:rPr>
        <w:t>32</w:t>
      </w:r>
      <w:r>
        <w:rPr>
          <w:rFonts w:ascii="Times New Roman" w:hAnsi="Times New Roman" w:eastAsia="仿宋_GB2312"/>
          <w:color w:val="auto"/>
          <w:sz w:val="21"/>
          <w:szCs w:val="21"/>
          <w:highlight w:val="none"/>
        </w:rPr>
        <w:fldChar w:fldCharType="end"/>
      </w:r>
      <w:r>
        <w:rPr>
          <w:rFonts w:ascii="Times New Roman" w:hAnsi="Times New Roman" w:eastAsia="仿宋_GB2312"/>
          <w:color w:val="auto"/>
          <w:sz w:val="21"/>
          <w:szCs w:val="21"/>
          <w:highlight w:val="none"/>
        </w:rPr>
        <w:fldChar w:fldCharType="end"/>
      </w:r>
    </w:p>
    <w:p w14:paraId="01225244">
      <w:pPr>
        <w:pStyle w:val="16"/>
        <w:tabs>
          <w:tab w:val="left" w:pos="1890"/>
          <w:tab w:val="right" w:leader="dot" w:pos="8296"/>
          <w:tab w:val="clear" w:pos="8302"/>
        </w:tabs>
        <w:ind w:firstLine="210" w:firstLineChars="10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"_Toc351203580"</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12. 合同价格、计量与支付</w:t>
      </w:r>
      <w:r>
        <w:rPr>
          <w:rFonts w:ascii="Times New Roman" w:hAnsi="Times New Roman" w:eastAsia="仿宋_GB2312"/>
          <w:color w:val="auto"/>
          <w:sz w:val="21"/>
          <w:szCs w:val="21"/>
          <w:highlight w:val="none"/>
        </w:rPr>
        <w:tab/>
      </w:r>
      <w:r>
        <w:rPr>
          <w:rFonts w:ascii="Times New Roman" w:hAnsi="Times New Roman" w:eastAsia="仿宋_GB2312"/>
          <w:color w:val="auto"/>
          <w:sz w:val="21"/>
          <w:szCs w:val="21"/>
          <w:highlight w:val="none"/>
        </w:rPr>
        <w:fldChar w:fldCharType="begin"/>
      </w:r>
      <w:r>
        <w:rPr>
          <w:rFonts w:ascii="Times New Roman" w:hAnsi="Times New Roman" w:eastAsia="仿宋_GB2312"/>
          <w:color w:val="auto"/>
          <w:sz w:val="21"/>
          <w:szCs w:val="21"/>
          <w:highlight w:val="none"/>
        </w:rPr>
        <w:instrText xml:space="preserve"> PAGEREF _Toc351203580 \h </w:instrText>
      </w:r>
      <w:r>
        <w:rPr>
          <w:rFonts w:ascii="Times New Roman" w:hAnsi="Times New Roman" w:eastAsia="仿宋_GB2312"/>
          <w:color w:val="auto"/>
          <w:sz w:val="21"/>
          <w:szCs w:val="21"/>
          <w:highlight w:val="none"/>
        </w:rPr>
        <w:fldChar w:fldCharType="separate"/>
      </w:r>
      <w:r>
        <w:rPr>
          <w:rFonts w:ascii="Times New Roman" w:hAnsi="Times New Roman" w:eastAsia="仿宋_GB2312"/>
          <w:color w:val="auto"/>
          <w:sz w:val="21"/>
          <w:szCs w:val="21"/>
          <w:highlight w:val="none"/>
        </w:rPr>
        <w:t>34</w:t>
      </w:r>
      <w:r>
        <w:rPr>
          <w:rFonts w:ascii="Times New Roman" w:hAnsi="Times New Roman" w:eastAsia="仿宋_GB2312"/>
          <w:color w:val="auto"/>
          <w:sz w:val="21"/>
          <w:szCs w:val="21"/>
          <w:highlight w:val="none"/>
        </w:rPr>
        <w:fldChar w:fldCharType="end"/>
      </w:r>
      <w:r>
        <w:rPr>
          <w:rFonts w:ascii="Times New Roman" w:hAnsi="Times New Roman" w:eastAsia="仿宋_GB2312"/>
          <w:color w:val="auto"/>
          <w:sz w:val="21"/>
          <w:szCs w:val="21"/>
          <w:highlight w:val="none"/>
        </w:rPr>
        <w:fldChar w:fldCharType="end"/>
      </w:r>
    </w:p>
    <w:p w14:paraId="54169D95">
      <w:pPr>
        <w:pStyle w:val="16"/>
        <w:tabs>
          <w:tab w:val="left" w:pos="1890"/>
          <w:tab w:val="right" w:leader="dot" w:pos="8296"/>
          <w:tab w:val="clear" w:pos="8302"/>
        </w:tabs>
        <w:ind w:firstLine="210" w:firstLineChars="10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"_Toc351203586"</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13. 验收和工程试车</w:t>
      </w:r>
      <w:r>
        <w:rPr>
          <w:rFonts w:ascii="Times New Roman" w:hAnsi="Times New Roman" w:eastAsia="仿宋_GB2312"/>
          <w:color w:val="auto"/>
          <w:sz w:val="21"/>
          <w:szCs w:val="21"/>
          <w:highlight w:val="none"/>
        </w:rPr>
        <w:tab/>
      </w:r>
      <w:r>
        <w:rPr>
          <w:rFonts w:ascii="Times New Roman" w:hAnsi="Times New Roman" w:eastAsia="仿宋_GB2312"/>
          <w:color w:val="auto"/>
          <w:sz w:val="21"/>
          <w:szCs w:val="21"/>
          <w:highlight w:val="none"/>
        </w:rPr>
        <w:fldChar w:fldCharType="begin"/>
      </w:r>
      <w:r>
        <w:rPr>
          <w:rFonts w:ascii="Times New Roman" w:hAnsi="Times New Roman" w:eastAsia="仿宋_GB2312"/>
          <w:color w:val="auto"/>
          <w:sz w:val="21"/>
          <w:szCs w:val="21"/>
          <w:highlight w:val="none"/>
        </w:rPr>
        <w:instrText xml:space="preserve"> PAGEREF _Toc351203586 \h </w:instrText>
      </w:r>
      <w:r>
        <w:rPr>
          <w:rFonts w:ascii="Times New Roman" w:hAnsi="Times New Roman" w:eastAsia="仿宋_GB2312"/>
          <w:color w:val="auto"/>
          <w:sz w:val="21"/>
          <w:szCs w:val="21"/>
          <w:highlight w:val="none"/>
        </w:rPr>
        <w:fldChar w:fldCharType="separate"/>
      </w:r>
      <w:r>
        <w:rPr>
          <w:rFonts w:ascii="Times New Roman" w:hAnsi="Times New Roman" w:eastAsia="仿宋_GB2312"/>
          <w:color w:val="auto"/>
          <w:sz w:val="21"/>
          <w:szCs w:val="21"/>
          <w:highlight w:val="none"/>
        </w:rPr>
        <w:t>38</w:t>
      </w:r>
      <w:r>
        <w:rPr>
          <w:rFonts w:ascii="Times New Roman" w:hAnsi="Times New Roman" w:eastAsia="仿宋_GB2312"/>
          <w:color w:val="auto"/>
          <w:sz w:val="21"/>
          <w:szCs w:val="21"/>
          <w:highlight w:val="none"/>
        </w:rPr>
        <w:fldChar w:fldCharType="end"/>
      </w:r>
      <w:r>
        <w:rPr>
          <w:rFonts w:ascii="Times New Roman" w:hAnsi="Times New Roman" w:eastAsia="仿宋_GB2312"/>
          <w:color w:val="auto"/>
          <w:sz w:val="21"/>
          <w:szCs w:val="21"/>
          <w:highlight w:val="none"/>
        </w:rPr>
        <w:fldChar w:fldCharType="end"/>
      </w:r>
    </w:p>
    <w:p w14:paraId="2365CDE2">
      <w:pPr>
        <w:pStyle w:val="16"/>
        <w:tabs>
          <w:tab w:val="left" w:pos="1890"/>
          <w:tab w:val="right" w:leader="dot" w:pos="8296"/>
          <w:tab w:val="clear" w:pos="8302"/>
        </w:tabs>
        <w:ind w:firstLine="210" w:firstLineChars="10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"_Toc351203593"</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14. 竣工结算</w:t>
      </w:r>
      <w:r>
        <w:rPr>
          <w:rFonts w:ascii="Times New Roman" w:hAnsi="Times New Roman" w:eastAsia="仿宋_GB2312"/>
          <w:color w:val="auto"/>
          <w:sz w:val="21"/>
          <w:szCs w:val="21"/>
          <w:highlight w:val="none"/>
        </w:rPr>
        <w:tab/>
      </w:r>
      <w:r>
        <w:rPr>
          <w:rFonts w:ascii="Times New Roman" w:hAnsi="Times New Roman" w:eastAsia="仿宋_GB2312"/>
          <w:color w:val="auto"/>
          <w:sz w:val="21"/>
          <w:szCs w:val="21"/>
          <w:highlight w:val="none"/>
        </w:rPr>
        <w:fldChar w:fldCharType="begin"/>
      </w:r>
      <w:r>
        <w:rPr>
          <w:rFonts w:ascii="Times New Roman" w:hAnsi="Times New Roman" w:eastAsia="仿宋_GB2312"/>
          <w:color w:val="auto"/>
          <w:sz w:val="21"/>
          <w:szCs w:val="21"/>
          <w:highlight w:val="none"/>
        </w:rPr>
        <w:instrText xml:space="preserve"> PAGEREF _Toc351203593 \h </w:instrText>
      </w:r>
      <w:r>
        <w:rPr>
          <w:rFonts w:ascii="Times New Roman" w:hAnsi="Times New Roman" w:eastAsia="仿宋_GB2312"/>
          <w:color w:val="auto"/>
          <w:sz w:val="21"/>
          <w:szCs w:val="21"/>
          <w:highlight w:val="none"/>
        </w:rPr>
        <w:fldChar w:fldCharType="separate"/>
      </w:r>
      <w:r>
        <w:rPr>
          <w:rFonts w:ascii="Times New Roman" w:hAnsi="Times New Roman" w:eastAsia="仿宋_GB2312"/>
          <w:color w:val="auto"/>
          <w:sz w:val="21"/>
          <w:szCs w:val="21"/>
          <w:highlight w:val="none"/>
        </w:rPr>
        <w:t>41</w:t>
      </w:r>
      <w:r>
        <w:rPr>
          <w:rFonts w:ascii="Times New Roman" w:hAnsi="Times New Roman" w:eastAsia="仿宋_GB2312"/>
          <w:color w:val="auto"/>
          <w:sz w:val="21"/>
          <w:szCs w:val="21"/>
          <w:highlight w:val="none"/>
        </w:rPr>
        <w:fldChar w:fldCharType="end"/>
      </w:r>
      <w:r>
        <w:rPr>
          <w:rFonts w:ascii="Times New Roman" w:hAnsi="Times New Roman" w:eastAsia="仿宋_GB2312"/>
          <w:color w:val="auto"/>
          <w:sz w:val="21"/>
          <w:szCs w:val="21"/>
          <w:highlight w:val="none"/>
        </w:rPr>
        <w:fldChar w:fldCharType="end"/>
      </w:r>
    </w:p>
    <w:p w14:paraId="4DB03A60">
      <w:pPr>
        <w:pStyle w:val="16"/>
        <w:tabs>
          <w:tab w:val="left" w:pos="1890"/>
          <w:tab w:val="right" w:leader="dot" w:pos="8296"/>
          <w:tab w:val="clear" w:pos="8302"/>
        </w:tabs>
        <w:ind w:firstLine="210" w:firstLineChars="10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"_Toc351203598"</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15. 缺陷责任与保修</w:t>
      </w:r>
      <w:r>
        <w:rPr>
          <w:rFonts w:ascii="Times New Roman" w:hAnsi="Times New Roman" w:eastAsia="仿宋_GB2312"/>
          <w:color w:val="auto"/>
          <w:sz w:val="21"/>
          <w:szCs w:val="21"/>
          <w:highlight w:val="none"/>
        </w:rPr>
        <w:tab/>
      </w:r>
      <w:r>
        <w:rPr>
          <w:rFonts w:ascii="Times New Roman" w:hAnsi="Times New Roman" w:eastAsia="仿宋_GB2312"/>
          <w:color w:val="auto"/>
          <w:sz w:val="21"/>
          <w:szCs w:val="21"/>
          <w:highlight w:val="none"/>
        </w:rPr>
        <w:fldChar w:fldCharType="begin"/>
      </w:r>
      <w:r>
        <w:rPr>
          <w:rFonts w:ascii="Times New Roman" w:hAnsi="Times New Roman" w:eastAsia="仿宋_GB2312"/>
          <w:color w:val="auto"/>
          <w:sz w:val="21"/>
          <w:szCs w:val="21"/>
          <w:highlight w:val="none"/>
        </w:rPr>
        <w:instrText xml:space="preserve"> PAGEREF _Toc351203598 \h </w:instrText>
      </w:r>
      <w:r>
        <w:rPr>
          <w:rFonts w:ascii="Times New Roman" w:hAnsi="Times New Roman" w:eastAsia="仿宋_GB2312"/>
          <w:color w:val="auto"/>
          <w:sz w:val="21"/>
          <w:szCs w:val="21"/>
          <w:highlight w:val="none"/>
        </w:rPr>
        <w:fldChar w:fldCharType="separate"/>
      </w:r>
      <w:r>
        <w:rPr>
          <w:rFonts w:ascii="Times New Roman" w:hAnsi="Times New Roman" w:eastAsia="仿宋_GB2312"/>
          <w:color w:val="auto"/>
          <w:sz w:val="21"/>
          <w:szCs w:val="21"/>
          <w:highlight w:val="none"/>
        </w:rPr>
        <w:t>43</w:t>
      </w:r>
      <w:r>
        <w:rPr>
          <w:rFonts w:ascii="Times New Roman" w:hAnsi="Times New Roman" w:eastAsia="仿宋_GB2312"/>
          <w:color w:val="auto"/>
          <w:sz w:val="21"/>
          <w:szCs w:val="21"/>
          <w:highlight w:val="none"/>
        </w:rPr>
        <w:fldChar w:fldCharType="end"/>
      </w:r>
      <w:r>
        <w:rPr>
          <w:rFonts w:ascii="Times New Roman" w:hAnsi="Times New Roman" w:eastAsia="仿宋_GB2312"/>
          <w:color w:val="auto"/>
          <w:sz w:val="21"/>
          <w:szCs w:val="21"/>
          <w:highlight w:val="none"/>
        </w:rPr>
        <w:fldChar w:fldCharType="end"/>
      </w:r>
    </w:p>
    <w:p w14:paraId="61F8D01D">
      <w:pPr>
        <w:pStyle w:val="16"/>
        <w:tabs>
          <w:tab w:val="left" w:pos="1890"/>
          <w:tab w:val="right" w:leader="dot" w:pos="8296"/>
          <w:tab w:val="clear" w:pos="8302"/>
        </w:tabs>
        <w:ind w:firstLine="210" w:firstLineChars="10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"_Toc351203603"</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16. 违约</w:t>
      </w:r>
      <w:r>
        <w:rPr>
          <w:rFonts w:ascii="Times New Roman" w:hAnsi="Times New Roman" w:eastAsia="仿宋_GB2312"/>
          <w:color w:val="auto"/>
          <w:sz w:val="21"/>
          <w:szCs w:val="21"/>
          <w:highlight w:val="none"/>
        </w:rPr>
        <w:tab/>
      </w:r>
      <w:r>
        <w:rPr>
          <w:rFonts w:ascii="Times New Roman" w:hAnsi="Times New Roman" w:eastAsia="仿宋_GB2312"/>
          <w:color w:val="auto"/>
          <w:sz w:val="21"/>
          <w:szCs w:val="21"/>
          <w:highlight w:val="none"/>
        </w:rPr>
        <w:fldChar w:fldCharType="begin"/>
      </w:r>
      <w:r>
        <w:rPr>
          <w:rFonts w:ascii="Times New Roman" w:hAnsi="Times New Roman" w:eastAsia="仿宋_GB2312"/>
          <w:color w:val="auto"/>
          <w:sz w:val="21"/>
          <w:szCs w:val="21"/>
          <w:highlight w:val="none"/>
        </w:rPr>
        <w:instrText xml:space="preserve"> PAGEREF _Toc351203603 \h </w:instrText>
      </w:r>
      <w:r>
        <w:rPr>
          <w:rFonts w:ascii="Times New Roman" w:hAnsi="Times New Roman" w:eastAsia="仿宋_GB2312"/>
          <w:color w:val="auto"/>
          <w:sz w:val="21"/>
          <w:szCs w:val="21"/>
          <w:highlight w:val="none"/>
        </w:rPr>
        <w:fldChar w:fldCharType="separate"/>
      </w:r>
      <w:r>
        <w:rPr>
          <w:rFonts w:ascii="Times New Roman" w:hAnsi="Times New Roman" w:eastAsia="仿宋_GB2312"/>
          <w:color w:val="auto"/>
          <w:sz w:val="21"/>
          <w:szCs w:val="21"/>
          <w:highlight w:val="none"/>
        </w:rPr>
        <w:t>45</w:t>
      </w:r>
      <w:r>
        <w:rPr>
          <w:rFonts w:ascii="Times New Roman" w:hAnsi="Times New Roman" w:eastAsia="仿宋_GB2312"/>
          <w:color w:val="auto"/>
          <w:sz w:val="21"/>
          <w:szCs w:val="21"/>
          <w:highlight w:val="none"/>
        </w:rPr>
        <w:fldChar w:fldCharType="end"/>
      </w:r>
      <w:r>
        <w:rPr>
          <w:rFonts w:ascii="Times New Roman" w:hAnsi="Times New Roman" w:eastAsia="仿宋_GB2312"/>
          <w:color w:val="auto"/>
          <w:sz w:val="21"/>
          <w:szCs w:val="21"/>
          <w:highlight w:val="none"/>
        </w:rPr>
        <w:fldChar w:fldCharType="end"/>
      </w:r>
    </w:p>
    <w:p w14:paraId="027C014A">
      <w:pPr>
        <w:pStyle w:val="16"/>
        <w:tabs>
          <w:tab w:val="left" w:pos="1890"/>
          <w:tab w:val="right" w:leader="dot" w:pos="8296"/>
          <w:tab w:val="clear" w:pos="8302"/>
        </w:tabs>
        <w:ind w:firstLine="210" w:firstLineChars="10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"_Toc351203607"</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17. 不可抗力</w:t>
      </w:r>
      <w:r>
        <w:rPr>
          <w:rFonts w:ascii="Times New Roman" w:hAnsi="Times New Roman" w:eastAsia="仿宋_GB2312"/>
          <w:color w:val="auto"/>
          <w:sz w:val="21"/>
          <w:szCs w:val="21"/>
          <w:highlight w:val="none"/>
        </w:rPr>
        <w:tab/>
      </w:r>
      <w:r>
        <w:rPr>
          <w:rFonts w:ascii="Times New Roman" w:hAnsi="Times New Roman" w:eastAsia="仿宋_GB2312"/>
          <w:color w:val="auto"/>
          <w:sz w:val="21"/>
          <w:szCs w:val="21"/>
          <w:highlight w:val="none"/>
        </w:rPr>
        <w:fldChar w:fldCharType="begin"/>
      </w:r>
      <w:r>
        <w:rPr>
          <w:rFonts w:ascii="Times New Roman" w:hAnsi="Times New Roman" w:eastAsia="仿宋_GB2312"/>
          <w:color w:val="auto"/>
          <w:sz w:val="21"/>
          <w:szCs w:val="21"/>
          <w:highlight w:val="none"/>
        </w:rPr>
        <w:instrText xml:space="preserve"> PAGEREF _Toc351203607 \h </w:instrText>
      </w:r>
      <w:r>
        <w:rPr>
          <w:rFonts w:ascii="Times New Roman" w:hAnsi="Times New Roman" w:eastAsia="仿宋_GB2312"/>
          <w:color w:val="auto"/>
          <w:sz w:val="21"/>
          <w:szCs w:val="21"/>
          <w:highlight w:val="none"/>
        </w:rPr>
        <w:fldChar w:fldCharType="separate"/>
      </w:r>
      <w:r>
        <w:rPr>
          <w:rFonts w:ascii="Times New Roman" w:hAnsi="Times New Roman" w:eastAsia="仿宋_GB2312"/>
          <w:color w:val="auto"/>
          <w:sz w:val="21"/>
          <w:szCs w:val="21"/>
          <w:highlight w:val="none"/>
        </w:rPr>
        <w:t>48</w:t>
      </w:r>
      <w:r>
        <w:rPr>
          <w:rFonts w:ascii="Times New Roman" w:hAnsi="Times New Roman" w:eastAsia="仿宋_GB2312"/>
          <w:color w:val="auto"/>
          <w:sz w:val="21"/>
          <w:szCs w:val="21"/>
          <w:highlight w:val="none"/>
        </w:rPr>
        <w:fldChar w:fldCharType="end"/>
      </w:r>
      <w:r>
        <w:rPr>
          <w:rFonts w:ascii="Times New Roman" w:hAnsi="Times New Roman" w:eastAsia="仿宋_GB2312"/>
          <w:color w:val="auto"/>
          <w:sz w:val="21"/>
          <w:szCs w:val="21"/>
          <w:highlight w:val="none"/>
        </w:rPr>
        <w:fldChar w:fldCharType="end"/>
      </w:r>
    </w:p>
    <w:p w14:paraId="47A3DAC2">
      <w:pPr>
        <w:pStyle w:val="16"/>
        <w:tabs>
          <w:tab w:val="left" w:pos="1890"/>
          <w:tab w:val="right" w:leader="dot" w:pos="8296"/>
          <w:tab w:val="clear" w:pos="8302"/>
        </w:tabs>
        <w:ind w:firstLine="210" w:firstLineChars="10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"_Toc351203612"</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18. 保险</w:t>
      </w:r>
      <w:r>
        <w:rPr>
          <w:rFonts w:ascii="Times New Roman" w:hAnsi="Times New Roman" w:eastAsia="仿宋_GB2312"/>
          <w:color w:val="auto"/>
          <w:sz w:val="21"/>
          <w:szCs w:val="21"/>
          <w:highlight w:val="none"/>
        </w:rPr>
        <w:tab/>
      </w:r>
      <w:r>
        <w:rPr>
          <w:rFonts w:ascii="Times New Roman" w:hAnsi="Times New Roman" w:eastAsia="仿宋_GB2312"/>
          <w:color w:val="auto"/>
          <w:sz w:val="21"/>
          <w:szCs w:val="21"/>
          <w:highlight w:val="none"/>
        </w:rPr>
        <w:fldChar w:fldCharType="begin"/>
      </w:r>
      <w:r>
        <w:rPr>
          <w:rFonts w:ascii="Times New Roman" w:hAnsi="Times New Roman" w:eastAsia="仿宋_GB2312"/>
          <w:color w:val="auto"/>
          <w:sz w:val="21"/>
          <w:szCs w:val="21"/>
          <w:highlight w:val="none"/>
        </w:rPr>
        <w:instrText xml:space="preserve"> PAGEREF _Toc351203612 \h </w:instrText>
      </w:r>
      <w:r>
        <w:rPr>
          <w:rFonts w:ascii="Times New Roman" w:hAnsi="Times New Roman" w:eastAsia="仿宋_GB2312"/>
          <w:color w:val="auto"/>
          <w:sz w:val="21"/>
          <w:szCs w:val="21"/>
          <w:highlight w:val="none"/>
        </w:rPr>
        <w:fldChar w:fldCharType="separate"/>
      </w:r>
      <w:r>
        <w:rPr>
          <w:rFonts w:ascii="Times New Roman" w:hAnsi="Times New Roman" w:eastAsia="仿宋_GB2312"/>
          <w:color w:val="auto"/>
          <w:sz w:val="21"/>
          <w:szCs w:val="21"/>
          <w:highlight w:val="none"/>
        </w:rPr>
        <w:t>49</w:t>
      </w:r>
      <w:r>
        <w:rPr>
          <w:rFonts w:ascii="Times New Roman" w:hAnsi="Times New Roman" w:eastAsia="仿宋_GB2312"/>
          <w:color w:val="auto"/>
          <w:sz w:val="21"/>
          <w:szCs w:val="21"/>
          <w:highlight w:val="none"/>
        </w:rPr>
        <w:fldChar w:fldCharType="end"/>
      </w:r>
      <w:r>
        <w:rPr>
          <w:rFonts w:ascii="Times New Roman" w:hAnsi="Times New Roman" w:eastAsia="仿宋_GB2312"/>
          <w:color w:val="auto"/>
          <w:sz w:val="21"/>
          <w:szCs w:val="21"/>
          <w:highlight w:val="none"/>
        </w:rPr>
        <w:fldChar w:fldCharType="end"/>
      </w:r>
    </w:p>
    <w:p w14:paraId="4C36BDCD">
      <w:pPr>
        <w:pStyle w:val="16"/>
        <w:tabs>
          <w:tab w:val="left" w:pos="1890"/>
          <w:tab w:val="right" w:leader="dot" w:pos="8296"/>
          <w:tab w:val="clear" w:pos="8302"/>
        </w:tabs>
        <w:ind w:firstLine="210" w:firstLineChars="10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"_Toc351203620"</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19. 索赔</w:t>
      </w:r>
      <w:r>
        <w:rPr>
          <w:rFonts w:ascii="Times New Roman" w:hAnsi="Times New Roman" w:eastAsia="仿宋_GB2312"/>
          <w:color w:val="auto"/>
          <w:sz w:val="21"/>
          <w:szCs w:val="21"/>
          <w:highlight w:val="none"/>
        </w:rPr>
        <w:tab/>
      </w:r>
      <w:r>
        <w:rPr>
          <w:rFonts w:ascii="Times New Roman" w:hAnsi="Times New Roman" w:eastAsia="仿宋_GB2312"/>
          <w:color w:val="auto"/>
          <w:sz w:val="21"/>
          <w:szCs w:val="21"/>
          <w:highlight w:val="none"/>
        </w:rPr>
        <w:fldChar w:fldCharType="begin"/>
      </w:r>
      <w:r>
        <w:rPr>
          <w:rFonts w:ascii="Times New Roman" w:hAnsi="Times New Roman" w:eastAsia="仿宋_GB2312"/>
          <w:color w:val="auto"/>
          <w:sz w:val="21"/>
          <w:szCs w:val="21"/>
          <w:highlight w:val="none"/>
        </w:rPr>
        <w:instrText xml:space="preserve"> PAGEREF _Toc351203620 \h </w:instrText>
      </w:r>
      <w:r>
        <w:rPr>
          <w:rFonts w:ascii="Times New Roman" w:hAnsi="Times New Roman" w:eastAsia="仿宋_GB2312"/>
          <w:color w:val="auto"/>
          <w:sz w:val="21"/>
          <w:szCs w:val="21"/>
          <w:highlight w:val="none"/>
        </w:rPr>
        <w:fldChar w:fldCharType="separate"/>
      </w:r>
      <w:r>
        <w:rPr>
          <w:rFonts w:ascii="Times New Roman" w:hAnsi="Times New Roman" w:eastAsia="仿宋_GB2312"/>
          <w:color w:val="auto"/>
          <w:sz w:val="21"/>
          <w:szCs w:val="21"/>
          <w:highlight w:val="none"/>
        </w:rPr>
        <w:t>50</w:t>
      </w:r>
      <w:r>
        <w:rPr>
          <w:rFonts w:ascii="Times New Roman" w:hAnsi="Times New Roman" w:eastAsia="仿宋_GB2312"/>
          <w:color w:val="auto"/>
          <w:sz w:val="21"/>
          <w:szCs w:val="21"/>
          <w:highlight w:val="none"/>
        </w:rPr>
        <w:fldChar w:fldCharType="end"/>
      </w:r>
      <w:r>
        <w:rPr>
          <w:rFonts w:ascii="Times New Roman" w:hAnsi="Times New Roman" w:eastAsia="仿宋_GB2312"/>
          <w:color w:val="auto"/>
          <w:sz w:val="21"/>
          <w:szCs w:val="21"/>
          <w:highlight w:val="none"/>
        </w:rPr>
        <w:fldChar w:fldCharType="end"/>
      </w:r>
    </w:p>
    <w:p w14:paraId="69E1C33F">
      <w:pPr>
        <w:pStyle w:val="16"/>
        <w:tabs>
          <w:tab w:val="left" w:pos="1890"/>
          <w:tab w:val="right" w:leader="dot" w:pos="8296"/>
          <w:tab w:val="clear" w:pos="8302"/>
        </w:tabs>
        <w:ind w:firstLine="210" w:firstLineChars="100"/>
        <w:rPr>
          <w:rStyle w:val="23"/>
          <w:rFonts w:hint="eastAsia" w:ascii="Times New Roman" w:hAnsi="Times New Roman" w:eastAsia="仿宋_GB2312"/>
          <w:b/>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"_Toc351203626"</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20. 争议解决</w:t>
      </w:r>
      <w:r>
        <w:rPr>
          <w:rFonts w:ascii="Times New Roman" w:hAnsi="Times New Roman" w:eastAsia="仿宋_GB2312"/>
          <w:color w:val="auto"/>
          <w:sz w:val="21"/>
          <w:szCs w:val="21"/>
          <w:highlight w:val="none"/>
        </w:rPr>
        <w:tab/>
      </w:r>
      <w:r>
        <w:rPr>
          <w:rFonts w:ascii="Times New Roman" w:hAnsi="Times New Roman" w:eastAsia="仿宋_GB2312"/>
          <w:color w:val="auto"/>
          <w:sz w:val="21"/>
          <w:szCs w:val="21"/>
          <w:highlight w:val="none"/>
        </w:rPr>
        <w:fldChar w:fldCharType="begin"/>
      </w:r>
      <w:r>
        <w:rPr>
          <w:rFonts w:ascii="Times New Roman" w:hAnsi="Times New Roman" w:eastAsia="仿宋_GB2312"/>
          <w:color w:val="auto"/>
          <w:sz w:val="21"/>
          <w:szCs w:val="21"/>
          <w:highlight w:val="none"/>
        </w:rPr>
        <w:instrText xml:space="preserve"> PAGEREF _Toc351203626 \h </w:instrText>
      </w:r>
      <w:r>
        <w:rPr>
          <w:rFonts w:ascii="Times New Roman" w:hAnsi="Times New Roman" w:eastAsia="仿宋_GB2312"/>
          <w:color w:val="auto"/>
          <w:sz w:val="21"/>
          <w:szCs w:val="21"/>
          <w:highlight w:val="none"/>
        </w:rPr>
        <w:fldChar w:fldCharType="separate"/>
      </w:r>
      <w:r>
        <w:rPr>
          <w:rFonts w:ascii="Times New Roman" w:hAnsi="Times New Roman" w:eastAsia="仿宋_GB2312"/>
          <w:color w:val="auto"/>
          <w:sz w:val="21"/>
          <w:szCs w:val="21"/>
          <w:highlight w:val="none"/>
        </w:rPr>
        <w:t>51</w:t>
      </w:r>
      <w:r>
        <w:rPr>
          <w:rFonts w:ascii="Times New Roman" w:hAnsi="Times New Roman" w:eastAsia="仿宋_GB2312"/>
          <w:color w:val="auto"/>
          <w:sz w:val="21"/>
          <w:szCs w:val="21"/>
          <w:highlight w:val="none"/>
        </w:rPr>
        <w:fldChar w:fldCharType="end"/>
      </w:r>
      <w:r>
        <w:rPr>
          <w:rFonts w:ascii="Times New Roman" w:hAnsi="Times New Roman" w:eastAsia="仿宋_GB2312"/>
          <w:color w:val="auto"/>
          <w:sz w:val="21"/>
          <w:szCs w:val="21"/>
          <w:highlight w:val="none"/>
        </w:rPr>
        <w:fldChar w:fldCharType="end"/>
      </w:r>
    </w:p>
    <w:p w14:paraId="047AFFA5">
      <w:pPr>
        <w:pStyle w:val="11"/>
        <w:tabs>
          <w:tab w:val="right" w:leader="dot" w:pos="8810"/>
        </w:tabs>
        <w:ind w:left="0" w:firstLine="210" w:firstLineChars="10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"_Toc351203632"</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b/>
          <w:color w:val="auto"/>
          <w:sz w:val="21"/>
          <w:szCs w:val="21"/>
          <w:highlight w:val="none"/>
        </w:rPr>
        <w:t>第三部分 专用合同条款</w:t>
      </w:r>
      <w:r>
        <w:rPr>
          <w:rFonts w:ascii="Times New Roman" w:hAnsi="Times New Roman" w:eastAsia="仿宋_GB2312"/>
          <w:color w:val="auto"/>
          <w:sz w:val="21"/>
          <w:szCs w:val="21"/>
          <w:highlight w:val="none"/>
        </w:rPr>
        <w:t>……………</w:t>
      </w:r>
      <w:r>
        <w:rPr>
          <w:rFonts w:hint="eastAsia" w:ascii="Times New Roman" w:hAnsi="Times New Roman" w:eastAsia="仿宋_GB2312"/>
          <w:color w:val="auto"/>
          <w:sz w:val="21"/>
          <w:szCs w:val="21"/>
          <w:highlight w:val="none"/>
        </w:rPr>
        <w:t>..</w:t>
      </w:r>
      <w:r>
        <w:rPr>
          <w:rFonts w:ascii="Times New Roman" w:hAnsi="Times New Roman" w:eastAsia="仿宋_GB2312"/>
          <w:color w:val="auto"/>
          <w:sz w:val="21"/>
          <w:szCs w:val="21"/>
          <w:highlight w:val="none"/>
        </w:rPr>
        <w:t>…………</w:t>
      </w:r>
      <w:r>
        <w:rPr>
          <w:rFonts w:hint="eastAsia" w:ascii="Times New Roman" w:hAnsi="Times New Roman" w:eastAsia="仿宋_GB2312"/>
          <w:color w:val="auto"/>
          <w:sz w:val="21"/>
          <w:szCs w:val="21"/>
          <w:highlight w:val="none"/>
        </w:rPr>
        <w:t>...</w:t>
      </w:r>
      <w:r>
        <w:rPr>
          <w:rFonts w:ascii="Times New Roman" w:hAnsi="Times New Roman" w:eastAsia="仿宋_GB2312"/>
          <w:color w:val="auto"/>
          <w:sz w:val="21"/>
          <w:szCs w:val="21"/>
          <w:highlight w:val="none"/>
        </w:rPr>
        <w:t>…</w:t>
      </w:r>
      <w:r>
        <w:rPr>
          <w:rFonts w:hint="eastAsia" w:ascii="Times New Roman" w:hAnsi="Times New Roman" w:eastAsia="仿宋_GB2312"/>
          <w:color w:val="auto"/>
          <w:sz w:val="21"/>
          <w:szCs w:val="21"/>
          <w:highlight w:val="none"/>
        </w:rPr>
        <w:t>.................</w:t>
      </w:r>
      <w:r>
        <w:rPr>
          <w:rFonts w:ascii="Times New Roman" w:hAnsi="Times New Roman" w:eastAsia="仿宋_GB2312"/>
          <w:color w:val="auto"/>
          <w:sz w:val="21"/>
          <w:szCs w:val="21"/>
          <w:highlight w:val="none"/>
        </w:rPr>
        <w:fldChar w:fldCharType="end"/>
      </w:r>
      <w:r>
        <w:rPr>
          <w:rFonts w:hint="eastAsia" w:ascii="Times New Roman" w:hAnsi="Times New Roman" w:eastAsia="仿宋_GB2312"/>
          <w:color w:val="auto"/>
          <w:sz w:val="21"/>
          <w:szCs w:val="21"/>
          <w:highlight w:val="none"/>
        </w:rPr>
        <w:t>104</w:t>
      </w:r>
    </w:p>
    <w:p w14:paraId="6D6BC3C2">
      <w:pPr>
        <w:pStyle w:val="16"/>
        <w:tabs>
          <w:tab w:val="left" w:pos="1890"/>
          <w:tab w:val="right" w:leader="dot" w:pos="8296"/>
          <w:tab w:val="clear" w:pos="8302"/>
        </w:tabs>
        <w:ind w:firstLine="210" w:firstLineChars="10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"_Toc351203633"</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1. 一般约定</w:t>
      </w:r>
      <w:r>
        <w:rPr>
          <w:rFonts w:ascii="Times New Roman" w:hAnsi="Times New Roman" w:eastAsia="仿宋_GB2312"/>
          <w:color w:val="auto"/>
          <w:sz w:val="21"/>
          <w:szCs w:val="21"/>
          <w:highlight w:val="none"/>
        </w:rPr>
        <w:tab/>
      </w:r>
      <w:r>
        <w:rPr>
          <w:rFonts w:hint="eastAsia" w:ascii="Times New Roman" w:hAnsi="Times New Roman" w:eastAsia="仿宋_GB2312"/>
          <w:color w:val="auto"/>
          <w:sz w:val="21"/>
          <w:szCs w:val="21"/>
          <w:highlight w:val="none"/>
        </w:rPr>
        <w:t>1</w:t>
      </w:r>
      <w:r>
        <w:rPr>
          <w:rFonts w:ascii="Times New Roman" w:hAnsi="Times New Roman" w:eastAsia="仿宋_GB2312"/>
          <w:color w:val="auto"/>
          <w:sz w:val="21"/>
          <w:szCs w:val="21"/>
          <w:highlight w:val="none"/>
        </w:rPr>
        <w:fldChar w:fldCharType="end"/>
      </w:r>
      <w:r>
        <w:rPr>
          <w:rFonts w:hint="eastAsia" w:ascii="Times New Roman" w:hAnsi="Times New Roman" w:eastAsia="仿宋_GB2312"/>
          <w:color w:val="auto"/>
          <w:sz w:val="21"/>
          <w:szCs w:val="21"/>
          <w:highlight w:val="none"/>
        </w:rPr>
        <w:t>04</w:t>
      </w:r>
    </w:p>
    <w:p w14:paraId="269862E2">
      <w:pPr>
        <w:pStyle w:val="16"/>
        <w:tabs>
          <w:tab w:val="left" w:pos="1890"/>
          <w:tab w:val="right" w:leader="dot" w:pos="8296"/>
          <w:tab w:val="clear" w:pos="8302"/>
        </w:tabs>
        <w:ind w:firstLine="210" w:firstLineChars="10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"_Toc351203634"</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2. 发包人</w:t>
      </w:r>
      <w:r>
        <w:rPr>
          <w:rFonts w:ascii="Times New Roman" w:hAnsi="Times New Roman" w:eastAsia="仿宋_GB2312"/>
          <w:color w:val="auto"/>
          <w:sz w:val="21"/>
          <w:szCs w:val="21"/>
          <w:highlight w:val="none"/>
        </w:rPr>
        <w:tab/>
      </w:r>
      <w:r>
        <w:rPr>
          <w:rFonts w:hint="eastAsia" w:ascii="Times New Roman" w:hAnsi="Times New Roman" w:eastAsia="仿宋_GB2312"/>
          <w:color w:val="auto"/>
          <w:sz w:val="21"/>
          <w:szCs w:val="21"/>
          <w:highlight w:val="none"/>
        </w:rPr>
        <w:t>1</w:t>
      </w:r>
      <w:r>
        <w:rPr>
          <w:rFonts w:ascii="Times New Roman" w:hAnsi="Times New Roman" w:eastAsia="仿宋_GB2312"/>
          <w:color w:val="auto"/>
          <w:sz w:val="21"/>
          <w:szCs w:val="21"/>
          <w:highlight w:val="none"/>
        </w:rPr>
        <w:fldChar w:fldCharType="end"/>
      </w:r>
      <w:r>
        <w:rPr>
          <w:rFonts w:hint="eastAsia" w:ascii="Times New Roman" w:hAnsi="Times New Roman" w:eastAsia="仿宋_GB2312"/>
          <w:color w:val="auto"/>
          <w:sz w:val="21"/>
          <w:szCs w:val="21"/>
          <w:highlight w:val="none"/>
        </w:rPr>
        <w:t>08</w:t>
      </w:r>
    </w:p>
    <w:p w14:paraId="4498EC2B">
      <w:pPr>
        <w:pStyle w:val="16"/>
        <w:tabs>
          <w:tab w:val="left" w:pos="1890"/>
          <w:tab w:val="right" w:leader="dot" w:pos="8296"/>
          <w:tab w:val="clear" w:pos="8302"/>
        </w:tabs>
        <w:ind w:firstLine="210" w:firstLineChars="10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"_Toc351203635"</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3. 承包人</w:t>
      </w:r>
      <w:r>
        <w:rPr>
          <w:rFonts w:ascii="Times New Roman" w:hAnsi="Times New Roman" w:eastAsia="仿宋_GB2312"/>
          <w:color w:val="auto"/>
          <w:sz w:val="21"/>
          <w:szCs w:val="21"/>
          <w:highlight w:val="none"/>
        </w:rPr>
        <w:tab/>
      </w:r>
      <w:r>
        <w:rPr>
          <w:rFonts w:hint="eastAsia" w:ascii="Times New Roman" w:hAnsi="Times New Roman" w:eastAsia="仿宋_GB2312"/>
          <w:color w:val="auto"/>
          <w:sz w:val="21"/>
          <w:szCs w:val="21"/>
          <w:highlight w:val="none"/>
        </w:rPr>
        <w:t>1</w:t>
      </w:r>
      <w:r>
        <w:rPr>
          <w:rFonts w:ascii="Times New Roman" w:hAnsi="Times New Roman" w:eastAsia="仿宋_GB2312"/>
          <w:color w:val="auto"/>
          <w:sz w:val="21"/>
          <w:szCs w:val="21"/>
          <w:highlight w:val="none"/>
        </w:rPr>
        <w:fldChar w:fldCharType="end"/>
      </w:r>
      <w:r>
        <w:rPr>
          <w:rFonts w:hint="eastAsia" w:ascii="Times New Roman" w:hAnsi="Times New Roman" w:eastAsia="仿宋_GB2312"/>
          <w:color w:val="auto"/>
          <w:sz w:val="21"/>
          <w:szCs w:val="21"/>
          <w:highlight w:val="none"/>
        </w:rPr>
        <w:t>09</w:t>
      </w:r>
    </w:p>
    <w:p w14:paraId="0F6DDD4F">
      <w:pPr>
        <w:pStyle w:val="16"/>
        <w:tabs>
          <w:tab w:val="left" w:pos="1890"/>
          <w:tab w:val="right" w:leader="dot" w:pos="8296"/>
          <w:tab w:val="clear" w:pos="8302"/>
        </w:tabs>
        <w:ind w:firstLine="210" w:firstLineChars="10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"_Toc351203636"</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4. 监理人</w:t>
      </w:r>
      <w:r>
        <w:rPr>
          <w:rFonts w:ascii="Times New Roman" w:hAnsi="Times New Roman" w:eastAsia="仿宋_GB2312"/>
          <w:color w:val="auto"/>
          <w:sz w:val="21"/>
          <w:szCs w:val="21"/>
          <w:highlight w:val="none"/>
        </w:rPr>
        <w:tab/>
      </w:r>
      <w:r>
        <w:rPr>
          <w:rFonts w:hint="eastAsia" w:ascii="Times New Roman" w:hAnsi="Times New Roman" w:eastAsia="仿宋_GB2312"/>
          <w:color w:val="auto"/>
          <w:sz w:val="21"/>
          <w:szCs w:val="21"/>
          <w:highlight w:val="none"/>
        </w:rPr>
        <w:t>1</w:t>
      </w:r>
      <w:r>
        <w:rPr>
          <w:rFonts w:ascii="Times New Roman" w:hAnsi="Times New Roman" w:eastAsia="仿宋_GB2312"/>
          <w:color w:val="auto"/>
          <w:sz w:val="21"/>
          <w:szCs w:val="21"/>
          <w:highlight w:val="none"/>
        </w:rPr>
        <w:fldChar w:fldCharType="end"/>
      </w:r>
      <w:r>
        <w:rPr>
          <w:rFonts w:hint="eastAsia" w:ascii="Times New Roman" w:hAnsi="Times New Roman" w:eastAsia="仿宋_GB2312"/>
          <w:color w:val="auto"/>
          <w:sz w:val="21"/>
          <w:szCs w:val="21"/>
          <w:highlight w:val="none"/>
        </w:rPr>
        <w:t>12</w:t>
      </w:r>
    </w:p>
    <w:p w14:paraId="224625AD">
      <w:pPr>
        <w:pStyle w:val="16"/>
        <w:tabs>
          <w:tab w:val="left" w:pos="1890"/>
          <w:tab w:val="right" w:leader="dot" w:pos="8296"/>
          <w:tab w:val="clear" w:pos="8302"/>
        </w:tabs>
        <w:ind w:firstLine="210" w:firstLineChars="10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"_Toc351203637"</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5. 工程质量</w:t>
      </w:r>
      <w:r>
        <w:rPr>
          <w:rFonts w:ascii="Times New Roman" w:hAnsi="Times New Roman" w:eastAsia="仿宋_GB2312"/>
          <w:color w:val="auto"/>
          <w:sz w:val="21"/>
          <w:szCs w:val="21"/>
          <w:highlight w:val="none"/>
        </w:rPr>
        <w:tab/>
      </w:r>
      <w:r>
        <w:rPr>
          <w:rFonts w:hint="eastAsia" w:ascii="Times New Roman" w:hAnsi="Times New Roman" w:eastAsia="仿宋_GB2312"/>
          <w:color w:val="auto"/>
          <w:sz w:val="21"/>
          <w:szCs w:val="21"/>
          <w:highlight w:val="none"/>
        </w:rPr>
        <w:t>1</w:t>
      </w:r>
      <w:r>
        <w:rPr>
          <w:rFonts w:ascii="Times New Roman" w:hAnsi="Times New Roman" w:eastAsia="仿宋_GB2312"/>
          <w:color w:val="auto"/>
          <w:sz w:val="21"/>
          <w:szCs w:val="21"/>
          <w:highlight w:val="none"/>
        </w:rPr>
        <w:fldChar w:fldCharType="end"/>
      </w:r>
      <w:r>
        <w:rPr>
          <w:rFonts w:hint="eastAsia" w:ascii="Times New Roman" w:hAnsi="Times New Roman" w:eastAsia="仿宋_GB2312"/>
          <w:color w:val="auto"/>
          <w:sz w:val="21"/>
          <w:szCs w:val="21"/>
          <w:highlight w:val="none"/>
        </w:rPr>
        <w:t>13</w:t>
      </w:r>
    </w:p>
    <w:p w14:paraId="30911348">
      <w:pPr>
        <w:pStyle w:val="16"/>
        <w:tabs>
          <w:tab w:val="left" w:pos="1890"/>
          <w:tab w:val="right" w:leader="dot" w:pos="8296"/>
          <w:tab w:val="clear" w:pos="8302"/>
        </w:tabs>
        <w:ind w:firstLine="210" w:firstLineChars="10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"_Toc351203638"</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6. 安全文明施工与环境保护</w:t>
      </w:r>
      <w:r>
        <w:rPr>
          <w:rFonts w:ascii="Times New Roman" w:hAnsi="Times New Roman" w:eastAsia="仿宋_GB2312"/>
          <w:color w:val="auto"/>
          <w:sz w:val="21"/>
          <w:szCs w:val="21"/>
          <w:highlight w:val="none"/>
        </w:rPr>
        <w:tab/>
      </w:r>
      <w:r>
        <w:rPr>
          <w:rFonts w:hint="eastAsia" w:ascii="Times New Roman" w:hAnsi="Times New Roman" w:eastAsia="仿宋_GB2312"/>
          <w:color w:val="auto"/>
          <w:sz w:val="21"/>
          <w:szCs w:val="21"/>
          <w:highlight w:val="none"/>
        </w:rPr>
        <w:t>1</w:t>
      </w:r>
      <w:r>
        <w:rPr>
          <w:rFonts w:ascii="Times New Roman" w:hAnsi="Times New Roman" w:eastAsia="仿宋_GB2312"/>
          <w:color w:val="auto"/>
          <w:sz w:val="21"/>
          <w:szCs w:val="21"/>
          <w:highlight w:val="none"/>
        </w:rPr>
        <w:fldChar w:fldCharType="end"/>
      </w:r>
      <w:r>
        <w:rPr>
          <w:rFonts w:hint="eastAsia" w:ascii="Times New Roman" w:hAnsi="Times New Roman" w:eastAsia="仿宋_GB2312"/>
          <w:color w:val="auto"/>
          <w:sz w:val="21"/>
          <w:szCs w:val="21"/>
          <w:highlight w:val="none"/>
        </w:rPr>
        <w:t>14</w:t>
      </w:r>
    </w:p>
    <w:p w14:paraId="6BC8C283">
      <w:pPr>
        <w:pStyle w:val="16"/>
        <w:tabs>
          <w:tab w:val="left" w:pos="1890"/>
          <w:tab w:val="right" w:leader="dot" w:pos="8296"/>
          <w:tab w:val="clear" w:pos="8302"/>
        </w:tabs>
        <w:ind w:firstLine="210" w:firstLineChars="10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"_Toc351203639"</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7. 工期和进度</w:t>
      </w:r>
      <w:r>
        <w:rPr>
          <w:rFonts w:ascii="Times New Roman" w:hAnsi="Times New Roman" w:eastAsia="仿宋_GB2312"/>
          <w:color w:val="auto"/>
          <w:sz w:val="21"/>
          <w:szCs w:val="21"/>
          <w:highlight w:val="none"/>
        </w:rPr>
        <w:tab/>
      </w:r>
      <w:r>
        <w:rPr>
          <w:rFonts w:hint="eastAsia" w:ascii="Times New Roman" w:hAnsi="Times New Roman" w:eastAsia="仿宋_GB2312"/>
          <w:color w:val="auto"/>
          <w:sz w:val="21"/>
          <w:szCs w:val="21"/>
          <w:highlight w:val="none"/>
        </w:rPr>
        <w:t>1</w:t>
      </w:r>
      <w:r>
        <w:rPr>
          <w:rFonts w:ascii="Times New Roman" w:hAnsi="Times New Roman" w:eastAsia="仿宋_GB2312"/>
          <w:color w:val="auto"/>
          <w:sz w:val="21"/>
          <w:szCs w:val="21"/>
          <w:highlight w:val="none"/>
        </w:rPr>
        <w:fldChar w:fldCharType="end"/>
      </w:r>
      <w:r>
        <w:rPr>
          <w:rFonts w:hint="eastAsia" w:ascii="Times New Roman" w:hAnsi="Times New Roman" w:eastAsia="仿宋_GB2312"/>
          <w:color w:val="auto"/>
          <w:sz w:val="21"/>
          <w:szCs w:val="21"/>
          <w:highlight w:val="none"/>
        </w:rPr>
        <w:t>14</w:t>
      </w:r>
    </w:p>
    <w:p w14:paraId="73E69DBB">
      <w:pPr>
        <w:pStyle w:val="16"/>
        <w:tabs>
          <w:tab w:val="left" w:pos="1890"/>
          <w:tab w:val="right" w:leader="dot" w:pos="8296"/>
          <w:tab w:val="clear" w:pos="8302"/>
        </w:tabs>
        <w:ind w:firstLine="210" w:firstLineChars="10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"_Toc351203640"</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8. 材料与设备</w:t>
      </w:r>
      <w:r>
        <w:rPr>
          <w:rFonts w:ascii="Times New Roman" w:hAnsi="Times New Roman" w:eastAsia="仿宋_GB2312"/>
          <w:color w:val="auto"/>
          <w:sz w:val="21"/>
          <w:szCs w:val="21"/>
          <w:highlight w:val="none"/>
        </w:rPr>
        <w:tab/>
      </w:r>
      <w:r>
        <w:rPr>
          <w:rFonts w:hint="eastAsia" w:ascii="Times New Roman" w:hAnsi="Times New Roman" w:eastAsia="仿宋_GB2312"/>
          <w:color w:val="auto"/>
          <w:sz w:val="21"/>
          <w:szCs w:val="21"/>
          <w:highlight w:val="none"/>
        </w:rPr>
        <w:t>1</w:t>
      </w:r>
      <w:r>
        <w:rPr>
          <w:rFonts w:ascii="Times New Roman" w:hAnsi="Times New Roman" w:eastAsia="仿宋_GB2312"/>
          <w:color w:val="auto"/>
          <w:sz w:val="21"/>
          <w:szCs w:val="21"/>
          <w:highlight w:val="none"/>
        </w:rPr>
        <w:fldChar w:fldCharType="end"/>
      </w:r>
      <w:r>
        <w:rPr>
          <w:rFonts w:hint="eastAsia" w:ascii="Times New Roman" w:hAnsi="Times New Roman" w:eastAsia="仿宋_GB2312"/>
          <w:color w:val="auto"/>
          <w:sz w:val="21"/>
          <w:szCs w:val="21"/>
          <w:highlight w:val="none"/>
        </w:rPr>
        <w:t>16</w:t>
      </w:r>
    </w:p>
    <w:p w14:paraId="3602B8B3">
      <w:pPr>
        <w:pStyle w:val="16"/>
        <w:tabs>
          <w:tab w:val="left" w:pos="1890"/>
          <w:tab w:val="right" w:leader="dot" w:pos="8296"/>
          <w:tab w:val="clear" w:pos="8302"/>
        </w:tabs>
        <w:ind w:firstLine="210" w:firstLineChars="10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"_Toc351203641"</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9. 试验与检验</w:t>
      </w:r>
      <w:r>
        <w:rPr>
          <w:rFonts w:ascii="Times New Roman" w:hAnsi="Times New Roman" w:eastAsia="仿宋_GB2312"/>
          <w:color w:val="auto"/>
          <w:sz w:val="21"/>
          <w:szCs w:val="21"/>
          <w:highlight w:val="none"/>
        </w:rPr>
        <w:tab/>
      </w:r>
      <w:r>
        <w:rPr>
          <w:rFonts w:hint="eastAsia" w:ascii="Times New Roman" w:hAnsi="Times New Roman" w:eastAsia="仿宋_GB2312"/>
          <w:color w:val="auto"/>
          <w:sz w:val="21"/>
          <w:szCs w:val="21"/>
          <w:highlight w:val="none"/>
        </w:rPr>
        <w:t>1</w:t>
      </w:r>
      <w:r>
        <w:rPr>
          <w:rFonts w:ascii="Times New Roman" w:hAnsi="Times New Roman" w:eastAsia="仿宋_GB2312"/>
          <w:color w:val="auto"/>
          <w:sz w:val="21"/>
          <w:szCs w:val="21"/>
          <w:highlight w:val="none"/>
        </w:rPr>
        <w:fldChar w:fldCharType="end"/>
      </w:r>
      <w:r>
        <w:rPr>
          <w:rFonts w:hint="eastAsia" w:ascii="Times New Roman" w:hAnsi="Times New Roman" w:eastAsia="仿宋_GB2312"/>
          <w:color w:val="auto"/>
          <w:sz w:val="21"/>
          <w:szCs w:val="21"/>
          <w:highlight w:val="none"/>
        </w:rPr>
        <w:t>17</w:t>
      </w:r>
    </w:p>
    <w:p w14:paraId="319231B5">
      <w:pPr>
        <w:pStyle w:val="16"/>
        <w:tabs>
          <w:tab w:val="left" w:pos="1890"/>
          <w:tab w:val="right" w:leader="dot" w:pos="8296"/>
          <w:tab w:val="clear" w:pos="8302"/>
        </w:tabs>
        <w:ind w:firstLine="210" w:firstLineChars="10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"_Toc351203642"</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10. 变更</w:t>
      </w:r>
      <w:bookmarkStart w:id="729" w:name="_Hlt39070982"/>
      <w:bookmarkStart w:id="730" w:name="_Hlt39070983"/>
      <w:r>
        <w:rPr>
          <w:rFonts w:ascii="Times New Roman" w:hAnsi="Times New Roman" w:eastAsia="仿宋_GB2312"/>
          <w:color w:val="auto"/>
          <w:sz w:val="21"/>
          <w:szCs w:val="21"/>
          <w:highlight w:val="none"/>
        </w:rPr>
        <w:tab/>
      </w:r>
      <w:bookmarkEnd w:id="729"/>
      <w:bookmarkEnd w:id="730"/>
      <w:r>
        <w:rPr>
          <w:rFonts w:hint="eastAsia" w:ascii="Times New Roman" w:hAnsi="Times New Roman" w:eastAsia="仿宋_GB2312"/>
          <w:color w:val="auto"/>
          <w:sz w:val="21"/>
          <w:szCs w:val="21"/>
          <w:highlight w:val="none"/>
        </w:rPr>
        <w:t>1</w:t>
      </w:r>
      <w:r>
        <w:rPr>
          <w:rFonts w:ascii="Times New Roman" w:hAnsi="Times New Roman" w:eastAsia="仿宋_GB2312"/>
          <w:color w:val="auto"/>
          <w:sz w:val="21"/>
          <w:szCs w:val="21"/>
          <w:highlight w:val="none"/>
        </w:rPr>
        <w:fldChar w:fldCharType="end"/>
      </w:r>
      <w:r>
        <w:rPr>
          <w:rFonts w:hint="eastAsia" w:ascii="Times New Roman" w:hAnsi="Times New Roman" w:eastAsia="仿宋_GB2312"/>
          <w:color w:val="auto"/>
          <w:sz w:val="21"/>
          <w:szCs w:val="21"/>
          <w:highlight w:val="none"/>
        </w:rPr>
        <w:t>18</w:t>
      </w:r>
    </w:p>
    <w:p w14:paraId="70C8B2D2">
      <w:pPr>
        <w:pStyle w:val="16"/>
        <w:tabs>
          <w:tab w:val="left" w:pos="1890"/>
          <w:tab w:val="right" w:leader="dot" w:pos="8296"/>
          <w:tab w:val="clear" w:pos="8302"/>
        </w:tabs>
        <w:ind w:firstLine="210" w:firstLineChars="10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"_Toc351203643"</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11. 价格调整</w:t>
      </w:r>
      <w:r>
        <w:rPr>
          <w:rFonts w:ascii="Times New Roman" w:hAnsi="Times New Roman" w:eastAsia="仿宋_GB2312"/>
          <w:color w:val="auto"/>
          <w:sz w:val="21"/>
          <w:szCs w:val="21"/>
          <w:highlight w:val="none"/>
        </w:rPr>
        <w:tab/>
      </w:r>
      <w:r>
        <w:rPr>
          <w:rFonts w:hint="eastAsia" w:ascii="Times New Roman" w:hAnsi="Times New Roman" w:eastAsia="仿宋_GB2312"/>
          <w:color w:val="auto"/>
          <w:sz w:val="21"/>
          <w:szCs w:val="21"/>
          <w:highlight w:val="none"/>
        </w:rPr>
        <w:t>1</w:t>
      </w:r>
      <w:r>
        <w:rPr>
          <w:rFonts w:ascii="Times New Roman" w:hAnsi="Times New Roman" w:eastAsia="仿宋_GB2312"/>
          <w:color w:val="auto"/>
          <w:sz w:val="21"/>
          <w:szCs w:val="21"/>
          <w:highlight w:val="none"/>
        </w:rPr>
        <w:fldChar w:fldCharType="end"/>
      </w:r>
      <w:r>
        <w:rPr>
          <w:rFonts w:hint="eastAsia" w:ascii="Times New Roman" w:hAnsi="Times New Roman" w:eastAsia="仿宋_GB2312"/>
          <w:color w:val="auto"/>
          <w:sz w:val="21"/>
          <w:szCs w:val="21"/>
          <w:highlight w:val="none"/>
        </w:rPr>
        <w:t>19</w:t>
      </w:r>
    </w:p>
    <w:p w14:paraId="09FBC069">
      <w:pPr>
        <w:pStyle w:val="16"/>
        <w:tabs>
          <w:tab w:val="left" w:pos="1890"/>
          <w:tab w:val="right" w:leader="dot" w:pos="8296"/>
          <w:tab w:val="clear" w:pos="8302"/>
        </w:tabs>
        <w:ind w:firstLine="210" w:firstLineChars="10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"_Toc351203644"</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12. 合同价格、计量与支付</w:t>
      </w:r>
      <w:r>
        <w:rPr>
          <w:rFonts w:ascii="Times New Roman" w:hAnsi="Times New Roman" w:eastAsia="仿宋_GB2312"/>
          <w:color w:val="auto"/>
          <w:sz w:val="21"/>
          <w:szCs w:val="21"/>
          <w:highlight w:val="none"/>
        </w:rPr>
        <w:tab/>
      </w:r>
      <w:r>
        <w:rPr>
          <w:rFonts w:hint="eastAsia" w:ascii="Times New Roman" w:hAnsi="Times New Roman" w:eastAsia="仿宋_GB2312"/>
          <w:color w:val="auto"/>
          <w:sz w:val="21"/>
          <w:szCs w:val="21"/>
          <w:highlight w:val="none"/>
        </w:rPr>
        <w:t>1</w:t>
      </w:r>
      <w:r>
        <w:rPr>
          <w:rFonts w:ascii="Times New Roman" w:hAnsi="Times New Roman" w:eastAsia="仿宋_GB2312"/>
          <w:color w:val="auto"/>
          <w:sz w:val="21"/>
          <w:szCs w:val="21"/>
          <w:highlight w:val="none"/>
        </w:rPr>
        <w:fldChar w:fldCharType="end"/>
      </w:r>
      <w:r>
        <w:rPr>
          <w:rFonts w:hint="eastAsia" w:ascii="Times New Roman" w:hAnsi="Times New Roman" w:eastAsia="仿宋_GB2312"/>
          <w:color w:val="auto"/>
          <w:sz w:val="21"/>
          <w:szCs w:val="21"/>
          <w:highlight w:val="none"/>
        </w:rPr>
        <w:t>20</w:t>
      </w:r>
    </w:p>
    <w:p w14:paraId="10D8A43B">
      <w:pPr>
        <w:pStyle w:val="16"/>
        <w:tabs>
          <w:tab w:val="left" w:pos="1890"/>
          <w:tab w:val="right" w:leader="dot" w:pos="8296"/>
          <w:tab w:val="clear" w:pos="8302"/>
        </w:tabs>
        <w:ind w:firstLine="210" w:firstLineChars="10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"_Toc351203645"</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13.</w:t>
      </w:r>
      <w:r>
        <w:rPr>
          <w:rStyle w:val="23"/>
          <w:rFonts w:hint="eastAsia" w:ascii="Times New Roman" w:hAnsi="Times New Roman" w:eastAsia="仿宋_GB2312"/>
          <w:color w:val="auto"/>
          <w:sz w:val="21"/>
          <w:szCs w:val="21"/>
          <w:highlight w:val="none"/>
        </w:rPr>
        <w:t xml:space="preserve"> </w:t>
      </w:r>
      <w:r>
        <w:rPr>
          <w:rStyle w:val="23"/>
          <w:rFonts w:ascii="Times New Roman" w:hAnsi="Times New Roman" w:eastAsia="仿宋_GB2312"/>
          <w:color w:val="auto"/>
          <w:sz w:val="21"/>
          <w:szCs w:val="21"/>
          <w:highlight w:val="none"/>
        </w:rPr>
        <w:t>验收和工程试车</w:t>
      </w:r>
      <w:r>
        <w:rPr>
          <w:rFonts w:ascii="Times New Roman" w:hAnsi="Times New Roman" w:eastAsia="仿宋_GB2312"/>
          <w:color w:val="auto"/>
          <w:sz w:val="21"/>
          <w:szCs w:val="21"/>
          <w:highlight w:val="none"/>
        </w:rPr>
        <w:tab/>
      </w:r>
      <w:r>
        <w:rPr>
          <w:rFonts w:hint="eastAsia" w:ascii="Times New Roman" w:hAnsi="Times New Roman" w:eastAsia="仿宋_GB2312"/>
          <w:color w:val="auto"/>
          <w:sz w:val="21"/>
          <w:szCs w:val="21"/>
          <w:highlight w:val="none"/>
        </w:rPr>
        <w:t>1</w:t>
      </w:r>
      <w:r>
        <w:rPr>
          <w:rFonts w:ascii="Times New Roman" w:hAnsi="Times New Roman" w:eastAsia="仿宋_GB2312"/>
          <w:color w:val="auto"/>
          <w:sz w:val="21"/>
          <w:szCs w:val="21"/>
          <w:highlight w:val="none"/>
        </w:rPr>
        <w:fldChar w:fldCharType="end"/>
      </w:r>
      <w:r>
        <w:rPr>
          <w:rFonts w:hint="eastAsia" w:ascii="Times New Roman" w:hAnsi="Times New Roman" w:eastAsia="仿宋_GB2312"/>
          <w:color w:val="auto"/>
          <w:sz w:val="21"/>
          <w:szCs w:val="21"/>
          <w:highlight w:val="none"/>
        </w:rPr>
        <w:t>23</w:t>
      </w:r>
    </w:p>
    <w:p w14:paraId="4D2135B5">
      <w:pPr>
        <w:pStyle w:val="16"/>
        <w:tabs>
          <w:tab w:val="left" w:pos="1890"/>
          <w:tab w:val="right" w:leader="dot" w:pos="8296"/>
          <w:tab w:val="clear" w:pos="8302"/>
        </w:tabs>
        <w:ind w:firstLine="210" w:firstLineChars="10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"_Toc351203646"</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14. 竣工结算</w:t>
      </w:r>
      <w:r>
        <w:rPr>
          <w:rFonts w:ascii="Times New Roman" w:hAnsi="Times New Roman" w:eastAsia="仿宋_GB2312"/>
          <w:color w:val="auto"/>
          <w:sz w:val="21"/>
          <w:szCs w:val="21"/>
          <w:highlight w:val="none"/>
        </w:rPr>
        <w:tab/>
      </w:r>
      <w:r>
        <w:rPr>
          <w:rFonts w:hint="eastAsia" w:ascii="Times New Roman" w:hAnsi="Times New Roman" w:eastAsia="仿宋_GB2312"/>
          <w:color w:val="auto"/>
          <w:sz w:val="21"/>
          <w:szCs w:val="21"/>
          <w:highlight w:val="none"/>
        </w:rPr>
        <w:t>1</w:t>
      </w:r>
      <w:r>
        <w:rPr>
          <w:rFonts w:ascii="Times New Roman" w:hAnsi="Times New Roman" w:eastAsia="仿宋_GB2312"/>
          <w:color w:val="auto"/>
          <w:sz w:val="21"/>
          <w:szCs w:val="21"/>
          <w:highlight w:val="none"/>
        </w:rPr>
        <w:fldChar w:fldCharType="end"/>
      </w:r>
      <w:r>
        <w:rPr>
          <w:rFonts w:hint="eastAsia" w:ascii="Times New Roman" w:hAnsi="Times New Roman" w:eastAsia="仿宋_GB2312"/>
          <w:color w:val="auto"/>
          <w:sz w:val="21"/>
          <w:szCs w:val="21"/>
          <w:highlight w:val="none"/>
        </w:rPr>
        <w:t>24</w:t>
      </w:r>
    </w:p>
    <w:p w14:paraId="74B8630D">
      <w:pPr>
        <w:pStyle w:val="16"/>
        <w:tabs>
          <w:tab w:val="left" w:pos="1890"/>
          <w:tab w:val="right" w:leader="dot" w:pos="8296"/>
          <w:tab w:val="clear" w:pos="8302"/>
        </w:tabs>
        <w:ind w:firstLine="210" w:firstLineChars="10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"_Toc351203647"</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15. 缺陷责任期与保修</w:t>
      </w:r>
      <w:r>
        <w:rPr>
          <w:rFonts w:ascii="Times New Roman" w:hAnsi="Times New Roman" w:eastAsia="仿宋_GB2312"/>
          <w:color w:val="auto"/>
          <w:sz w:val="21"/>
          <w:szCs w:val="21"/>
          <w:highlight w:val="none"/>
        </w:rPr>
        <w:tab/>
      </w:r>
      <w:r>
        <w:rPr>
          <w:rFonts w:hint="eastAsia" w:ascii="Times New Roman" w:hAnsi="Times New Roman" w:eastAsia="仿宋_GB2312"/>
          <w:color w:val="auto"/>
          <w:sz w:val="21"/>
          <w:szCs w:val="21"/>
          <w:highlight w:val="none"/>
        </w:rPr>
        <w:t>1</w:t>
      </w:r>
      <w:r>
        <w:rPr>
          <w:rFonts w:ascii="Times New Roman" w:hAnsi="Times New Roman" w:eastAsia="仿宋_GB2312"/>
          <w:color w:val="auto"/>
          <w:sz w:val="21"/>
          <w:szCs w:val="21"/>
          <w:highlight w:val="none"/>
        </w:rPr>
        <w:fldChar w:fldCharType="end"/>
      </w:r>
      <w:r>
        <w:rPr>
          <w:rFonts w:hint="eastAsia" w:ascii="Times New Roman" w:hAnsi="Times New Roman" w:eastAsia="仿宋_GB2312"/>
          <w:color w:val="auto"/>
          <w:sz w:val="21"/>
          <w:szCs w:val="21"/>
          <w:highlight w:val="none"/>
        </w:rPr>
        <w:t>25</w:t>
      </w:r>
    </w:p>
    <w:p w14:paraId="00F17376">
      <w:pPr>
        <w:pStyle w:val="16"/>
        <w:tabs>
          <w:tab w:val="left" w:pos="1890"/>
          <w:tab w:val="right" w:leader="dot" w:pos="8296"/>
          <w:tab w:val="clear" w:pos="8302"/>
        </w:tabs>
        <w:ind w:firstLine="210" w:firstLineChars="10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"_Toc351203648"</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16. 违约</w:t>
      </w:r>
      <w:r>
        <w:rPr>
          <w:rFonts w:ascii="Times New Roman" w:hAnsi="Times New Roman" w:eastAsia="仿宋_GB2312"/>
          <w:color w:val="auto"/>
          <w:sz w:val="21"/>
          <w:szCs w:val="21"/>
          <w:highlight w:val="none"/>
        </w:rPr>
        <w:tab/>
      </w:r>
      <w:r>
        <w:rPr>
          <w:rFonts w:hint="eastAsia" w:ascii="Times New Roman" w:hAnsi="Times New Roman" w:eastAsia="仿宋_GB2312"/>
          <w:color w:val="auto"/>
          <w:sz w:val="21"/>
          <w:szCs w:val="21"/>
          <w:highlight w:val="none"/>
        </w:rPr>
        <w:t>1</w:t>
      </w:r>
      <w:r>
        <w:rPr>
          <w:rFonts w:ascii="Times New Roman" w:hAnsi="Times New Roman" w:eastAsia="仿宋_GB2312"/>
          <w:color w:val="auto"/>
          <w:sz w:val="21"/>
          <w:szCs w:val="21"/>
          <w:highlight w:val="none"/>
        </w:rPr>
        <w:fldChar w:fldCharType="end"/>
      </w:r>
      <w:r>
        <w:rPr>
          <w:rFonts w:hint="eastAsia" w:ascii="Times New Roman" w:hAnsi="Times New Roman" w:eastAsia="仿宋_GB2312"/>
          <w:color w:val="auto"/>
          <w:sz w:val="21"/>
          <w:szCs w:val="21"/>
          <w:highlight w:val="none"/>
        </w:rPr>
        <w:t>26</w:t>
      </w:r>
    </w:p>
    <w:p w14:paraId="211CA922">
      <w:pPr>
        <w:pStyle w:val="16"/>
        <w:tabs>
          <w:tab w:val="left" w:pos="1890"/>
          <w:tab w:val="right" w:leader="dot" w:pos="8296"/>
          <w:tab w:val="clear" w:pos="8302"/>
        </w:tabs>
        <w:ind w:firstLine="210" w:firstLineChars="10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"_Toc351203649"</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17. 不可抗力</w:t>
      </w:r>
      <w:r>
        <w:rPr>
          <w:rFonts w:ascii="Times New Roman" w:hAnsi="Times New Roman" w:eastAsia="仿宋_GB2312"/>
          <w:color w:val="auto"/>
          <w:sz w:val="21"/>
          <w:szCs w:val="21"/>
          <w:highlight w:val="none"/>
        </w:rPr>
        <w:tab/>
      </w:r>
      <w:r>
        <w:rPr>
          <w:rFonts w:hint="eastAsia" w:ascii="Times New Roman" w:hAnsi="Times New Roman" w:eastAsia="仿宋_GB2312"/>
          <w:color w:val="auto"/>
          <w:sz w:val="21"/>
          <w:szCs w:val="21"/>
          <w:highlight w:val="none"/>
        </w:rPr>
        <w:t>1</w:t>
      </w:r>
      <w:r>
        <w:rPr>
          <w:rFonts w:ascii="Times New Roman" w:hAnsi="Times New Roman" w:eastAsia="仿宋_GB2312"/>
          <w:color w:val="auto"/>
          <w:sz w:val="21"/>
          <w:szCs w:val="21"/>
          <w:highlight w:val="none"/>
        </w:rPr>
        <w:fldChar w:fldCharType="end"/>
      </w:r>
      <w:r>
        <w:rPr>
          <w:rFonts w:hint="eastAsia" w:ascii="Times New Roman" w:hAnsi="Times New Roman" w:eastAsia="仿宋_GB2312"/>
          <w:color w:val="auto"/>
          <w:sz w:val="21"/>
          <w:szCs w:val="21"/>
          <w:highlight w:val="none"/>
        </w:rPr>
        <w:t>28</w:t>
      </w:r>
    </w:p>
    <w:p w14:paraId="35653843">
      <w:pPr>
        <w:pStyle w:val="16"/>
        <w:tabs>
          <w:tab w:val="left" w:pos="1890"/>
          <w:tab w:val="right" w:leader="dot" w:pos="8296"/>
          <w:tab w:val="clear" w:pos="8302"/>
        </w:tabs>
        <w:ind w:firstLine="210" w:firstLineChars="10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"_Toc351203650"</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18. 保险</w:t>
      </w:r>
      <w:r>
        <w:rPr>
          <w:rFonts w:ascii="Times New Roman" w:hAnsi="Times New Roman" w:eastAsia="仿宋_GB2312"/>
          <w:color w:val="auto"/>
          <w:sz w:val="21"/>
          <w:szCs w:val="21"/>
          <w:highlight w:val="none"/>
        </w:rPr>
        <w:tab/>
      </w:r>
      <w:r>
        <w:rPr>
          <w:rFonts w:hint="eastAsia" w:ascii="Times New Roman" w:hAnsi="Times New Roman" w:eastAsia="仿宋_GB2312"/>
          <w:color w:val="auto"/>
          <w:sz w:val="21"/>
          <w:szCs w:val="21"/>
          <w:highlight w:val="none"/>
        </w:rPr>
        <w:t>1</w:t>
      </w:r>
      <w:r>
        <w:rPr>
          <w:rFonts w:ascii="Times New Roman" w:hAnsi="Times New Roman" w:eastAsia="仿宋_GB2312"/>
          <w:color w:val="auto"/>
          <w:sz w:val="21"/>
          <w:szCs w:val="21"/>
          <w:highlight w:val="none"/>
        </w:rPr>
        <w:fldChar w:fldCharType="end"/>
      </w:r>
      <w:r>
        <w:rPr>
          <w:rFonts w:hint="eastAsia" w:ascii="Times New Roman" w:hAnsi="Times New Roman" w:eastAsia="仿宋_GB2312"/>
          <w:color w:val="auto"/>
          <w:sz w:val="21"/>
          <w:szCs w:val="21"/>
          <w:highlight w:val="none"/>
        </w:rPr>
        <w:t>29</w:t>
      </w:r>
    </w:p>
    <w:p w14:paraId="0B691214">
      <w:pPr>
        <w:pStyle w:val="16"/>
        <w:tabs>
          <w:tab w:val="left" w:pos="1890"/>
          <w:tab w:val="right" w:leader="dot" w:pos="8296"/>
          <w:tab w:val="clear" w:pos="8302"/>
        </w:tabs>
        <w:ind w:firstLine="210" w:firstLineChars="100"/>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"_Toc351203651"</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20. 争议解决</w:t>
      </w:r>
      <w:r>
        <w:rPr>
          <w:rFonts w:ascii="Times New Roman" w:hAnsi="Times New Roman" w:eastAsia="仿宋_GB2312"/>
          <w:color w:val="auto"/>
          <w:sz w:val="21"/>
          <w:szCs w:val="21"/>
          <w:highlight w:val="none"/>
        </w:rPr>
        <w:tab/>
      </w:r>
      <w:r>
        <w:rPr>
          <w:rFonts w:hint="eastAsia" w:ascii="Times New Roman" w:hAnsi="Times New Roman" w:eastAsia="仿宋_GB2312"/>
          <w:color w:val="auto"/>
          <w:sz w:val="21"/>
          <w:szCs w:val="21"/>
          <w:highlight w:val="none"/>
        </w:rPr>
        <w:t>1</w:t>
      </w:r>
      <w:r>
        <w:rPr>
          <w:rFonts w:ascii="Times New Roman" w:hAnsi="Times New Roman" w:eastAsia="仿宋_GB2312"/>
          <w:color w:val="auto"/>
          <w:sz w:val="21"/>
          <w:szCs w:val="21"/>
          <w:highlight w:val="none"/>
        </w:rPr>
        <w:fldChar w:fldCharType="end"/>
      </w:r>
      <w:r>
        <w:rPr>
          <w:rFonts w:hint="eastAsia" w:ascii="Times New Roman" w:hAnsi="Times New Roman" w:eastAsia="仿宋_GB2312"/>
          <w:color w:val="auto"/>
          <w:sz w:val="21"/>
          <w:szCs w:val="21"/>
          <w:highlight w:val="none"/>
        </w:rPr>
        <w:t>29</w:t>
      </w:r>
    </w:p>
    <w:p w14:paraId="536CE47D">
      <w:pPr>
        <w:pStyle w:val="16"/>
        <w:tabs>
          <w:tab w:val="left" w:pos="1890"/>
        </w:tabs>
        <w:ind w:firstLine="210" w:firstLineChars="100"/>
        <w:rPr>
          <w:rFonts w:eastAsia="仿宋_GB2312"/>
          <w:color w:val="auto"/>
          <w:sz w:val="21"/>
          <w:szCs w:val="21"/>
          <w:highlight w:val="none"/>
        </w:rPr>
      </w:pPr>
      <w:r>
        <w:rPr>
          <w:rFonts w:ascii="Times New Roman" w:hAnsi="Times New Roman" w:eastAsia="仿宋_GB2312"/>
          <w:color w:val="auto"/>
          <w:sz w:val="21"/>
          <w:szCs w:val="21"/>
          <w:highlight w:val="none"/>
        </w:rPr>
        <w:fldChar w:fldCharType="begin"/>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instrText xml:space="preserve">HYPERLINK \l "_Toc351203652"</w:instrText>
      </w:r>
      <w:r>
        <w:rPr>
          <w:rStyle w:val="23"/>
          <w:rFonts w:ascii="Times New Roman" w:hAnsi="Times New Roman" w:eastAsia="仿宋_GB2312"/>
          <w:color w:val="auto"/>
          <w:sz w:val="21"/>
          <w:szCs w:val="21"/>
          <w:highlight w:val="none"/>
        </w:rPr>
        <w:instrText xml:space="preserve"> </w:instrText>
      </w:r>
      <w:r>
        <w:rPr>
          <w:rFonts w:ascii="Times New Roman" w:hAnsi="Times New Roman" w:eastAsia="仿宋_GB2312"/>
          <w:color w:val="auto"/>
          <w:sz w:val="21"/>
          <w:szCs w:val="21"/>
          <w:highlight w:val="none"/>
        </w:rPr>
        <w:fldChar w:fldCharType="separate"/>
      </w:r>
      <w:r>
        <w:rPr>
          <w:rStyle w:val="23"/>
          <w:rFonts w:ascii="Times New Roman" w:hAnsi="Times New Roman" w:eastAsia="仿宋_GB2312"/>
          <w:color w:val="auto"/>
          <w:sz w:val="21"/>
          <w:szCs w:val="21"/>
          <w:highlight w:val="none"/>
        </w:rPr>
        <w:t>附件</w:t>
      </w:r>
      <w:r>
        <w:rPr>
          <w:rFonts w:hint="eastAsia" w:ascii="Times New Roman" w:hAnsi="Times New Roman" w:eastAsia="仿宋_GB2312"/>
          <w:color w:val="auto"/>
          <w:sz w:val="21"/>
          <w:szCs w:val="21"/>
          <w:highlight w:val="none"/>
        </w:rPr>
        <w:t>...........................................................................................1</w:t>
      </w:r>
      <w:r>
        <w:rPr>
          <w:rFonts w:ascii="Times New Roman" w:hAnsi="Times New Roman" w:eastAsia="仿宋_GB2312"/>
          <w:color w:val="auto"/>
          <w:sz w:val="21"/>
          <w:szCs w:val="21"/>
          <w:highlight w:val="none"/>
        </w:rPr>
        <w:fldChar w:fldCharType="end"/>
      </w:r>
      <w:r>
        <w:rPr>
          <w:rFonts w:hint="eastAsia" w:ascii="Times New Roman" w:hAnsi="Times New Roman" w:eastAsia="仿宋_GB2312"/>
          <w:color w:val="auto"/>
          <w:sz w:val="21"/>
          <w:szCs w:val="21"/>
          <w:highlight w:val="none"/>
        </w:rPr>
        <w:t>31</w:t>
      </w:r>
      <w:r>
        <w:rPr>
          <w:rFonts w:eastAsia="仿宋_GB2312"/>
          <w:color w:val="auto"/>
          <w:sz w:val="21"/>
          <w:szCs w:val="21"/>
          <w:highlight w:val="none"/>
        </w:rPr>
        <w:fldChar w:fldCharType="end"/>
      </w:r>
      <w:bookmarkStart w:id="731" w:name="_Toc351203480"/>
    </w:p>
    <w:p w14:paraId="2F1C72D7">
      <w:pPr>
        <w:rPr>
          <w:rFonts w:eastAsia="仿宋_GB2312"/>
          <w:color w:val="auto"/>
          <w:sz w:val="21"/>
          <w:szCs w:val="21"/>
          <w:highlight w:val="none"/>
        </w:rPr>
      </w:pPr>
    </w:p>
    <w:p w14:paraId="0DF3FA5B">
      <w:pPr>
        <w:rPr>
          <w:rFonts w:eastAsia="仿宋_GB2312"/>
          <w:color w:val="auto"/>
          <w:sz w:val="21"/>
          <w:szCs w:val="21"/>
          <w:highlight w:val="none"/>
        </w:rPr>
        <w:sectPr>
          <w:footerReference r:id="rId18" w:type="first"/>
          <w:pgSz w:w="11906" w:h="16838"/>
          <w:pgMar w:top="1418" w:right="1555" w:bottom="1418" w:left="1531" w:header="851" w:footer="992" w:gutter="0"/>
          <w:pgNumType w:start="1"/>
          <w:cols w:space="720" w:num="1"/>
          <w:titlePg/>
          <w:docGrid w:type="lines" w:linePitch="312" w:charSpace="0"/>
        </w:sectPr>
      </w:pPr>
    </w:p>
    <w:bookmarkEnd w:id="720"/>
    <w:bookmarkEnd w:id="721"/>
    <w:bookmarkEnd w:id="731"/>
    <w:p w14:paraId="2F86EFDD">
      <w:pPr>
        <w:pStyle w:val="4"/>
        <w:jc w:val="center"/>
        <w:outlineLvl w:val="2"/>
        <w:rPr>
          <w:rFonts w:ascii="Times New Roman" w:hAnsi="Times New Roman" w:eastAsia="华文中宋"/>
          <w:b w:val="0"/>
          <w:color w:val="auto"/>
          <w:sz w:val="44"/>
          <w:szCs w:val="44"/>
          <w:highlight w:val="none"/>
        </w:rPr>
      </w:pPr>
      <w:bookmarkStart w:id="732" w:name="_Toc26063"/>
      <w:bookmarkStart w:id="733" w:name="_Toc11526"/>
      <w:bookmarkStart w:id="734" w:name="_Toc17538"/>
      <w:bookmarkStart w:id="735" w:name="_Toc25244"/>
      <w:bookmarkStart w:id="736" w:name="_Toc351203494"/>
      <w:bookmarkStart w:id="737" w:name="_Toc14931"/>
      <w:r>
        <w:rPr>
          <w:rFonts w:ascii="华文中宋" w:hAnsi="华文中宋" w:eastAsia="华文中宋"/>
          <w:color w:val="auto"/>
          <w:sz w:val="44"/>
          <w:szCs w:val="44"/>
          <w:highlight w:val="none"/>
        </w:rPr>
        <w:t>第一部分 合同协议书</w:t>
      </w:r>
      <w:bookmarkEnd w:id="732"/>
      <w:bookmarkEnd w:id="733"/>
      <w:bookmarkEnd w:id="734"/>
    </w:p>
    <w:p w14:paraId="44A7E80A">
      <w:pPr>
        <w:pageBreakBefore w:val="0"/>
        <w:widowControl w:val="0"/>
        <w:kinsoku/>
        <w:wordWrap/>
        <w:overflowPunct/>
        <w:topLinePunct w:val="0"/>
        <w:bidi w:val="0"/>
        <w:adjustRightInd w:val="0"/>
        <w:snapToGrid w:val="0"/>
        <w:spacing w:line="360" w:lineRule="auto"/>
        <w:ind w:firstLine="422" w:firstLineChars="200"/>
        <w:textAlignment w:val="auto"/>
        <w:rPr>
          <w:rFonts w:hint="eastAsia" w:ascii="Times New Roman" w:hAnsi="Times New Roman" w:eastAsia="仿宋_GB2312"/>
          <w:b/>
          <w:color w:val="auto"/>
          <w:sz w:val="21"/>
          <w:szCs w:val="21"/>
          <w:highlight w:val="none"/>
          <w:u w:val="single"/>
          <w:lang w:eastAsia="zh-CN"/>
        </w:rPr>
      </w:pPr>
      <w:r>
        <w:rPr>
          <w:rFonts w:ascii="Times New Roman" w:hAnsi="Times New Roman" w:eastAsia="仿宋_GB2312"/>
          <w:b/>
          <w:color w:val="auto"/>
          <w:sz w:val="21"/>
          <w:szCs w:val="21"/>
          <w:highlight w:val="none"/>
        </w:rPr>
        <w:t>发包人（全称）：</w:t>
      </w:r>
      <w:r>
        <w:rPr>
          <w:rFonts w:hint="eastAsia" w:ascii="Times New Roman" w:hAnsi="Times New Roman" w:eastAsia="仿宋_GB2312" w:cs="Times New Roman"/>
          <w:b/>
          <w:color w:val="auto"/>
          <w:sz w:val="21"/>
          <w:szCs w:val="21"/>
          <w:highlight w:val="none"/>
          <w:u w:val="single"/>
          <w:lang w:eastAsia="zh-CN"/>
        </w:rPr>
        <w:t>国家税务总局盖州市税务局</w:t>
      </w:r>
    </w:p>
    <w:p w14:paraId="06C676E7">
      <w:pPr>
        <w:pageBreakBefore w:val="0"/>
        <w:widowControl w:val="0"/>
        <w:kinsoku/>
        <w:wordWrap/>
        <w:overflowPunct/>
        <w:topLinePunct w:val="0"/>
        <w:bidi w:val="0"/>
        <w:adjustRightInd w:val="0"/>
        <w:snapToGrid w:val="0"/>
        <w:spacing w:line="360" w:lineRule="auto"/>
        <w:ind w:firstLine="422" w:firstLineChars="200"/>
        <w:textAlignment w:val="auto"/>
        <w:rPr>
          <w:rFonts w:ascii="Times New Roman" w:hAnsi="Times New Roman" w:eastAsia="仿宋_GB2312"/>
          <w:b/>
          <w:color w:val="auto"/>
          <w:sz w:val="21"/>
          <w:szCs w:val="21"/>
          <w:highlight w:val="none"/>
          <w:u w:val="single"/>
        </w:rPr>
      </w:pPr>
      <w:r>
        <w:rPr>
          <w:rFonts w:ascii="Times New Roman" w:hAnsi="Times New Roman" w:eastAsia="仿宋_GB2312"/>
          <w:b/>
          <w:color w:val="auto"/>
          <w:sz w:val="21"/>
          <w:szCs w:val="21"/>
          <w:highlight w:val="none"/>
        </w:rPr>
        <w:t>承包人（全称）：</w:t>
      </w:r>
      <w:r>
        <w:rPr>
          <w:rFonts w:ascii="Times New Roman" w:hAnsi="Times New Roman" w:eastAsia="仿宋_GB2312"/>
          <w:b/>
          <w:color w:val="auto"/>
          <w:sz w:val="21"/>
          <w:szCs w:val="21"/>
          <w:highlight w:val="none"/>
          <w:u w:val="single"/>
        </w:rPr>
        <w:t xml:space="preserve">  </w:t>
      </w:r>
      <w:r>
        <w:rPr>
          <w:rFonts w:hint="eastAsia" w:ascii="Times New Roman" w:hAnsi="Times New Roman" w:eastAsia="仿宋_GB2312"/>
          <w:b/>
          <w:color w:val="auto"/>
          <w:sz w:val="21"/>
          <w:szCs w:val="21"/>
          <w:highlight w:val="none"/>
          <w:u w:val="single"/>
        </w:rPr>
        <w:t xml:space="preserve"> </w:t>
      </w:r>
      <w:r>
        <w:rPr>
          <w:rFonts w:ascii="Times New Roman" w:hAnsi="Times New Roman" w:eastAsia="仿宋_GB2312"/>
          <w:b/>
          <w:color w:val="auto"/>
          <w:sz w:val="21"/>
          <w:szCs w:val="21"/>
          <w:highlight w:val="none"/>
          <w:u w:val="single"/>
        </w:rPr>
        <w:t xml:space="preserve">       </w:t>
      </w:r>
      <w:r>
        <w:rPr>
          <w:rFonts w:hint="eastAsia" w:ascii="Times New Roman" w:hAnsi="Times New Roman" w:eastAsia="仿宋_GB2312"/>
          <w:b/>
          <w:color w:val="auto"/>
          <w:sz w:val="21"/>
          <w:szCs w:val="21"/>
          <w:highlight w:val="none"/>
          <w:u w:val="single"/>
        </w:rPr>
        <w:t xml:space="preserve"> </w:t>
      </w:r>
      <w:r>
        <w:rPr>
          <w:rFonts w:ascii="Times New Roman" w:hAnsi="Times New Roman" w:eastAsia="仿宋_GB2312"/>
          <w:b/>
          <w:color w:val="auto"/>
          <w:sz w:val="21"/>
          <w:szCs w:val="21"/>
          <w:highlight w:val="none"/>
          <w:u w:val="single"/>
        </w:rPr>
        <w:t xml:space="preserve">   </w:t>
      </w:r>
    </w:p>
    <w:p w14:paraId="30206B30">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根据《中华人民共和国</w:t>
      </w:r>
      <w:r>
        <w:rPr>
          <w:rFonts w:hint="eastAsia" w:ascii="Times New Roman" w:hAnsi="Times New Roman" w:eastAsia="仿宋_GB2312"/>
          <w:color w:val="auto"/>
          <w:sz w:val="21"/>
          <w:szCs w:val="21"/>
          <w:highlight w:val="none"/>
          <w:lang w:eastAsia="zh-CN"/>
        </w:rPr>
        <w:t>民法典</w:t>
      </w:r>
      <w:r>
        <w:rPr>
          <w:rFonts w:ascii="Times New Roman" w:hAnsi="Times New Roman" w:eastAsia="仿宋_GB2312"/>
          <w:color w:val="auto"/>
          <w:sz w:val="21"/>
          <w:szCs w:val="21"/>
          <w:highlight w:val="none"/>
        </w:rPr>
        <w:t>》、《中华人民共和国建筑法》及有关法律规定，遵循平等、自愿、公平和诚实信用的原则，双方就</w:t>
      </w:r>
      <w:r>
        <w:rPr>
          <w:rFonts w:hint="eastAsia" w:eastAsia="仿宋_GB2312"/>
          <w:color w:val="auto"/>
          <w:sz w:val="21"/>
          <w:szCs w:val="21"/>
          <w:highlight w:val="none"/>
          <w:u w:val="single"/>
          <w:lang w:eastAsia="zh-CN"/>
        </w:rPr>
        <w:t>国家税务总局盖州市税务局综合业务办公用房维修改造项目</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工程施工及有关事项协商一致</w:t>
      </w:r>
      <w:r>
        <w:rPr>
          <w:rFonts w:hint="eastAsia" w:ascii="Times New Roman" w:hAnsi="Times New Roman" w:eastAsia="仿宋_GB2312"/>
          <w:color w:val="auto"/>
          <w:sz w:val="21"/>
          <w:szCs w:val="21"/>
          <w:highlight w:val="none"/>
        </w:rPr>
        <w:t>，</w:t>
      </w:r>
      <w:r>
        <w:rPr>
          <w:rFonts w:ascii="Times New Roman" w:hAnsi="Times New Roman" w:eastAsia="仿宋_GB2312"/>
          <w:color w:val="auto"/>
          <w:sz w:val="21"/>
          <w:szCs w:val="21"/>
          <w:highlight w:val="none"/>
        </w:rPr>
        <w:t>共同达成如下协议：</w:t>
      </w:r>
    </w:p>
    <w:p w14:paraId="5DDDEB72">
      <w:pPr>
        <w:pStyle w:val="5"/>
        <w:pageBreakBefore w:val="0"/>
        <w:widowControl w:val="0"/>
        <w:kinsoku/>
        <w:wordWrap/>
        <w:overflowPunct/>
        <w:topLinePunct w:val="0"/>
        <w:bidi w:val="0"/>
        <w:adjustRightInd w:val="0"/>
        <w:snapToGrid w:val="0"/>
        <w:spacing w:before="0" w:after="0" w:line="360" w:lineRule="auto"/>
        <w:textAlignment w:val="auto"/>
        <w:outlineLvl w:val="3"/>
        <w:rPr>
          <w:rFonts w:eastAsia="黑体"/>
          <w:color w:val="auto"/>
          <w:sz w:val="21"/>
          <w:szCs w:val="21"/>
          <w:highlight w:val="none"/>
        </w:rPr>
      </w:pPr>
      <w:bookmarkStart w:id="738" w:name="_Toc2068"/>
      <w:bookmarkStart w:id="739" w:name="_Toc21811"/>
      <w:bookmarkStart w:id="740" w:name="_Toc351203481"/>
      <w:r>
        <w:rPr>
          <w:rFonts w:eastAsia="黑体"/>
          <w:b w:val="0"/>
          <w:color w:val="auto"/>
          <w:sz w:val="21"/>
          <w:szCs w:val="21"/>
          <w:highlight w:val="none"/>
        </w:rPr>
        <w:t>一、工程概况</w:t>
      </w:r>
      <w:bookmarkEnd w:id="738"/>
      <w:bookmarkEnd w:id="739"/>
      <w:bookmarkEnd w:id="740"/>
    </w:p>
    <w:p w14:paraId="59E3FFAF">
      <w:pPr>
        <w:pageBreakBefore w:val="0"/>
        <w:widowControl w:val="0"/>
        <w:kinsoku/>
        <w:wordWrap/>
        <w:overflowPunct/>
        <w:topLinePunct w:val="0"/>
        <w:bidi w:val="0"/>
        <w:adjustRightInd w:val="0"/>
        <w:snapToGrid w:val="0"/>
        <w:spacing w:line="360" w:lineRule="auto"/>
        <w:ind w:firstLine="411" w:firstLineChars="196"/>
        <w:textAlignment w:val="auto"/>
        <w:rPr>
          <w:rFonts w:ascii="Times New Roman" w:hAnsi="Times New Roman" w:eastAsia="仿宋_GB2312"/>
          <w:color w:val="auto"/>
          <w:sz w:val="21"/>
          <w:szCs w:val="21"/>
          <w:highlight w:val="none"/>
          <w:u w:val="single"/>
        </w:rPr>
      </w:pPr>
      <w:r>
        <w:rPr>
          <w:rFonts w:ascii="Times New Roman" w:hAnsi="Times New Roman" w:eastAsia="仿宋_GB2312"/>
          <w:bCs/>
          <w:color w:val="auto"/>
          <w:sz w:val="21"/>
          <w:szCs w:val="21"/>
          <w:highlight w:val="none"/>
        </w:rPr>
        <w:t>1.工程名称</w:t>
      </w:r>
      <w:r>
        <w:rPr>
          <w:rFonts w:ascii="Times New Roman" w:hAnsi="Times New Roman" w:eastAsia="仿宋_GB2312"/>
          <w:color w:val="auto"/>
          <w:sz w:val="21"/>
          <w:szCs w:val="21"/>
          <w:highlight w:val="none"/>
        </w:rPr>
        <w:t>：</w:t>
      </w:r>
      <w:r>
        <w:rPr>
          <w:rFonts w:hint="eastAsia" w:eastAsia="仿宋_GB2312"/>
          <w:color w:val="auto"/>
          <w:sz w:val="21"/>
          <w:szCs w:val="21"/>
          <w:highlight w:val="none"/>
          <w:u w:val="single"/>
          <w:lang w:eastAsia="zh-CN"/>
        </w:rPr>
        <w:t>国家税务总局盖州市税务局综合业务办公用房维修改造项目</w:t>
      </w:r>
      <w:r>
        <w:rPr>
          <w:rFonts w:ascii="Times New Roman" w:hAnsi="Times New Roman" w:eastAsia="仿宋_GB2312"/>
          <w:color w:val="auto"/>
          <w:sz w:val="21"/>
          <w:szCs w:val="21"/>
          <w:highlight w:val="none"/>
        </w:rPr>
        <w:t>。</w:t>
      </w:r>
    </w:p>
    <w:p w14:paraId="79AAE4FD">
      <w:pPr>
        <w:pageBreakBefore w:val="0"/>
        <w:widowControl w:val="0"/>
        <w:kinsoku/>
        <w:wordWrap/>
        <w:overflowPunct/>
        <w:topLinePunct w:val="0"/>
        <w:bidi w:val="0"/>
        <w:adjustRightInd w:val="0"/>
        <w:snapToGrid w:val="0"/>
        <w:spacing w:line="360" w:lineRule="auto"/>
        <w:ind w:firstLine="411" w:firstLineChars="196"/>
        <w:textAlignment w:val="auto"/>
        <w:rPr>
          <w:rFonts w:ascii="Times New Roman" w:hAnsi="Times New Roman" w:eastAsia="仿宋_GB2312"/>
          <w:bCs/>
          <w:color w:val="auto"/>
          <w:sz w:val="21"/>
          <w:szCs w:val="21"/>
          <w:highlight w:val="none"/>
        </w:rPr>
      </w:pPr>
      <w:r>
        <w:rPr>
          <w:rFonts w:ascii="Times New Roman" w:hAnsi="Times New Roman" w:eastAsia="仿宋_GB2312"/>
          <w:bCs/>
          <w:color w:val="auto"/>
          <w:sz w:val="21"/>
          <w:szCs w:val="21"/>
          <w:highlight w:val="none"/>
        </w:rPr>
        <w:t>2.工程地点：</w:t>
      </w:r>
      <w:r>
        <w:rPr>
          <w:rFonts w:hint="eastAsia" w:ascii="Times New Roman" w:hAnsi="Times New Roman" w:eastAsia="仿宋_GB2312"/>
          <w:bCs/>
          <w:color w:val="auto"/>
          <w:sz w:val="21"/>
          <w:szCs w:val="21"/>
          <w:highlight w:val="none"/>
          <w:u w:val="single"/>
        </w:rPr>
        <w:t>辽宁省</w:t>
      </w:r>
      <w:r>
        <w:rPr>
          <w:rFonts w:hint="eastAsia" w:eastAsia="仿宋_GB2312"/>
          <w:bCs/>
          <w:color w:val="auto"/>
          <w:sz w:val="21"/>
          <w:szCs w:val="21"/>
          <w:highlight w:val="none"/>
          <w:u w:val="single"/>
          <w:lang w:val="en-US" w:eastAsia="zh-CN"/>
        </w:rPr>
        <w:t>营口市</w:t>
      </w:r>
      <w:r>
        <w:rPr>
          <w:rFonts w:hint="eastAsia" w:ascii="Times New Roman" w:hAnsi="Times New Roman" w:eastAsia="仿宋_GB2312"/>
          <w:bCs/>
          <w:color w:val="auto"/>
          <w:sz w:val="21"/>
          <w:szCs w:val="21"/>
          <w:highlight w:val="none"/>
          <w:u w:val="single"/>
        </w:rPr>
        <w:t>盖州市市府大街6号</w:t>
      </w:r>
      <w:r>
        <w:rPr>
          <w:rFonts w:ascii="Times New Roman" w:hAnsi="Times New Roman" w:eastAsia="仿宋_GB2312"/>
          <w:color w:val="auto"/>
          <w:sz w:val="21"/>
          <w:szCs w:val="21"/>
          <w:highlight w:val="none"/>
          <w:u w:val="single"/>
        </w:rPr>
        <w:t>。</w:t>
      </w:r>
    </w:p>
    <w:p w14:paraId="63459D1A">
      <w:pPr>
        <w:pageBreakBefore w:val="0"/>
        <w:widowControl w:val="0"/>
        <w:kinsoku/>
        <w:wordWrap/>
        <w:overflowPunct/>
        <w:topLinePunct w:val="0"/>
        <w:bidi w:val="0"/>
        <w:adjustRightInd w:val="0"/>
        <w:snapToGrid w:val="0"/>
        <w:spacing w:line="360" w:lineRule="auto"/>
        <w:ind w:firstLine="411" w:firstLineChars="196"/>
        <w:jc w:val="left"/>
        <w:textAlignment w:val="auto"/>
        <w:rPr>
          <w:rFonts w:ascii="Times New Roman" w:hAnsi="Times New Roman" w:eastAsia="仿宋_GB2312"/>
          <w:bCs/>
          <w:color w:val="auto"/>
          <w:sz w:val="21"/>
          <w:szCs w:val="21"/>
          <w:highlight w:val="green"/>
        </w:rPr>
      </w:pPr>
      <w:r>
        <w:rPr>
          <w:rFonts w:ascii="Times New Roman" w:hAnsi="Times New Roman" w:eastAsia="仿宋_GB2312"/>
          <w:bCs/>
          <w:color w:val="auto"/>
          <w:sz w:val="21"/>
          <w:szCs w:val="21"/>
          <w:highlight w:val="green"/>
        </w:rPr>
        <w:t>3.工程立项批准文号：</w:t>
      </w:r>
      <w:r>
        <w:rPr>
          <w:rFonts w:hint="eastAsia" w:ascii="Times New Roman" w:hAnsi="Times New Roman" w:eastAsia="仿宋_GB2312"/>
          <w:color w:val="auto"/>
          <w:sz w:val="21"/>
          <w:szCs w:val="21"/>
          <w:highlight w:val="green"/>
          <w:u w:val="single"/>
          <w:lang w:val="en-US" w:eastAsia="zh-CN"/>
        </w:rPr>
        <w:t>辽税函〔2026〕194号</w:t>
      </w:r>
      <w:r>
        <w:rPr>
          <w:rFonts w:hint="eastAsia" w:eastAsia="仿宋_GB2312"/>
          <w:color w:val="auto"/>
          <w:sz w:val="21"/>
          <w:szCs w:val="21"/>
          <w:highlight w:val="green"/>
          <w:u w:val="single"/>
          <w:lang w:val="en-US" w:eastAsia="zh-CN"/>
        </w:rPr>
        <w:t>和营税函〔2026〕19 号</w:t>
      </w:r>
      <w:r>
        <w:rPr>
          <w:rFonts w:ascii="Times New Roman" w:hAnsi="Times New Roman" w:eastAsia="仿宋_GB2312"/>
          <w:bCs/>
          <w:color w:val="auto"/>
          <w:sz w:val="21"/>
          <w:szCs w:val="21"/>
          <w:highlight w:val="green"/>
        </w:rPr>
        <w:t>。</w:t>
      </w:r>
    </w:p>
    <w:p w14:paraId="0319A19C">
      <w:pPr>
        <w:pageBreakBefore w:val="0"/>
        <w:widowControl w:val="0"/>
        <w:kinsoku/>
        <w:wordWrap/>
        <w:overflowPunct/>
        <w:topLinePunct w:val="0"/>
        <w:bidi w:val="0"/>
        <w:adjustRightInd w:val="0"/>
        <w:snapToGrid w:val="0"/>
        <w:spacing w:line="360" w:lineRule="auto"/>
        <w:ind w:firstLine="411" w:firstLineChars="196"/>
        <w:textAlignment w:val="auto"/>
        <w:rPr>
          <w:rFonts w:hint="eastAsia" w:ascii="Times New Roman" w:hAnsi="Times New Roman" w:eastAsia="仿宋_GB2312"/>
          <w:bCs/>
          <w:color w:val="auto"/>
          <w:sz w:val="21"/>
          <w:szCs w:val="21"/>
          <w:highlight w:val="none"/>
        </w:rPr>
      </w:pPr>
      <w:r>
        <w:rPr>
          <w:rFonts w:ascii="Times New Roman" w:hAnsi="Times New Roman" w:eastAsia="仿宋_GB2312"/>
          <w:bCs/>
          <w:color w:val="auto"/>
          <w:sz w:val="21"/>
          <w:szCs w:val="21"/>
          <w:highlight w:val="none"/>
        </w:rPr>
        <w:t>4.资金来源：</w:t>
      </w:r>
      <w:r>
        <w:rPr>
          <w:rFonts w:hint="eastAsia" w:ascii="Times New Roman" w:hAnsi="Times New Roman" w:eastAsia="仿宋_GB2312"/>
          <w:bCs/>
          <w:color w:val="auto"/>
          <w:sz w:val="21"/>
          <w:szCs w:val="21"/>
          <w:highlight w:val="none"/>
        </w:rPr>
        <w:t>中央预算内资金</w:t>
      </w:r>
      <w:r>
        <w:rPr>
          <w:rFonts w:ascii="Times New Roman" w:hAnsi="Times New Roman" w:eastAsia="仿宋_GB2312"/>
          <w:bCs/>
          <w:color w:val="auto"/>
          <w:sz w:val="21"/>
          <w:szCs w:val="21"/>
          <w:highlight w:val="none"/>
        </w:rPr>
        <w:t>。</w:t>
      </w:r>
    </w:p>
    <w:p w14:paraId="78834E71">
      <w:pPr>
        <w:pageBreakBefore w:val="0"/>
        <w:widowControl w:val="0"/>
        <w:kinsoku/>
        <w:wordWrap/>
        <w:overflowPunct/>
        <w:topLinePunct w:val="0"/>
        <w:bidi w:val="0"/>
        <w:adjustRightInd w:val="0"/>
        <w:snapToGrid w:val="0"/>
        <w:spacing w:line="360" w:lineRule="auto"/>
        <w:ind w:firstLine="411" w:firstLineChars="196"/>
        <w:textAlignment w:val="auto"/>
        <w:rPr>
          <w:rFonts w:hint="eastAsia" w:ascii="Times New Roman" w:hAnsi="Times New Roman" w:eastAsia="仿宋_GB2312"/>
          <w:bCs/>
          <w:color w:val="auto"/>
          <w:sz w:val="21"/>
          <w:szCs w:val="21"/>
          <w:highlight w:val="green"/>
          <w:u w:val="single"/>
        </w:rPr>
      </w:pPr>
      <w:r>
        <w:rPr>
          <w:rFonts w:hint="eastAsia" w:ascii="Times New Roman" w:hAnsi="Times New Roman" w:eastAsia="仿宋_GB2312"/>
          <w:bCs/>
          <w:color w:val="auto"/>
          <w:sz w:val="21"/>
          <w:szCs w:val="21"/>
          <w:highlight w:val="green"/>
        </w:rPr>
        <w:t>5.工程内容：</w:t>
      </w:r>
      <w:r>
        <w:rPr>
          <w:rFonts w:hint="eastAsia" w:ascii="Times New Roman" w:hAnsi="Times New Roman" w:eastAsia="仿宋_GB2312"/>
          <w:bCs/>
          <w:color w:val="auto"/>
          <w:sz w:val="21"/>
          <w:szCs w:val="21"/>
          <w:highlight w:val="green"/>
          <w:u w:val="single"/>
          <w:lang w:val="en-US" w:eastAsia="zh-CN"/>
        </w:rPr>
        <w:t>项目维修改造内容包括：承重系统、围护系统、建筑装修系统、给排水系统、采暖系统、通风与空调系统、电气系统、建筑消防系统、建筑智能化系统</w:t>
      </w:r>
      <w:r>
        <w:rPr>
          <w:rFonts w:ascii="Times New Roman" w:hAnsi="Times New Roman" w:eastAsia="仿宋_GB2312"/>
          <w:bCs/>
          <w:color w:val="auto"/>
          <w:sz w:val="21"/>
          <w:szCs w:val="21"/>
          <w:highlight w:val="green"/>
          <w:u w:val="single"/>
        </w:rPr>
        <w:t>。</w:t>
      </w:r>
    </w:p>
    <w:p w14:paraId="083CB35B">
      <w:pPr>
        <w:pageBreakBefore w:val="0"/>
        <w:widowControl w:val="0"/>
        <w:kinsoku/>
        <w:wordWrap/>
        <w:overflowPunct/>
        <w:topLinePunct w:val="0"/>
        <w:bidi w:val="0"/>
        <w:adjustRightInd w:val="0"/>
        <w:snapToGrid w:val="0"/>
        <w:spacing w:line="360" w:lineRule="auto"/>
        <w:ind w:firstLine="411" w:firstLineChars="196"/>
        <w:textAlignment w:val="auto"/>
        <w:rPr>
          <w:rFonts w:ascii="Times New Roman" w:hAnsi="Times New Roman" w:eastAsia="仿宋_GB2312"/>
          <w:bCs/>
          <w:color w:val="auto"/>
          <w:sz w:val="21"/>
          <w:szCs w:val="21"/>
          <w:highlight w:val="none"/>
        </w:rPr>
      </w:pPr>
      <w:r>
        <w:rPr>
          <w:rFonts w:hint="eastAsia" w:ascii="Times New Roman" w:hAnsi="Times New Roman" w:eastAsia="仿宋_GB2312"/>
          <w:color w:val="auto"/>
          <w:sz w:val="21"/>
          <w:szCs w:val="21"/>
          <w:highlight w:val="none"/>
        </w:rPr>
        <w:t>群体工程应附《</w:t>
      </w:r>
      <w:r>
        <w:rPr>
          <w:rFonts w:ascii="Times New Roman" w:hAnsi="Times New Roman" w:eastAsia="仿宋_GB2312"/>
          <w:color w:val="auto"/>
          <w:sz w:val="21"/>
          <w:szCs w:val="21"/>
          <w:highlight w:val="none"/>
        </w:rPr>
        <w:t>承包人承揽工程项目一览表</w:t>
      </w:r>
      <w:r>
        <w:rPr>
          <w:rFonts w:hint="eastAsia" w:ascii="Times New Roman" w:hAnsi="Times New Roman" w:eastAsia="仿宋_GB2312"/>
          <w:color w:val="auto"/>
          <w:sz w:val="21"/>
          <w:szCs w:val="21"/>
          <w:highlight w:val="none"/>
        </w:rPr>
        <w:t>》（附件1）。</w:t>
      </w:r>
    </w:p>
    <w:p w14:paraId="3440021B">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hint="eastAsia" w:ascii="Times New Roman" w:hAnsi="Times New Roman" w:eastAsia="仿宋_GB2312"/>
          <w:bCs/>
          <w:color w:val="auto"/>
          <w:sz w:val="21"/>
          <w:szCs w:val="21"/>
          <w:highlight w:val="none"/>
        </w:rPr>
        <w:t>6</w:t>
      </w:r>
      <w:r>
        <w:rPr>
          <w:rFonts w:ascii="Times New Roman" w:hAnsi="Times New Roman" w:eastAsia="仿宋_GB2312"/>
          <w:bCs/>
          <w:color w:val="auto"/>
          <w:sz w:val="21"/>
          <w:szCs w:val="21"/>
          <w:highlight w:val="none"/>
        </w:rPr>
        <w:t>.工程承包范围：</w:t>
      </w:r>
      <w:r>
        <w:rPr>
          <w:rFonts w:hint="eastAsia" w:ascii="Times New Roman" w:hAnsi="Times New Roman" w:eastAsia="仿宋_GB2312"/>
          <w:bCs/>
          <w:color w:val="auto"/>
          <w:sz w:val="21"/>
          <w:szCs w:val="21"/>
          <w:highlight w:val="none"/>
          <w:u w:val="single"/>
        </w:rPr>
        <w:t>图纸及工程量清单</w:t>
      </w:r>
      <w:r>
        <w:rPr>
          <w:rFonts w:hint="eastAsia" w:ascii="Times New Roman" w:hAnsi="Times New Roman" w:eastAsia="仿宋_GB2312"/>
          <w:bCs/>
          <w:color w:val="auto"/>
          <w:sz w:val="21"/>
          <w:szCs w:val="21"/>
          <w:highlight w:val="none"/>
          <w:u w:val="single"/>
          <w:lang w:eastAsia="zh-CN"/>
        </w:rPr>
        <w:t>中全部施工内容</w:t>
      </w:r>
      <w:r>
        <w:rPr>
          <w:rFonts w:ascii="Times New Roman" w:hAnsi="Times New Roman" w:eastAsia="仿宋_GB2312"/>
          <w:color w:val="auto"/>
          <w:sz w:val="21"/>
          <w:szCs w:val="21"/>
          <w:highlight w:val="none"/>
        </w:rPr>
        <w:t>。</w:t>
      </w:r>
    </w:p>
    <w:p w14:paraId="13D70970">
      <w:pPr>
        <w:pStyle w:val="5"/>
        <w:pageBreakBefore w:val="0"/>
        <w:widowControl w:val="0"/>
        <w:kinsoku/>
        <w:wordWrap/>
        <w:overflowPunct/>
        <w:topLinePunct w:val="0"/>
        <w:bidi w:val="0"/>
        <w:adjustRightInd w:val="0"/>
        <w:snapToGrid w:val="0"/>
        <w:spacing w:before="0" w:after="0" w:line="360" w:lineRule="auto"/>
        <w:textAlignment w:val="auto"/>
        <w:outlineLvl w:val="3"/>
        <w:rPr>
          <w:rFonts w:ascii="Arial" w:hAnsi="Arial" w:eastAsia="黑体" w:cs="Times New Roman"/>
          <w:b/>
          <w:color w:val="auto"/>
          <w:sz w:val="21"/>
          <w:szCs w:val="21"/>
          <w:highlight w:val="none"/>
        </w:rPr>
      </w:pPr>
      <w:bookmarkStart w:id="741" w:name="_Toc2076"/>
      <w:bookmarkStart w:id="742" w:name="_Toc351203482"/>
      <w:bookmarkStart w:id="743" w:name="_Toc20714"/>
      <w:r>
        <w:rPr>
          <w:rFonts w:ascii="Arial" w:hAnsi="Arial" w:eastAsia="黑体" w:cs="Times New Roman"/>
          <w:b/>
          <w:color w:val="auto"/>
          <w:sz w:val="21"/>
          <w:szCs w:val="21"/>
          <w:highlight w:val="none"/>
        </w:rPr>
        <w:t>二、合同工期</w:t>
      </w:r>
      <w:bookmarkEnd w:id="741"/>
      <w:bookmarkEnd w:id="742"/>
      <w:bookmarkEnd w:id="743"/>
    </w:p>
    <w:p w14:paraId="36FAF7D1">
      <w:pPr>
        <w:pageBreakBefore w:val="0"/>
        <w:widowControl w:val="0"/>
        <w:kinsoku/>
        <w:wordWrap/>
        <w:overflowPunct/>
        <w:topLinePunct w:val="0"/>
        <w:bidi w:val="0"/>
        <w:adjustRightInd w:val="0"/>
        <w:snapToGrid w:val="0"/>
        <w:spacing w:line="360" w:lineRule="auto"/>
        <w:ind w:firstLine="459"/>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计划开工日期：</w:t>
      </w:r>
      <w:r>
        <w:rPr>
          <w:rFonts w:hint="eastAsia" w:ascii="Times New Roman" w:hAnsi="Times New Roman" w:eastAsia="仿宋_GB2312"/>
          <w:color w:val="auto"/>
          <w:sz w:val="21"/>
          <w:szCs w:val="21"/>
          <w:highlight w:val="none"/>
          <w:u w:val="single"/>
        </w:rPr>
        <w:t>202</w:t>
      </w:r>
      <w:r>
        <w:rPr>
          <w:rFonts w:hint="eastAsia" w:ascii="Times New Roman" w:hAnsi="Times New Roman" w:eastAsia="仿宋_GB2312"/>
          <w:color w:val="auto"/>
          <w:sz w:val="21"/>
          <w:szCs w:val="21"/>
          <w:highlight w:val="none"/>
          <w:u w:val="single"/>
          <w:lang w:val="en-US" w:eastAsia="zh-CN"/>
        </w:rPr>
        <w:t>6</w:t>
      </w:r>
      <w:r>
        <w:rPr>
          <w:rFonts w:hint="eastAsia" w:ascii="Times New Roman" w:hAnsi="Times New Roman" w:eastAsia="仿宋_GB2312"/>
          <w:color w:val="auto"/>
          <w:sz w:val="21"/>
          <w:szCs w:val="21"/>
          <w:highlight w:val="none"/>
          <w:u w:val="single"/>
        </w:rPr>
        <w:t>年</w:t>
      </w:r>
      <w:r>
        <w:rPr>
          <w:rFonts w:hint="eastAsia" w:eastAsia="仿宋_GB2312"/>
          <w:color w:val="auto"/>
          <w:sz w:val="21"/>
          <w:szCs w:val="21"/>
          <w:highlight w:val="none"/>
          <w:u w:val="single"/>
          <w:lang w:val="en-US" w:eastAsia="zh-CN"/>
        </w:rPr>
        <w:t>10</w:t>
      </w:r>
      <w:r>
        <w:rPr>
          <w:rFonts w:hint="eastAsia" w:ascii="Times New Roman" w:hAnsi="Times New Roman" w:eastAsia="仿宋_GB2312"/>
          <w:color w:val="auto"/>
          <w:sz w:val="21"/>
          <w:szCs w:val="21"/>
          <w:highlight w:val="none"/>
          <w:u w:val="single"/>
        </w:rPr>
        <w:t>月</w:t>
      </w:r>
      <w:r>
        <w:rPr>
          <w:rFonts w:hint="eastAsia" w:eastAsia="仿宋_GB2312"/>
          <w:color w:val="auto"/>
          <w:sz w:val="21"/>
          <w:szCs w:val="21"/>
          <w:highlight w:val="none"/>
          <w:u w:val="single"/>
          <w:lang w:val="en-US" w:eastAsia="zh-CN"/>
        </w:rPr>
        <w:t>20</w:t>
      </w:r>
      <w:r>
        <w:rPr>
          <w:rFonts w:hint="eastAsia" w:ascii="Times New Roman" w:hAnsi="Times New Roman" w:eastAsia="仿宋_GB2312"/>
          <w:color w:val="auto"/>
          <w:sz w:val="21"/>
          <w:szCs w:val="21"/>
          <w:highlight w:val="none"/>
          <w:u w:val="single"/>
        </w:rPr>
        <w:t>日</w:t>
      </w:r>
      <w:r>
        <w:rPr>
          <w:rFonts w:ascii="Times New Roman" w:hAnsi="Times New Roman" w:eastAsia="仿宋_GB2312"/>
          <w:color w:val="auto"/>
          <w:sz w:val="21"/>
          <w:szCs w:val="21"/>
          <w:highlight w:val="none"/>
        </w:rPr>
        <w:t>。</w:t>
      </w:r>
    </w:p>
    <w:p w14:paraId="749CBCE0">
      <w:pPr>
        <w:pageBreakBefore w:val="0"/>
        <w:widowControl w:val="0"/>
        <w:kinsoku/>
        <w:wordWrap/>
        <w:overflowPunct/>
        <w:topLinePunct w:val="0"/>
        <w:bidi w:val="0"/>
        <w:adjustRightInd w:val="0"/>
        <w:snapToGrid w:val="0"/>
        <w:spacing w:line="360" w:lineRule="auto"/>
        <w:ind w:firstLine="459"/>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计划竣工日期：</w:t>
      </w:r>
      <w:r>
        <w:rPr>
          <w:rFonts w:hint="eastAsia" w:ascii="Times New Roman" w:hAnsi="Times New Roman" w:eastAsia="仿宋_GB2312"/>
          <w:color w:val="auto"/>
          <w:sz w:val="21"/>
          <w:szCs w:val="21"/>
          <w:highlight w:val="none"/>
          <w:u w:val="single"/>
        </w:rPr>
        <w:t>202</w:t>
      </w:r>
      <w:r>
        <w:rPr>
          <w:rFonts w:hint="eastAsia" w:ascii="Times New Roman" w:hAnsi="Times New Roman" w:eastAsia="仿宋_GB2312"/>
          <w:color w:val="auto"/>
          <w:sz w:val="21"/>
          <w:szCs w:val="21"/>
          <w:highlight w:val="none"/>
          <w:u w:val="single"/>
          <w:lang w:val="en-US" w:eastAsia="zh-CN"/>
        </w:rPr>
        <w:t>7</w:t>
      </w:r>
      <w:r>
        <w:rPr>
          <w:rFonts w:hint="eastAsia" w:ascii="Times New Roman" w:hAnsi="Times New Roman" w:eastAsia="仿宋_GB2312"/>
          <w:color w:val="auto"/>
          <w:sz w:val="21"/>
          <w:szCs w:val="21"/>
          <w:highlight w:val="none"/>
          <w:u w:val="single"/>
        </w:rPr>
        <w:t>年</w:t>
      </w:r>
      <w:r>
        <w:rPr>
          <w:rFonts w:hint="eastAsia" w:eastAsia="仿宋_GB2312"/>
          <w:color w:val="auto"/>
          <w:sz w:val="21"/>
          <w:szCs w:val="21"/>
          <w:highlight w:val="none"/>
          <w:u w:val="single"/>
          <w:lang w:val="en-US" w:eastAsia="zh-CN"/>
        </w:rPr>
        <w:t>8</w:t>
      </w:r>
      <w:r>
        <w:rPr>
          <w:rFonts w:hint="eastAsia" w:ascii="Times New Roman" w:hAnsi="Times New Roman" w:eastAsia="仿宋_GB2312"/>
          <w:color w:val="auto"/>
          <w:sz w:val="21"/>
          <w:szCs w:val="21"/>
          <w:highlight w:val="none"/>
          <w:u w:val="single"/>
        </w:rPr>
        <w:t>月</w:t>
      </w:r>
      <w:r>
        <w:rPr>
          <w:rFonts w:hint="eastAsia" w:eastAsia="仿宋_GB2312"/>
          <w:color w:val="auto"/>
          <w:sz w:val="21"/>
          <w:szCs w:val="21"/>
          <w:highlight w:val="none"/>
          <w:u w:val="single"/>
          <w:lang w:val="en-US" w:eastAsia="zh-CN"/>
        </w:rPr>
        <w:t>20</w:t>
      </w:r>
      <w:r>
        <w:rPr>
          <w:rFonts w:hint="eastAsia" w:ascii="Times New Roman" w:hAnsi="Times New Roman" w:eastAsia="仿宋_GB2312"/>
          <w:color w:val="auto"/>
          <w:sz w:val="21"/>
          <w:szCs w:val="21"/>
          <w:highlight w:val="none"/>
          <w:u w:val="single"/>
        </w:rPr>
        <w:t>日</w:t>
      </w:r>
      <w:r>
        <w:rPr>
          <w:rFonts w:ascii="Times New Roman" w:hAnsi="Times New Roman" w:eastAsia="仿宋_GB2312"/>
          <w:color w:val="auto"/>
          <w:sz w:val="21"/>
          <w:szCs w:val="21"/>
          <w:highlight w:val="none"/>
        </w:rPr>
        <w:t>。</w:t>
      </w:r>
    </w:p>
    <w:p w14:paraId="6C6E6534">
      <w:pPr>
        <w:pageBreakBefore w:val="0"/>
        <w:widowControl w:val="0"/>
        <w:kinsoku/>
        <w:wordWrap/>
        <w:overflowPunct/>
        <w:topLinePunct w:val="0"/>
        <w:bidi w:val="0"/>
        <w:adjustRightInd w:val="0"/>
        <w:snapToGrid w:val="0"/>
        <w:spacing w:line="360" w:lineRule="auto"/>
        <w:ind w:firstLine="459"/>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工期总日历天数：</w:t>
      </w:r>
      <w:r>
        <w:rPr>
          <w:rFonts w:hint="eastAsia" w:eastAsia="仿宋_GB2312"/>
          <w:color w:val="auto"/>
          <w:sz w:val="21"/>
          <w:szCs w:val="21"/>
          <w:highlight w:val="none"/>
          <w:u w:val="single"/>
          <w:lang w:val="en-US" w:eastAsia="zh-CN"/>
        </w:rPr>
        <w:t>304</w:t>
      </w:r>
      <w:r>
        <w:rPr>
          <w:rFonts w:ascii="Times New Roman" w:hAnsi="Times New Roman" w:eastAsia="仿宋_GB2312"/>
          <w:color w:val="auto"/>
          <w:sz w:val="21"/>
          <w:szCs w:val="21"/>
          <w:highlight w:val="none"/>
        </w:rPr>
        <w:t>天。工期总日历天数与根据前述计划开竣工日期计算的工期天数不一致的，以工期总日历天数为准。</w:t>
      </w:r>
    </w:p>
    <w:p w14:paraId="6D70BDF6">
      <w:pPr>
        <w:pStyle w:val="5"/>
        <w:pageBreakBefore w:val="0"/>
        <w:widowControl w:val="0"/>
        <w:kinsoku/>
        <w:wordWrap/>
        <w:overflowPunct/>
        <w:topLinePunct w:val="0"/>
        <w:bidi w:val="0"/>
        <w:adjustRightInd w:val="0"/>
        <w:snapToGrid w:val="0"/>
        <w:spacing w:before="0" w:after="0" w:line="360" w:lineRule="auto"/>
        <w:textAlignment w:val="auto"/>
        <w:outlineLvl w:val="3"/>
        <w:rPr>
          <w:rFonts w:ascii="Arial" w:hAnsi="Arial" w:eastAsia="黑体" w:cs="Times New Roman"/>
          <w:b/>
          <w:color w:val="auto"/>
          <w:sz w:val="21"/>
          <w:szCs w:val="21"/>
          <w:highlight w:val="none"/>
        </w:rPr>
      </w:pPr>
      <w:bookmarkStart w:id="744" w:name="_Toc14899"/>
      <w:bookmarkStart w:id="745" w:name="_Toc24898"/>
      <w:bookmarkStart w:id="746" w:name="_Toc351203483"/>
      <w:r>
        <w:rPr>
          <w:rFonts w:ascii="Arial" w:hAnsi="Arial" w:eastAsia="黑体" w:cs="Times New Roman"/>
          <w:b/>
          <w:color w:val="auto"/>
          <w:sz w:val="21"/>
          <w:szCs w:val="21"/>
          <w:highlight w:val="none"/>
        </w:rPr>
        <w:t>三、质量标准</w:t>
      </w:r>
      <w:bookmarkEnd w:id="744"/>
      <w:bookmarkEnd w:id="745"/>
      <w:bookmarkEnd w:id="746"/>
    </w:p>
    <w:p w14:paraId="3B2F1EDD">
      <w:pPr>
        <w:pageBreakBefore w:val="0"/>
        <w:widowControl w:val="0"/>
        <w:kinsoku/>
        <w:wordWrap/>
        <w:overflowPunct/>
        <w:topLinePunct w:val="0"/>
        <w:bidi w:val="0"/>
        <w:adjustRightInd w:val="0"/>
        <w:snapToGrid w:val="0"/>
        <w:spacing w:line="360" w:lineRule="auto"/>
        <w:ind w:firstLine="459"/>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工程质量符合</w:t>
      </w:r>
      <w:r>
        <w:rPr>
          <w:rFonts w:ascii="Times New Roman" w:hAnsi="Times New Roman" w:eastAsia="仿宋_GB2312"/>
          <w:color w:val="auto"/>
          <w:sz w:val="21"/>
          <w:szCs w:val="21"/>
          <w:highlight w:val="none"/>
          <w:u w:val="single"/>
        </w:rPr>
        <w:t></w:t>
      </w:r>
      <w:r>
        <w:rPr>
          <w:rFonts w:hint="eastAsia" w:ascii="Times New Roman" w:hAnsi="Times New Roman" w:eastAsia="仿宋_GB2312"/>
          <w:color w:val="auto"/>
          <w:sz w:val="21"/>
          <w:szCs w:val="21"/>
          <w:highlight w:val="none"/>
          <w:u w:val="single"/>
          <w:lang w:val="en-US" w:eastAsia="zh-CN"/>
        </w:rPr>
        <w:t xml:space="preserve">  </w:t>
      </w:r>
      <w:r>
        <w:rPr>
          <w:rFonts w:ascii="Times New Roman" w:hAnsi="Times New Roman" w:eastAsia="仿宋_GB2312"/>
          <w:color w:val="auto"/>
          <w:sz w:val="21"/>
          <w:szCs w:val="21"/>
          <w:highlight w:val="none"/>
          <w:u w:val="single"/>
        </w:rPr>
        <w:t></w:t>
      </w:r>
      <w:r>
        <w:rPr>
          <w:rFonts w:ascii="Times New Roman" w:hAnsi="Times New Roman" w:eastAsia="仿宋_GB2312"/>
          <w:color w:val="auto"/>
          <w:sz w:val="21"/>
          <w:szCs w:val="21"/>
          <w:highlight w:val="none"/>
        </w:rPr>
        <w:t>标准。</w:t>
      </w:r>
    </w:p>
    <w:p w14:paraId="0FEC30BD">
      <w:pPr>
        <w:pStyle w:val="5"/>
        <w:pageBreakBefore w:val="0"/>
        <w:widowControl w:val="0"/>
        <w:kinsoku/>
        <w:wordWrap/>
        <w:overflowPunct/>
        <w:topLinePunct w:val="0"/>
        <w:bidi w:val="0"/>
        <w:adjustRightInd w:val="0"/>
        <w:snapToGrid w:val="0"/>
        <w:spacing w:before="0" w:after="0" w:line="360" w:lineRule="auto"/>
        <w:textAlignment w:val="auto"/>
        <w:outlineLvl w:val="3"/>
        <w:rPr>
          <w:rFonts w:ascii="Arial" w:hAnsi="Arial" w:eastAsia="黑体" w:cs="Times New Roman"/>
          <w:b/>
          <w:color w:val="auto"/>
          <w:sz w:val="21"/>
          <w:szCs w:val="21"/>
          <w:highlight w:val="none"/>
        </w:rPr>
      </w:pPr>
      <w:bookmarkStart w:id="747" w:name="_Toc30637"/>
      <w:bookmarkStart w:id="748" w:name="_Toc351203484"/>
      <w:bookmarkStart w:id="749" w:name="_Toc25499"/>
      <w:r>
        <w:rPr>
          <w:rFonts w:ascii="Arial" w:hAnsi="Arial" w:eastAsia="黑体" w:cs="Times New Roman"/>
          <w:b/>
          <w:color w:val="auto"/>
          <w:sz w:val="21"/>
          <w:szCs w:val="21"/>
          <w:highlight w:val="none"/>
        </w:rPr>
        <w:t>四、签约合同价与合同价格形式</w:t>
      </w:r>
      <w:bookmarkEnd w:id="747"/>
      <w:bookmarkEnd w:id="748"/>
      <w:bookmarkEnd w:id="749"/>
      <w:r>
        <w:rPr>
          <w:rFonts w:ascii="Arial" w:hAnsi="Arial" w:eastAsia="黑体" w:cs="Times New Roman"/>
          <w:b/>
          <w:color w:val="auto"/>
          <w:sz w:val="21"/>
          <w:szCs w:val="21"/>
          <w:highlight w:val="none"/>
        </w:rPr>
        <w:tab/>
      </w:r>
    </w:p>
    <w:p w14:paraId="28D20FCC">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1.签约合同价为：</w:t>
      </w:r>
    </w:p>
    <w:p w14:paraId="743003E7">
      <w:pPr>
        <w:pageBreakBefore w:val="0"/>
        <w:widowControl w:val="0"/>
        <w:kinsoku/>
        <w:wordWrap/>
        <w:overflowPunct/>
        <w:topLinePunct w:val="0"/>
        <w:bidi w:val="0"/>
        <w:adjustRightInd w:val="0"/>
        <w:snapToGrid w:val="0"/>
        <w:spacing w:line="360" w:lineRule="auto"/>
        <w:ind w:firstLine="525" w:firstLineChars="25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人民币（大写）</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hint="eastAsia" w:eastAsia="仿宋_GB2312"/>
          <w:color w:val="auto"/>
          <w:sz w:val="21"/>
          <w:szCs w:val="21"/>
          <w:highlight w:val="none"/>
          <w:u w:val="single"/>
          <w:lang w:eastAsia="zh-CN"/>
        </w:rPr>
        <w:t>（</w:t>
      </w:r>
      <w:r>
        <w:rPr>
          <w:rFonts w:ascii="Times New Roman" w:hAnsi="Times New Roman" w:eastAsia="仿宋_GB2312"/>
          <w:color w:val="auto"/>
          <w:sz w:val="21"/>
          <w:szCs w:val="21"/>
          <w:highlight w:val="none"/>
        </w:rPr>
        <w:t>¥</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元</w:t>
      </w:r>
      <w:r>
        <w:rPr>
          <w:rFonts w:hint="eastAsia" w:eastAsia="仿宋_GB2312"/>
          <w:color w:val="auto"/>
          <w:sz w:val="21"/>
          <w:szCs w:val="21"/>
          <w:highlight w:val="none"/>
          <w:lang w:eastAsia="zh-CN"/>
        </w:rPr>
        <w:t>）</w:t>
      </w:r>
      <w:r>
        <w:rPr>
          <w:rFonts w:ascii="Times New Roman" w:hAnsi="Times New Roman" w:eastAsia="仿宋_GB2312"/>
          <w:color w:val="auto"/>
          <w:sz w:val="21"/>
          <w:szCs w:val="21"/>
          <w:highlight w:val="none"/>
        </w:rPr>
        <w:t>；</w:t>
      </w:r>
    </w:p>
    <w:p w14:paraId="50A6D219">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其中：</w:t>
      </w:r>
    </w:p>
    <w:p w14:paraId="7AD7341D">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（1）安全文明施工费：</w:t>
      </w:r>
    </w:p>
    <w:p w14:paraId="40EA52E5">
      <w:pPr>
        <w:pageBreakBefore w:val="0"/>
        <w:widowControl w:val="0"/>
        <w:kinsoku/>
        <w:wordWrap/>
        <w:overflowPunct/>
        <w:topLinePunct w:val="0"/>
        <w:bidi w:val="0"/>
        <w:adjustRightInd w:val="0"/>
        <w:snapToGrid w:val="0"/>
        <w:spacing w:line="360" w:lineRule="auto"/>
        <w:ind w:firstLine="945" w:firstLineChars="45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人民币（大写）</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 xml:space="preserve"> </w:t>
      </w:r>
      <w:r>
        <w:rPr>
          <w:rFonts w:hint="eastAsia" w:eastAsia="仿宋_GB2312"/>
          <w:color w:val="auto"/>
          <w:sz w:val="21"/>
          <w:szCs w:val="21"/>
          <w:highlight w:val="none"/>
          <w:lang w:eastAsia="zh-CN"/>
        </w:rPr>
        <w:t>（</w:t>
      </w:r>
      <w:r>
        <w:rPr>
          <w:rFonts w:ascii="Times New Roman" w:hAnsi="Times New Roman" w:eastAsia="仿宋_GB2312"/>
          <w:color w:val="auto"/>
          <w:sz w:val="21"/>
          <w:szCs w:val="21"/>
          <w:highlight w:val="none"/>
        </w:rPr>
        <w:t>¥</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元</w:t>
      </w:r>
      <w:r>
        <w:rPr>
          <w:rFonts w:hint="eastAsia" w:eastAsia="仿宋_GB2312"/>
          <w:color w:val="auto"/>
          <w:sz w:val="21"/>
          <w:szCs w:val="21"/>
          <w:highlight w:val="none"/>
          <w:lang w:eastAsia="zh-CN"/>
        </w:rPr>
        <w:t>）</w:t>
      </w:r>
      <w:r>
        <w:rPr>
          <w:rFonts w:ascii="Times New Roman" w:hAnsi="Times New Roman" w:eastAsia="仿宋_GB2312"/>
          <w:color w:val="auto"/>
          <w:sz w:val="21"/>
          <w:szCs w:val="21"/>
          <w:highlight w:val="none"/>
        </w:rPr>
        <w:t>；</w:t>
      </w:r>
    </w:p>
    <w:p w14:paraId="25EFAC13">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（2）材料和工程设备暂估价金额：</w:t>
      </w:r>
    </w:p>
    <w:p w14:paraId="438BC01D">
      <w:pPr>
        <w:pageBreakBefore w:val="0"/>
        <w:widowControl w:val="0"/>
        <w:kinsoku/>
        <w:wordWrap/>
        <w:overflowPunct/>
        <w:topLinePunct w:val="0"/>
        <w:bidi w:val="0"/>
        <w:adjustRightInd w:val="0"/>
        <w:snapToGrid w:val="0"/>
        <w:spacing w:line="360" w:lineRule="auto"/>
        <w:ind w:firstLine="945" w:firstLineChars="45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人民币（大写）</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 xml:space="preserve"> </w:t>
      </w:r>
      <w:r>
        <w:rPr>
          <w:rFonts w:hint="eastAsia" w:eastAsia="仿宋_GB2312"/>
          <w:color w:val="auto"/>
          <w:sz w:val="21"/>
          <w:szCs w:val="21"/>
          <w:highlight w:val="none"/>
          <w:lang w:eastAsia="zh-CN"/>
        </w:rPr>
        <w:t>（</w:t>
      </w:r>
      <w:r>
        <w:rPr>
          <w:rFonts w:ascii="Times New Roman" w:hAnsi="Times New Roman" w:eastAsia="仿宋_GB2312"/>
          <w:color w:val="auto"/>
          <w:sz w:val="21"/>
          <w:szCs w:val="21"/>
          <w:highlight w:val="none"/>
        </w:rPr>
        <w:t>¥</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元</w:t>
      </w:r>
      <w:r>
        <w:rPr>
          <w:rFonts w:hint="eastAsia" w:eastAsia="仿宋_GB2312"/>
          <w:color w:val="auto"/>
          <w:sz w:val="21"/>
          <w:szCs w:val="21"/>
          <w:highlight w:val="none"/>
          <w:lang w:eastAsia="zh-CN"/>
        </w:rPr>
        <w:t>）</w:t>
      </w:r>
      <w:r>
        <w:rPr>
          <w:rFonts w:ascii="Times New Roman" w:hAnsi="Times New Roman" w:eastAsia="仿宋_GB2312"/>
          <w:color w:val="auto"/>
          <w:sz w:val="21"/>
          <w:szCs w:val="21"/>
          <w:highlight w:val="none"/>
        </w:rPr>
        <w:t>；</w:t>
      </w:r>
    </w:p>
    <w:p w14:paraId="5375548F">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（3）专业工程暂估价金额：</w:t>
      </w:r>
    </w:p>
    <w:p w14:paraId="5421A3B5">
      <w:pPr>
        <w:pageBreakBefore w:val="0"/>
        <w:widowControl w:val="0"/>
        <w:kinsoku/>
        <w:wordWrap/>
        <w:overflowPunct/>
        <w:topLinePunct w:val="0"/>
        <w:bidi w:val="0"/>
        <w:adjustRightInd w:val="0"/>
        <w:snapToGrid w:val="0"/>
        <w:spacing w:line="360" w:lineRule="auto"/>
        <w:ind w:firstLine="945" w:firstLineChars="45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人民币（大写）</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 xml:space="preserve"> </w:t>
      </w:r>
      <w:r>
        <w:rPr>
          <w:rFonts w:hint="eastAsia" w:eastAsia="仿宋_GB2312"/>
          <w:color w:val="auto"/>
          <w:sz w:val="21"/>
          <w:szCs w:val="21"/>
          <w:highlight w:val="none"/>
          <w:lang w:eastAsia="zh-CN"/>
        </w:rPr>
        <w:t>（</w:t>
      </w:r>
      <w:r>
        <w:rPr>
          <w:rFonts w:ascii="Times New Roman" w:hAnsi="Times New Roman" w:eastAsia="仿宋_GB2312"/>
          <w:color w:val="auto"/>
          <w:sz w:val="21"/>
          <w:szCs w:val="21"/>
          <w:highlight w:val="none"/>
        </w:rPr>
        <w:t>¥</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元</w:t>
      </w:r>
      <w:r>
        <w:rPr>
          <w:rFonts w:hint="eastAsia" w:eastAsia="仿宋_GB2312"/>
          <w:color w:val="auto"/>
          <w:sz w:val="21"/>
          <w:szCs w:val="21"/>
          <w:highlight w:val="none"/>
          <w:lang w:eastAsia="zh-CN"/>
        </w:rPr>
        <w:t>）</w:t>
      </w:r>
      <w:r>
        <w:rPr>
          <w:rFonts w:ascii="Times New Roman" w:hAnsi="Times New Roman" w:eastAsia="仿宋_GB2312"/>
          <w:color w:val="auto"/>
          <w:sz w:val="21"/>
          <w:szCs w:val="21"/>
          <w:highlight w:val="none"/>
        </w:rPr>
        <w:t>；</w:t>
      </w:r>
    </w:p>
    <w:p w14:paraId="00096E7B">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（4）暂列金额：</w:t>
      </w:r>
    </w:p>
    <w:p w14:paraId="316BDEAE">
      <w:pPr>
        <w:pageBreakBefore w:val="0"/>
        <w:widowControl w:val="0"/>
        <w:kinsoku/>
        <w:wordWrap/>
        <w:overflowPunct/>
        <w:topLinePunct w:val="0"/>
        <w:bidi w:val="0"/>
        <w:adjustRightInd w:val="0"/>
        <w:snapToGrid w:val="0"/>
        <w:spacing w:line="360" w:lineRule="auto"/>
        <w:ind w:firstLine="945" w:firstLineChars="45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人民币（大写）</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 xml:space="preserve"> </w:t>
      </w:r>
      <w:r>
        <w:rPr>
          <w:rFonts w:hint="eastAsia" w:eastAsia="仿宋_GB2312"/>
          <w:color w:val="auto"/>
          <w:sz w:val="21"/>
          <w:szCs w:val="21"/>
          <w:highlight w:val="none"/>
          <w:lang w:eastAsia="zh-CN"/>
        </w:rPr>
        <w:t>（</w:t>
      </w:r>
      <w:r>
        <w:rPr>
          <w:rFonts w:ascii="Times New Roman" w:hAnsi="Times New Roman" w:eastAsia="仿宋_GB2312"/>
          <w:color w:val="auto"/>
          <w:sz w:val="21"/>
          <w:szCs w:val="21"/>
          <w:highlight w:val="none"/>
        </w:rPr>
        <w:t>¥</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元</w:t>
      </w:r>
      <w:r>
        <w:rPr>
          <w:rFonts w:hint="eastAsia" w:eastAsia="仿宋_GB2312"/>
          <w:color w:val="auto"/>
          <w:sz w:val="21"/>
          <w:szCs w:val="21"/>
          <w:highlight w:val="none"/>
          <w:lang w:eastAsia="zh-CN"/>
        </w:rPr>
        <w:t>）</w:t>
      </w:r>
      <w:r>
        <w:rPr>
          <w:rFonts w:ascii="Times New Roman" w:hAnsi="Times New Roman" w:eastAsia="仿宋_GB2312"/>
          <w:color w:val="auto"/>
          <w:sz w:val="21"/>
          <w:szCs w:val="21"/>
          <w:highlight w:val="none"/>
        </w:rPr>
        <w:t>。</w:t>
      </w:r>
    </w:p>
    <w:p w14:paraId="40BD1760">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2.合同价格形式：</w:t>
      </w:r>
      <w:r>
        <w:rPr>
          <w:rFonts w:ascii="Times New Roman" w:hAnsi="Times New Roman" w:eastAsia="仿宋_GB2312"/>
          <w:color w:val="auto"/>
          <w:sz w:val="21"/>
          <w:szCs w:val="21"/>
          <w:highlight w:val="none"/>
          <w:u w:val="single"/>
        </w:rPr>
        <w:t></w:t>
      </w:r>
      <w:r>
        <w:rPr>
          <w:rFonts w:hint="eastAsia" w:ascii="Times New Roman" w:hAnsi="Times New Roman" w:eastAsia="仿宋_GB2312"/>
          <w:color w:val="auto"/>
          <w:sz w:val="21"/>
          <w:szCs w:val="21"/>
          <w:highlight w:val="none"/>
          <w:u w:val="single"/>
        </w:rPr>
        <w:t xml:space="preserve">固定单价合同        </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06ACB556">
      <w:pPr>
        <w:pStyle w:val="5"/>
        <w:pageBreakBefore w:val="0"/>
        <w:widowControl w:val="0"/>
        <w:kinsoku/>
        <w:wordWrap/>
        <w:overflowPunct/>
        <w:topLinePunct w:val="0"/>
        <w:bidi w:val="0"/>
        <w:adjustRightInd w:val="0"/>
        <w:snapToGrid w:val="0"/>
        <w:spacing w:before="0" w:after="0" w:line="360" w:lineRule="auto"/>
        <w:textAlignment w:val="auto"/>
        <w:outlineLvl w:val="3"/>
        <w:rPr>
          <w:rFonts w:ascii="Arial" w:hAnsi="Arial" w:eastAsia="黑体" w:cs="Times New Roman"/>
          <w:b/>
          <w:color w:val="auto"/>
          <w:sz w:val="21"/>
          <w:szCs w:val="21"/>
          <w:highlight w:val="none"/>
        </w:rPr>
      </w:pPr>
      <w:bookmarkStart w:id="750" w:name="_Toc351203485"/>
      <w:bookmarkStart w:id="751" w:name="_Toc18660"/>
      <w:bookmarkStart w:id="752" w:name="_Toc17714"/>
      <w:r>
        <w:rPr>
          <w:rFonts w:ascii="Arial" w:hAnsi="Arial" w:eastAsia="黑体" w:cs="Times New Roman"/>
          <w:b/>
          <w:color w:val="auto"/>
          <w:sz w:val="21"/>
          <w:szCs w:val="21"/>
          <w:highlight w:val="none"/>
        </w:rPr>
        <w:t>五、</w:t>
      </w:r>
      <w:bookmarkEnd w:id="750"/>
      <w:r>
        <w:rPr>
          <w:rFonts w:ascii="Arial" w:hAnsi="Arial" w:eastAsia="黑体" w:cs="Times New Roman"/>
          <w:b/>
          <w:color w:val="auto"/>
          <w:sz w:val="21"/>
          <w:szCs w:val="21"/>
          <w:highlight w:val="none"/>
        </w:rPr>
        <w:t>项目经理</w:t>
      </w:r>
      <w:bookmarkEnd w:id="751"/>
      <w:bookmarkEnd w:id="752"/>
    </w:p>
    <w:p w14:paraId="26A5FA2E">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承包人项目经理：</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w:t>
      </w:r>
      <w:r>
        <w:rPr>
          <w:rFonts w:ascii="Times New Roman" w:hAnsi="Times New Roman" w:eastAsia="仿宋_GB2312"/>
          <w:color w:val="auto"/>
          <w:sz w:val="21"/>
          <w:szCs w:val="21"/>
          <w:highlight w:val="none"/>
        </w:rPr>
        <w:t>。</w:t>
      </w:r>
    </w:p>
    <w:p w14:paraId="5AEEFCCC">
      <w:pPr>
        <w:pStyle w:val="5"/>
        <w:pageBreakBefore w:val="0"/>
        <w:widowControl w:val="0"/>
        <w:kinsoku/>
        <w:wordWrap/>
        <w:overflowPunct/>
        <w:topLinePunct w:val="0"/>
        <w:bidi w:val="0"/>
        <w:adjustRightInd w:val="0"/>
        <w:snapToGrid w:val="0"/>
        <w:spacing w:before="0" w:after="0" w:line="360" w:lineRule="auto"/>
        <w:textAlignment w:val="auto"/>
        <w:outlineLvl w:val="3"/>
        <w:rPr>
          <w:rFonts w:ascii="Arial" w:hAnsi="Arial" w:eastAsia="黑体" w:cs="Times New Roman"/>
          <w:b/>
          <w:color w:val="auto"/>
          <w:sz w:val="21"/>
          <w:szCs w:val="21"/>
          <w:highlight w:val="none"/>
        </w:rPr>
      </w:pPr>
      <w:bookmarkStart w:id="753" w:name="_Toc351203486"/>
      <w:bookmarkStart w:id="754" w:name="_Toc21248"/>
      <w:bookmarkStart w:id="755" w:name="_Toc13556"/>
      <w:r>
        <w:rPr>
          <w:rFonts w:ascii="Arial" w:hAnsi="Arial" w:eastAsia="黑体" w:cs="Times New Roman"/>
          <w:b/>
          <w:color w:val="auto"/>
          <w:sz w:val="21"/>
          <w:szCs w:val="21"/>
          <w:highlight w:val="none"/>
        </w:rPr>
        <w:t>六、合同文件构成</w:t>
      </w:r>
      <w:bookmarkEnd w:id="753"/>
      <w:bookmarkEnd w:id="754"/>
      <w:bookmarkEnd w:id="755"/>
    </w:p>
    <w:p w14:paraId="2489ADF9">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bCs/>
          <w:color w:val="auto"/>
          <w:sz w:val="21"/>
          <w:szCs w:val="21"/>
          <w:highlight w:val="none"/>
        </w:rPr>
      </w:pPr>
      <w:r>
        <w:rPr>
          <w:rFonts w:ascii="Times New Roman" w:hAnsi="Times New Roman" w:eastAsia="仿宋_GB2312"/>
          <w:bCs/>
          <w:color w:val="auto"/>
          <w:sz w:val="21"/>
          <w:szCs w:val="21"/>
          <w:highlight w:val="none"/>
        </w:rPr>
        <w:t>本协议书与下列文件一起构成合同文件：</w:t>
      </w:r>
    </w:p>
    <w:p w14:paraId="305AF906">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（1）中标通知书（如果有）；</w:t>
      </w:r>
    </w:p>
    <w:p w14:paraId="76344D64">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 xml:space="preserve">（2）投标函及其附录（如果有）； </w:t>
      </w:r>
    </w:p>
    <w:p w14:paraId="622E6024">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（3）专用合同条款及其附件；</w:t>
      </w:r>
    </w:p>
    <w:p w14:paraId="0C2F62C7">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（4）通用合同条款；</w:t>
      </w:r>
    </w:p>
    <w:p w14:paraId="63E4B417">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（5）技术标准和要求；</w:t>
      </w:r>
    </w:p>
    <w:p w14:paraId="4CB7A713">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（6）图纸；</w:t>
      </w:r>
    </w:p>
    <w:p w14:paraId="1C6DAC89">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（7）已标价工程量清单或预算书；</w:t>
      </w:r>
    </w:p>
    <w:p w14:paraId="0BD3F204">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（8）其他合同文件。</w:t>
      </w:r>
    </w:p>
    <w:p w14:paraId="7C8F9E5C">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在合同订立及履行过程中形成的与合同有关的文件均构成合同文件组成部分。</w:t>
      </w:r>
    </w:p>
    <w:p w14:paraId="7FA20C90">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上述各项合同文件包括合同当事人就该项合同文件所作出的补充和修改，属于同一类内容的文件，应以最新签署的为准。</w:t>
      </w:r>
      <w:r>
        <w:rPr>
          <w:rFonts w:hint="eastAsia" w:ascii="Times New Roman" w:hAnsi="Times New Roman" w:eastAsia="仿宋_GB2312"/>
          <w:color w:val="auto"/>
          <w:sz w:val="21"/>
          <w:szCs w:val="21"/>
          <w:highlight w:val="none"/>
        </w:rPr>
        <w:t>专用合同条款及其附件须经合同当事人签字或盖章。</w:t>
      </w:r>
    </w:p>
    <w:p w14:paraId="0BCB94D1">
      <w:pPr>
        <w:pStyle w:val="5"/>
        <w:pageBreakBefore w:val="0"/>
        <w:widowControl w:val="0"/>
        <w:kinsoku/>
        <w:wordWrap/>
        <w:overflowPunct/>
        <w:topLinePunct w:val="0"/>
        <w:bidi w:val="0"/>
        <w:adjustRightInd w:val="0"/>
        <w:snapToGrid w:val="0"/>
        <w:spacing w:before="0" w:after="0" w:line="360" w:lineRule="auto"/>
        <w:textAlignment w:val="auto"/>
        <w:outlineLvl w:val="3"/>
        <w:rPr>
          <w:rFonts w:ascii="Arial" w:hAnsi="Arial" w:eastAsia="黑体" w:cs="Times New Roman"/>
          <w:b/>
          <w:color w:val="auto"/>
          <w:sz w:val="21"/>
          <w:szCs w:val="21"/>
          <w:highlight w:val="none"/>
        </w:rPr>
      </w:pPr>
      <w:bookmarkStart w:id="756" w:name="_Toc18935"/>
      <w:bookmarkStart w:id="757" w:name="_Toc351203487"/>
      <w:bookmarkStart w:id="758" w:name="_Toc24106"/>
      <w:r>
        <w:rPr>
          <w:rFonts w:ascii="Arial" w:hAnsi="Arial" w:eastAsia="黑体" w:cs="Times New Roman"/>
          <w:b/>
          <w:color w:val="auto"/>
          <w:sz w:val="21"/>
          <w:szCs w:val="21"/>
          <w:highlight w:val="none"/>
        </w:rPr>
        <w:t>七、承诺</w:t>
      </w:r>
      <w:bookmarkEnd w:id="756"/>
      <w:bookmarkEnd w:id="757"/>
      <w:bookmarkEnd w:id="758"/>
    </w:p>
    <w:p w14:paraId="31CB8DE5">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bCs/>
          <w:color w:val="auto"/>
          <w:sz w:val="21"/>
          <w:szCs w:val="21"/>
          <w:highlight w:val="none"/>
        </w:rPr>
      </w:pPr>
      <w:r>
        <w:rPr>
          <w:rFonts w:ascii="Times New Roman" w:hAnsi="Times New Roman" w:eastAsia="仿宋_GB2312"/>
          <w:bCs/>
          <w:color w:val="auto"/>
          <w:sz w:val="21"/>
          <w:szCs w:val="21"/>
          <w:highlight w:val="none"/>
        </w:rPr>
        <w:t>1.发包人承诺按照法律规定履行项目审批手续、筹集工程建设资金并按照合同约定的期限和方式支付合同价款。</w:t>
      </w:r>
    </w:p>
    <w:p w14:paraId="1876F61E">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bCs/>
          <w:color w:val="auto"/>
          <w:sz w:val="21"/>
          <w:szCs w:val="21"/>
          <w:highlight w:val="none"/>
        </w:rPr>
      </w:pPr>
      <w:r>
        <w:rPr>
          <w:rFonts w:ascii="Times New Roman" w:hAnsi="Times New Roman" w:eastAsia="仿宋_GB2312"/>
          <w:bCs/>
          <w:color w:val="auto"/>
          <w:sz w:val="21"/>
          <w:szCs w:val="21"/>
          <w:highlight w:val="none"/>
        </w:rPr>
        <w:t>2.承包人承诺按照法律规定及合同约定组织完成工程施工，确保工程质量和安全，不进行转包及违法分包，并在缺陷责任期及保修期内承担相应的工程维修责任。</w:t>
      </w:r>
    </w:p>
    <w:p w14:paraId="11A21455">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bCs/>
          <w:color w:val="auto"/>
          <w:sz w:val="21"/>
          <w:szCs w:val="21"/>
          <w:highlight w:val="none"/>
        </w:rPr>
      </w:pPr>
      <w:r>
        <w:rPr>
          <w:rFonts w:ascii="Times New Roman" w:hAnsi="Times New Roman" w:eastAsia="仿宋_GB2312"/>
          <w:bCs/>
          <w:color w:val="auto"/>
          <w:sz w:val="21"/>
          <w:szCs w:val="21"/>
          <w:highlight w:val="none"/>
        </w:rPr>
        <w:t>3.发包人和承包人通过招投标形式签订合同的，双方理解并</w:t>
      </w:r>
      <w:r>
        <w:rPr>
          <w:rFonts w:hint="eastAsia" w:ascii="Times New Roman" w:hAnsi="Times New Roman" w:eastAsia="仿宋_GB2312"/>
          <w:bCs/>
          <w:color w:val="auto"/>
          <w:sz w:val="21"/>
          <w:szCs w:val="21"/>
          <w:highlight w:val="none"/>
        </w:rPr>
        <w:t>承诺</w:t>
      </w:r>
      <w:r>
        <w:rPr>
          <w:rFonts w:ascii="Times New Roman" w:hAnsi="Times New Roman" w:eastAsia="仿宋_GB2312"/>
          <w:bCs/>
          <w:color w:val="auto"/>
          <w:sz w:val="21"/>
          <w:szCs w:val="21"/>
          <w:highlight w:val="none"/>
        </w:rPr>
        <w:t>不再就同一工程另行签订与合同实质性内容相背离的协议。</w:t>
      </w:r>
    </w:p>
    <w:p w14:paraId="0AD4D530">
      <w:pPr>
        <w:pStyle w:val="5"/>
        <w:pageBreakBefore w:val="0"/>
        <w:widowControl w:val="0"/>
        <w:kinsoku/>
        <w:wordWrap/>
        <w:overflowPunct/>
        <w:topLinePunct w:val="0"/>
        <w:bidi w:val="0"/>
        <w:adjustRightInd w:val="0"/>
        <w:snapToGrid w:val="0"/>
        <w:spacing w:before="0" w:after="0" w:line="360" w:lineRule="auto"/>
        <w:textAlignment w:val="auto"/>
        <w:outlineLvl w:val="3"/>
        <w:rPr>
          <w:rFonts w:ascii="Arial" w:hAnsi="Arial" w:eastAsia="黑体" w:cs="Times New Roman"/>
          <w:b/>
          <w:color w:val="auto"/>
          <w:sz w:val="21"/>
          <w:szCs w:val="21"/>
          <w:highlight w:val="none"/>
        </w:rPr>
      </w:pPr>
      <w:bookmarkStart w:id="759" w:name="_Toc7072"/>
      <w:bookmarkStart w:id="760" w:name="_Toc351203488"/>
      <w:bookmarkStart w:id="761" w:name="_Toc13510"/>
      <w:r>
        <w:rPr>
          <w:rFonts w:ascii="Arial" w:hAnsi="Arial" w:eastAsia="黑体" w:cs="Times New Roman"/>
          <w:b/>
          <w:color w:val="auto"/>
          <w:sz w:val="21"/>
          <w:szCs w:val="21"/>
          <w:highlight w:val="none"/>
        </w:rPr>
        <w:t>八、词语含义</w:t>
      </w:r>
      <w:bookmarkEnd w:id="759"/>
      <w:bookmarkEnd w:id="760"/>
      <w:bookmarkEnd w:id="761"/>
    </w:p>
    <w:p w14:paraId="23B0454D">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bCs/>
          <w:color w:val="auto"/>
          <w:sz w:val="21"/>
          <w:szCs w:val="21"/>
          <w:highlight w:val="none"/>
        </w:rPr>
      </w:pPr>
      <w:r>
        <w:rPr>
          <w:rFonts w:ascii="Times New Roman" w:hAnsi="Times New Roman" w:eastAsia="仿宋_GB2312"/>
          <w:bCs/>
          <w:color w:val="auto"/>
          <w:sz w:val="21"/>
          <w:szCs w:val="21"/>
          <w:highlight w:val="none"/>
        </w:rPr>
        <w:t>本协议书中词语含义与第二部分通用合同条款中赋予的含义相同。</w:t>
      </w:r>
    </w:p>
    <w:p w14:paraId="52F81A6E">
      <w:pPr>
        <w:pStyle w:val="5"/>
        <w:pageBreakBefore w:val="0"/>
        <w:widowControl w:val="0"/>
        <w:kinsoku/>
        <w:wordWrap/>
        <w:overflowPunct/>
        <w:topLinePunct w:val="0"/>
        <w:bidi w:val="0"/>
        <w:adjustRightInd w:val="0"/>
        <w:snapToGrid w:val="0"/>
        <w:spacing w:before="0" w:after="0" w:line="360" w:lineRule="auto"/>
        <w:textAlignment w:val="auto"/>
        <w:outlineLvl w:val="3"/>
        <w:rPr>
          <w:rFonts w:ascii="Arial" w:hAnsi="Arial" w:eastAsia="黑体" w:cs="Times New Roman"/>
          <w:b/>
          <w:color w:val="auto"/>
          <w:sz w:val="21"/>
          <w:szCs w:val="21"/>
          <w:highlight w:val="none"/>
        </w:rPr>
      </w:pPr>
      <w:bookmarkStart w:id="762" w:name="_Toc18215"/>
      <w:bookmarkStart w:id="763" w:name="_Toc351203489"/>
      <w:bookmarkStart w:id="764" w:name="_Toc24488"/>
      <w:r>
        <w:rPr>
          <w:rFonts w:ascii="Arial" w:hAnsi="Arial" w:eastAsia="黑体" w:cs="Times New Roman"/>
          <w:b/>
          <w:color w:val="auto"/>
          <w:sz w:val="21"/>
          <w:szCs w:val="21"/>
          <w:highlight w:val="none"/>
        </w:rPr>
        <w:t>九、签订时间</w:t>
      </w:r>
      <w:bookmarkEnd w:id="762"/>
      <w:bookmarkEnd w:id="763"/>
      <w:bookmarkEnd w:id="764"/>
    </w:p>
    <w:p w14:paraId="56231551">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bCs/>
          <w:color w:val="auto"/>
          <w:sz w:val="21"/>
          <w:szCs w:val="21"/>
          <w:highlight w:val="none"/>
        </w:rPr>
      </w:pPr>
      <w:r>
        <w:rPr>
          <w:rFonts w:ascii="Times New Roman" w:hAnsi="Times New Roman" w:eastAsia="仿宋_GB2312"/>
          <w:bCs/>
          <w:color w:val="auto"/>
          <w:sz w:val="21"/>
          <w:szCs w:val="21"/>
          <w:highlight w:val="none"/>
        </w:rPr>
        <w:t>本合同于</w:t>
      </w:r>
      <w:r>
        <w:rPr>
          <w:rFonts w:ascii="Times New Roman" w:hAnsi="Times New Roman" w:eastAsia="仿宋_GB2312"/>
          <w:bCs/>
          <w:color w:val="auto"/>
          <w:sz w:val="21"/>
          <w:szCs w:val="21"/>
          <w:highlight w:val="none"/>
          <w:u w:val="single"/>
        </w:rPr>
        <w:t xml:space="preserve">         </w:t>
      </w:r>
      <w:r>
        <w:rPr>
          <w:rFonts w:ascii="Times New Roman" w:hAnsi="Times New Roman" w:eastAsia="仿宋_GB2312"/>
          <w:bCs/>
          <w:color w:val="auto"/>
          <w:sz w:val="21"/>
          <w:szCs w:val="21"/>
          <w:highlight w:val="none"/>
        </w:rPr>
        <w:t>年</w:t>
      </w:r>
      <w:r>
        <w:rPr>
          <w:rFonts w:ascii="Times New Roman" w:hAnsi="Times New Roman" w:eastAsia="仿宋_GB2312"/>
          <w:bCs/>
          <w:color w:val="auto"/>
          <w:sz w:val="21"/>
          <w:szCs w:val="21"/>
          <w:highlight w:val="none"/>
          <w:u w:val="single"/>
        </w:rPr>
        <w:t xml:space="preserve">    </w:t>
      </w:r>
      <w:r>
        <w:rPr>
          <w:rFonts w:ascii="Times New Roman" w:hAnsi="Times New Roman" w:eastAsia="仿宋_GB2312"/>
          <w:bCs/>
          <w:color w:val="auto"/>
          <w:sz w:val="21"/>
          <w:szCs w:val="21"/>
          <w:highlight w:val="none"/>
        </w:rPr>
        <w:t>月</w:t>
      </w:r>
      <w:r>
        <w:rPr>
          <w:rFonts w:ascii="Times New Roman" w:hAnsi="Times New Roman" w:eastAsia="仿宋_GB2312"/>
          <w:bCs/>
          <w:color w:val="auto"/>
          <w:sz w:val="21"/>
          <w:szCs w:val="21"/>
          <w:highlight w:val="none"/>
          <w:u w:val="single"/>
        </w:rPr>
        <w:t xml:space="preserve">    </w:t>
      </w:r>
      <w:r>
        <w:rPr>
          <w:rFonts w:ascii="Times New Roman" w:hAnsi="Times New Roman" w:eastAsia="仿宋_GB2312"/>
          <w:bCs/>
          <w:color w:val="auto"/>
          <w:sz w:val="21"/>
          <w:szCs w:val="21"/>
          <w:highlight w:val="none"/>
        </w:rPr>
        <w:t>日签订。</w:t>
      </w:r>
    </w:p>
    <w:p w14:paraId="570701D0">
      <w:pPr>
        <w:pStyle w:val="5"/>
        <w:pageBreakBefore w:val="0"/>
        <w:widowControl w:val="0"/>
        <w:kinsoku/>
        <w:wordWrap/>
        <w:overflowPunct/>
        <w:topLinePunct w:val="0"/>
        <w:bidi w:val="0"/>
        <w:adjustRightInd w:val="0"/>
        <w:snapToGrid w:val="0"/>
        <w:spacing w:before="0" w:after="0" w:line="360" w:lineRule="auto"/>
        <w:textAlignment w:val="auto"/>
        <w:outlineLvl w:val="3"/>
        <w:rPr>
          <w:rFonts w:ascii="Arial" w:hAnsi="Arial" w:eastAsia="黑体" w:cs="Times New Roman"/>
          <w:b/>
          <w:color w:val="auto"/>
          <w:sz w:val="21"/>
          <w:szCs w:val="21"/>
          <w:highlight w:val="none"/>
        </w:rPr>
      </w:pPr>
      <w:bookmarkStart w:id="765" w:name="_Toc26264"/>
      <w:bookmarkStart w:id="766" w:name="_Toc351203490"/>
      <w:r>
        <w:rPr>
          <w:rFonts w:ascii="Arial" w:hAnsi="Arial" w:eastAsia="黑体" w:cs="Times New Roman"/>
          <w:b/>
          <w:color w:val="auto"/>
          <w:sz w:val="21"/>
          <w:szCs w:val="21"/>
          <w:highlight w:val="none"/>
        </w:rPr>
        <w:t>十、签订地点</w:t>
      </w:r>
      <w:bookmarkEnd w:id="765"/>
      <w:bookmarkEnd w:id="766"/>
    </w:p>
    <w:p w14:paraId="4970B1EF">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bCs/>
          <w:color w:val="auto"/>
          <w:sz w:val="21"/>
          <w:szCs w:val="21"/>
          <w:highlight w:val="none"/>
        </w:rPr>
      </w:pPr>
      <w:r>
        <w:rPr>
          <w:rFonts w:ascii="Times New Roman" w:hAnsi="Times New Roman" w:eastAsia="仿宋_GB2312"/>
          <w:bCs/>
          <w:color w:val="auto"/>
          <w:sz w:val="21"/>
          <w:szCs w:val="21"/>
          <w:highlight w:val="none"/>
        </w:rPr>
        <w:t>本合同在</w:t>
      </w:r>
      <w:r>
        <w:rPr>
          <w:rFonts w:ascii="Times New Roman" w:hAnsi="Times New Roman" w:eastAsia="仿宋_GB2312"/>
          <w:bCs/>
          <w:color w:val="auto"/>
          <w:sz w:val="21"/>
          <w:szCs w:val="21"/>
          <w:highlight w:val="none"/>
          <w:u w:val="single"/>
        </w:rPr>
        <w:t xml:space="preserve">                                    </w:t>
      </w:r>
      <w:r>
        <w:rPr>
          <w:rFonts w:ascii="Times New Roman" w:hAnsi="Times New Roman" w:eastAsia="仿宋_GB2312"/>
          <w:bCs/>
          <w:color w:val="auto"/>
          <w:sz w:val="21"/>
          <w:szCs w:val="21"/>
          <w:highlight w:val="none"/>
        </w:rPr>
        <w:t>签订。</w:t>
      </w:r>
    </w:p>
    <w:p w14:paraId="1C7F5203">
      <w:pPr>
        <w:pStyle w:val="5"/>
        <w:pageBreakBefore w:val="0"/>
        <w:widowControl w:val="0"/>
        <w:kinsoku/>
        <w:wordWrap/>
        <w:overflowPunct/>
        <w:topLinePunct w:val="0"/>
        <w:bidi w:val="0"/>
        <w:adjustRightInd w:val="0"/>
        <w:snapToGrid w:val="0"/>
        <w:spacing w:before="0" w:after="0" w:line="360" w:lineRule="auto"/>
        <w:textAlignment w:val="auto"/>
        <w:outlineLvl w:val="3"/>
        <w:rPr>
          <w:rFonts w:ascii="Arial" w:hAnsi="Arial" w:eastAsia="黑体" w:cs="Times New Roman"/>
          <w:b/>
          <w:color w:val="auto"/>
          <w:sz w:val="21"/>
          <w:szCs w:val="21"/>
          <w:highlight w:val="none"/>
        </w:rPr>
      </w:pPr>
      <w:bookmarkStart w:id="767" w:name="_Toc16244"/>
      <w:bookmarkStart w:id="768" w:name="_Toc351203491"/>
      <w:bookmarkStart w:id="769" w:name="_Toc30973"/>
      <w:r>
        <w:rPr>
          <w:rFonts w:ascii="Arial" w:hAnsi="Arial" w:eastAsia="黑体" w:cs="Times New Roman"/>
          <w:b/>
          <w:color w:val="auto"/>
          <w:sz w:val="21"/>
          <w:szCs w:val="21"/>
          <w:highlight w:val="none"/>
        </w:rPr>
        <w:t>十一、补充协议</w:t>
      </w:r>
      <w:bookmarkEnd w:id="767"/>
      <w:bookmarkEnd w:id="768"/>
      <w:bookmarkEnd w:id="769"/>
    </w:p>
    <w:p w14:paraId="62026501">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b/>
          <w:bCs/>
          <w:color w:val="auto"/>
          <w:sz w:val="21"/>
          <w:szCs w:val="21"/>
          <w:highlight w:val="none"/>
        </w:rPr>
      </w:pPr>
      <w:r>
        <w:rPr>
          <w:rFonts w:ascii="Times New Roman" w:hAnsi="Times New Roman" w:eastAsia="仿宋_GB2312"/>
          <w:bCs/>
          <w:color w:val="auto"/>
          <w:sz w:val="21"/>
          <w:szCs w:val="21"/>
          <w:highlight w:val="none"/>
        </w:rPr>
        <w:t>合同未尽事宜，合同当事人另行签订补充协议</w:t>
      </w:r>
      <w:r>
        <w:rPr>
          <w:rFonts w:hint="eastAsia" w:ascii="Times New Roman" w:hAnsi="Times New Roman" w:eastAsia="仿宋_GB2312"/>
          <w:bCs/>
          <w:color w:val="auto"/>
          <w:sz w:val="21"/>
          <w:szCs w:val="21"/>
          <w:highlight w:val="none"/>
        </w:rPr>
        <w:t>，</w:t>
      </w:r>
      <w:r>
        <w:rPr>
          <w:rFonts w:ascii="Times New Roman" w:hAnsi="Times New Roman" w:eastAsia="仿宋_GB2312"/>
          <w:bCs/>
          <w:color w:val="auto"/>
          <w:sz w:val="21"/>
          <w:szCs w:val="21"/>
          <w:highlight w:val="none"/>
        </w:rPr>
        <w:t>补充协议是合同的组成部分。</w:t>
      </w:r>
    </w:p>
    <w:p w14:paraId="563413B8">
      <w:pPr>
        <w:pStyle w:val="5"/>
        <w:pageBreakBefore w:val="0"/>
        <w:widowControl w:val="0"/>
        <w:kinsoku/>
        <w:wordWrap/>
        <w:overflowPunct/>
        <w:topLinePunct w:val="0"/>
        <w:bidi w:val="0"/>
        <w:adjustRightInd w:val="0"/>
        <w:snapToGrid w:val="0"/>
        <w:spacing w:before="0" w:after="0" w:line="360" w:lineRule="auto"/>
        <w:textAlignment w:val="auto"/>
        <w:outlineLvl w:val="3"/>
        <w:rPr>
          <w:rFonts w:ascii="Arial" w:hAnsi="Arial" w:eastAsia="黑体" w:cs="Times New Roman"/>
          <w:b/>
          <w:color w:val="auto"/>
          <w:sz w:val="21"/>
          <w:szCs w:val="21"/>
          <w:highlight w:val="none"/>
        </w:rPr>
      </w:pPr>
      <w:bookmarkStart w:id="770" w:name="_Toc25000"/>
      <w:bookmarkStart w:id="771" w:name="_Toc21074"/>
      <w:bookmarkStart w:id="772" w:name="_Toc351203492"/>
      <w:r>
        <w:rPr>
          <w:rFonts w:ascii="Arial" w:hAnsi="Arial" w:eastAsia="黑体" w:cs="Times New Roman"/>
          <w:b/>
          <w:color w:val="auto"/>
          <w:sz w:val="21"/>
          <w:szCs w:val="21"/>
          <w:highlight w:val="none"/>
        </w:rPr>
        <w:t>十二、合同生效</w:t>
      </w:r>
      <w:bookmarkEnd w:id="770"/>
      <w:bookmarkEnd w:id="771"/>
      <w:bookmarkEnd w:id="772"/>
    </w:p>
    <w:p w14:paraId="666D16C1">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bCs/>
          <w:color w:val="auto"/>
          <w:sz w:val="21"/>
          <w:szCs w:val="21"/>
          <w:highlight w:val="none"/>
        </w:rPr>
      </w:pPr>
      <w:r>
        <w:rPr>
          <w:rFonts w:ascii="Times New Roman" w:hAnsi="Times New Roman" w:eastAsia="仿宋_GB2312"/>
          <w:bCs/>
          <w:color w:val="auto"/>
          <w:sz w:val="21"/>
          <w:szCs w:val="21"/>
          <w:highlight w:val="none"/>
        </w:rPr>
        <w:t>本合同自</w:t>
      </w:r>
      <w:r>
        <w:rPr>
          <w:rFonts w:ascii="Times New Roman" w:hAnsi="Times New Roman" w:eastAsia="仿宋_GB2312"/>
          <w:bCs/>
          <w:color w:val="auto"/>
          <w:sz w:val="21"/>
          <w:szCs w:val="21"/>
          <w:highlight w:val="none"/>
          <w:u w:val="single"/>
        </w:rPr>
        <w:t xml:space="preserve">   </w:t>
      </w:r>
      <w:r>
        <w:rPr>
          <w:rFonts w:hint="eastAsia" w:ascii="Times New Roman" w:hAnsi="Times New Roman" w:eastAsia="仿宋_GB2312"/>
          <w:bCs/>
          <w:color w:val="auto"/>
          <w:sz w:val="21"/>
          <w:szCs w:val="21"/>
          <w:highlight w:val="none"/>
          <w:u w:val="single"/>
        </w:rPr>
        <w:t>双方签字并盖章之日起</w:t>
      </w:r>
      <w:r>
        <w:rPr>
          <w:rFonts w:ascii="Times New Roman" w:hAnsi="Times New Roman" w:eastAsia="仿宋_GB2312"/>
          <w:bCs/>
          <w:color w:val="auto"/>
          <w:sz w:val="21"/>
          <w:szCs w:val="21"/>
          <w:highlight w:val="none"/>
          <w:u w:val="single"/>
        </w:rPr>
        <w:t xml:space="preserve">   </w:t>
      </w:r>
      <w:r>
        <w:rPr>
          <w:rFonts w:ascii="Times New Roman" w:hAnsi="Times New Roman" w:eastAsia="仿宋_GB2312"/>
          <w:bCs/>
          <w:color w:val="auto"/>
          <w:sz w:val="21"/>
          <w:szCs w:val="21"/>
          <w:highlight w:val="none"/>
        </w:rPr>
        <w:t>生效。</w:t>
      </w:r>
    </w:p>
    <w:p w14:paraId="73DA093D">
      <w:pPr>
        <w:pStyle w:val="5"/>
        <w:pageBreakBefore w:val="0"/>
        <w:widowControl w:val="0"/>
        <w:kinsoku/>
        <w:wordWrap/>
        <w:overflowPunct/>
        <w:topLinePunct w:val="0"/>
        <w:bidi w:val="0"/>
        <w:adjustRightInd w:val="0"/>
        <w:snapToGrid w:val="0"/>
        <w:spacing w:before="0" w:after="0" w:line="360" w:lineRule="auto"/>
        <w:textAlignment w:val="auto"/>
        <w:outlineLvl w:val="3"/>
        <w:rPr>
          <w:rFonts w:ascii="Arial" w:hAnsi="Arial" w:eastAsia="黑体" w:cs="Times New Roman"/>
          <w:b/>
          <w:color w:val="auto"/>
          <w:sz w:val="21"/>
          <w:szCs w:val="21"/>
          <w:highlight w:val="none"/>
        </w:rPr>
      </w:pPr>
      <w:bookmarkStart w:id="773" w:name="_Toc351203493"/>
      <w:bookmarkStart w:id="774" w:name="_Toc11444"/>
      <w:bookmarkStart w:id="775" w:name="_Toc21335"/>
      <w:r>
        <w:rPr>
          <w:rFonts w:ascii="Arial" w:hAnsi="Arial" w:eastAsia="黑体" w:cs="Times New Roman"/>
          <w:b/>
          <w:color w:val="auto"/>
          <w:sz w:val="21"/>
          <w:szCs w:val="21"/>
          <w:highlight w:val="none"/>
        </w:rPr>
        <w:t>十三、合同份数</w:t>
      </w:r>
      <w:bookmarkEnd w:id="773"/>
      <w:bookmarkEnd w:id="774"/>
      <w:bookmarkEnd w:id="775"/>
    </w:p>
    <w:p w14:paraId="7FD1D34C">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bCs/>
          <w:color w:val="auto"/>
          <w:sz w:val="21"/>
          <w:szCs w:val="21"/>
          <w:highlight w:val="none"/>
        </w:rPr>
      </w:pPr>
      <w:r>
        <w:rPr>
          <w:rFonts w:ascii="Times New Roman" w:hAnsi="Times New Roman" w:eastAsia="仿宋_GB2312"/>
          <w:bCs/>
          <w:color w:val="auto"/>
          <w:sz w:val="21"/>
          <w:szCs w:val="21"/>
          <w:highlight w:val="none"/>
        </w:rPr>
        <w:t>本合同一式</w:t>
      </w:r>
      <w:r>
        <w:rPr>
          <w:rFonts w:ascii="Times New Roman" w:hAnsi="Times New Roman" w:eastAsia="仿宋_GB2312"/>
          <w:bCs/>
          <w:color w:val="auto"/>
          <w:sz w:val="21"/>
          <w:szCs w:val="21"/>
          <w:highlight w:val="none"/>
          <w:u w:val="single"/>
        </w:rPr>
        <w:t xml:space="preserve"> </w:t>
      </w:r>
      <w:r>
        <w:rPr>
          <w:rFonts w:hint="eastAsia" w:eastAsia="仿宋_GB2312"/>
          <w:bCs/>
          <w:color w:val="auto"/>
          <w:sz w:val="21"/>
          <w:szCs w:val="21"/>
          <w:highlight w:val="none"/>
          <w:u w:val="single"/>
          <w:lang w:val="en-US" w:eastAsia="zh-CN"/>
        </w:rPr>
        <w:t>四</w:t>
      </w:r>
      <w:r>
        <w:rPr>
          <w:rFonts w:ascii="Times New Roman" w:hAnsi="Times New Roman" w:eastAsia="仿宋_GB2312"/>
          <w:bCs/>
          <w:color w:val="auto"/>
          <w:sz w:val="21"/>
          <w:szCs w:val="21"/>
          <w:highlight w:val="none"/>
          <w:u w:val="single"/>
        </w:rPr>
        <w:t xml:space="preserve"> </w:t>
      </w:r>
      <w:r>
        <w:rPr>
          <w:rFonts w:ascii="Times New Roman" w:hAnsi="Times New Roman" w:eastAsia="仿宋_GB2312"/>
          <w:bCs/>
          <w:color w:val="auto"/>
          <w:sz w:val="21"/>
          <w:szCs w:val="21"/>
          <w:highlight w:val="none"/>
        </w:rPr>
        <w:t>份，均具有同等法律效力，发包人执</w:t>
      </w:r>
      <w:r>
        <w:rPr>
          <w:rFonts w:ascii="Times New Roman" w:hAnsi="Times New Roman" w:eastAsia="仿宋_GB2312"/>
          <w:bCs/>
          <w:color w:val="auto"/>
          <w:sz w:val="21"/>
          <w:szCs w:val="21"/>
          <w:highlight w:val="none"/>
          <w:u w:val="single"/>
        </w:rPr>
        <w:t xml:space="preserve"> </w:t>
      </w:r>
      <w:r>
        <w:rPr>
          <w:rFonts w:hint="eastAsia" w:eastAsia="仿宋_GB2312"/>
          <w:bCs/>
          <w:color w:val="auto"/>
          <w:sz w:val="21"/>
          <w:szCs w:val="21"/>
          <w:highlight w:val="none"/>
          <w:u w:val="single"/>
          <w:lang w:val="en-US" w:eastAsia="zh-CN"/>
        </w:rPr>
        <w:t>两</w:t>
      </w:r>
      <w:r>
        <w:rPr>
          <w:rFonts w:hint="eastAsia" w:ascii="Times New Roman" w:hAnsi="Times New Roman" w:eastAsia="仿宋_GB2312"/>
          <w:bCs/>
          <w:color w:val="auto"/>
          <w:sz w:val="21"/>
          <w:szCs w:val="21"/>
          <w:highlight w:val="none"/>
          <w:u w:val="single"/>
        </w:rPr>
        <w:t xml:space="preserve"> </w:t>
      </w:r>
      <w:r>
        <w:rPr>
          <w:rFonts w:ascii="Times New Roman" w:hAnsi="Times New Roman" w:eastAsia="仿宋_GB2312"/>
          <w:bCs/>
          <w:color w:val="auto"/>
          <w:sz w:val="21"/>
          <w:szCs w:val="21"/>
          <w:highlight w:val="none"/>
        </w:rPr>
        <w:t>份，承包人执</w:t>
      </w:r>
      <w:r>
        <w:rPr>
          <w:rFonts w:ascii="Times New Roman" w:hAnsi="Times New Roman" w:eastAsia="仿宋_GB2312"/>
          <w:bCs/>
          <w:color w:val="auto"/>
          <w:sz w:val="21"/>
          <w:szCs w:val="21"/>
          <w:highlight w:val="none"/>
          <w:u w:val="single"/>
        </w:rPr>
        <w:t xml:space="preserve"> </w:t>
      </w:r>
      <w:r>
        <w:rPr>
          <w:rFonts w:hint="eastAsia" w:eastAsia="仿宋_GB2312"/>
          <w:bCs/>
          <w:color w:val="auto"/>
          <w:sz w:val="21"/>
          <w:szCs w:val="21"/>
          <w:highlight w:val="none"/>
          <w:u w:val="single"/>
          <w:lang w:val="en-US" w:eastAsia="zh-CN"/>
        </w:rPr>
        <w:t>两</w:t>
      </w:r>
      <w:r>
        <w:rPr>
          <w:rFonts w:hint="eastAsia" w:ascii="Times New Roman" w:hAnsi="Times New Roman" w:eastAsia="仿宋_GB2312"/>
          <w:bCs/>
          <w:color w:val="auto"/>
          <w:sz w:val="21"/>
          <w:szCs w:val="21"/>
          <w:highlight w:val="none"/>
          <w:u w:val="single"/>
        </w:rPr>
        <w:t xml:space="preserve"> </w:t>
      </w:r>
      <w:r>
        <w:rPr>
          <w:rFonts w:ascii="Times New Roman" w:hAnsi="Times New Roman" w:eastAsia="仿宋_GB2312"/>
          <w:bCs/>
          <w:color w:val="auto"/>
          <w:sz w:val="21"/>
          <w:szCs w:val="21"/>
          <w:highlight w:val="none"/>
        </w:rPr>
        <w:t>份。</w:t>
      </w:r>
    </w:p>
    <w:p w14:paraId="47B63562">
      <w:pPr>
        <w:pageBreakBefore w:val="0"/>
        <w:widowControl w:val="0"/>
        <w:kinsoku/>
        <w:wordWrap/>
        <w:overflowPunct/>
        <w:topLinePunct w:val="0"/>
        <w:bidi w:val="0"/>
        <w:adjustRightInd w:val="0"/>
        <w:snapToGrid w:val="0"/>
        <w:spacing w:line="360" w:lineRule="auto"/>
        <w:textAlignment w:val="auto"/>
        <w:rPr>
          <w:rFonts w:hint="eastAsia" w:ascii="Times New Roman" w:hAnsi="Times New Roman" w:eastAsia="仿宋_GB2312"/>
          <w:bCs/>
          <w:color w:val="auto"/>
          <w:sz w:val="21"/>
          <w:szCs w:val="21"/>
          <w:highlight w:val="none"/>
        </w:rPr>
      </w:pPr>
    </w:p>
    <w:p w14:paraId="6460238A">
      <w:pPr>
        <w:pageBreakBefore w:val="0"/>
        <w:widowControl w:val="0"/>
        <w:kinsoku/>
        <w:wordWrap/>
        <w:overflowPunct/>
        <w:topLinePunct w:val="0"/>
        <w:bidi w:val="0"/>
        <w:adjustRightInd w:val="0"/>
        <w:snapToGrid w:val="0"/>
        <w:spacing w:line="360" w:lineRule="auto"/>
        <w:textAlignment w:val="auto"/>
        <w:rPr>
          <w:rFonts w:hint="eastAsia" w:ascii="Times New Roman" w:hAnsi="Times New Roman" w:eastAsia="仿宋_GB2312"/>
          <w:bCs/>
          <w:color w:val="auto"/>
          <w:sz w:val="21"/>
          <w:szCs w:val="21"/>
          <w:highlight w:val="none"/>
        </w:rPr>
      </w:pPr>
    </w:p>
    <w:p w14:paraId="33324F19">
      <w:pPr>
        <w:pageBreakBefore w:val="0"/>
        <w:widowControl w:val="0"/>
        <w:kinsoku/>
        <w:wordWrap/>
        <w:overflowPunct/>
        <w:topLinePunct w:val="0"/>
        <w:bidi w:val="0"/>
        <w:adjustRightInd w:val="0"/>
        <w:snapToGrid w:val="0"/>
        <w:spacing w:line="360" w:lineRule="auto"/>
        <w:textAlignment w:val="auto"/>
        <w:rPr>
          <w:rFonts w:hint="eastAsia" w:ascii="Times New Roman" w:hAnsi="Times New Roman" w:eastAsia="仿宋_GB2312"/>
          <w:bCs/>
          <w:color w:val="auto"/>
          <w:sz w:val="21"/>
          <w:szCs w:val="21"/>
          <w:highlight w:val="none"/>
        </w:rPr>
      </w:pPr>
    </w:p>
    <w:p w14:paraId="26E00A44">
      <w:pPr>
        <w:pageBreakBefore w:val="0"/>
        <w:widowControl w:val="0"/>
        <w:kinsoku/>
        <w:wordWrap/>
        <w:overflowPunct/>
        <w:topLinePunct w:val="0"/>
        <w:bidi w:val="0"/>
        <w:adjustRightInd w:val="0"/>
        <w:snapToGrid w:val="0"/>
        <w:spacing w:line="360" w:lineRule="auto"/>
        <w:textAlignment w:val="auto"/>
        <w:rPr>
          <w:rFonts w:hint="eastAsia" w:ascii="Times New Roman" w:hAnsi="Times New Roman" w:eastAsia="仿宋_GB2312"/>
          <w:bCs/>
          <w:color w:val="auto"/>
          <w:sz w:val="21"/>
          <w:szCs w:val="21"/>
          <w:highlight w:val="none"/>
        </w:rPr>
      </w:pPr>
    </w:p>
    <w:p w14:paraId="7A1964A6">
      <w:pPr>
        <w:pageBreakBefore w:val="0"/>
        <w:widowControl w:val="0"/>
        <w:kinsoku/>
        <w:wordWrap/>
        <w:overflowPunct/>
        <w:topLinePunct w:val="0"/>
        <w:bidi w:val="0"/>
        <w:adjustRightInd w:val="0"/>
        <w:snapToGrid w:val="0"/>
        <w:spacing w:line="360" w:lineRule="auto"/>
        <w:textAlignment w:val="auto"/>
        <w:rPr>
          <w:rFonts w:hint="eastAsia" w:ascii="Times New Roman" w:hAnsi="Times New Roman" w:eastAsia="仿宋_GB2312"/>
          <w:bCs/>
          <w:color w:val="auto"/>
          <w:sz w:val="21"/>
          <w:szCs w:val="21"/>
          <w:highlight w:val="none"/>
        </w:rPr>
      </w:pPr>
    </w:p>
    <w:p w14:paraId="51CDE11C">
      <w:pPr>
        <w:pageBreakBefore w:val="0"/>
        <w:widowControl w:val="0"/>
        <w:kinsoku/>
        <w:wordWrap/>
        <w:overflowPunct/>
        <w:topLinePunct w:val="0"/>
        <w:bidi w:val="0"/>
        <w:adjustRightInd w:val="0"/>
        <w:snapToGrid w:val="0"/>
        <w:spacing w:line="360" w:lineRule="auto"/>
        <w:ind w:firstLine="420" w:firstLineChars="200"/>
        <w:textAlignment w:val="auto"/>
        <w:rPr>
          <w:rFonts w:hint="eastAsia"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发包人</w:t>
      </w:r>
      <w:r>
        <w:rPr>
          <w:rFonts w:hint="eastAsia" w:ascii="Times New Roman" w:hAnsi="Times New Roman" w:eastAsia="仿宋_GB2312"/>
          <w:color w:val="auto"/>
          <w:sz w:val="21"/>
          <w:szCs w:val="21"/>
          <w:highlight w:val="none"/>
        </w:rPr>
        <w:t xml:space="preserve">：  </w:t>
      </w:r>
      <w:r>
        <w:rPr>
          <w:rFonts w:hint="eastAsia" w:eastAsia="仿宋_GB2312"/>
          <w:color w:val="auto"/>
          <w:sz w:val="21"/>
          <w:szCs w:val="21"/>
          <w:highlight w:val="none"/>
          <w:lang w:val="en-US" w:eastAsia="zh-CN"/>
        </w:rPr>
        <w:t xml:space="preserve">     （</w:t>
      </w:r>
      <w:r>
        <w:rPr>
          <w:rFonts w:ascii="Times New Roman" w:hAnsi="Times New Roman" w:eastAsia="仿宋_GB2312"/>
          <w:color w:val="auto"/>
          <w:sz w:val="21"/>
          <w:szCs w:val="21"/>
          <w:highlight w:val="none"/>
        </w:rPr>
        <w:t>公章</w:t>
      </w:r>
      <w:r>
        <w:rPr>
          <w:rFonts w:hint="eastAsia" w:eastAsia="仿宋_GB2312"/>
          <w:color w:val="auto"/>
          <w:sz w:val="21"/>
          <w:szCs w:val="21"/>
          <w:highlight w:val="none"/>
          <w:lang w:eastAsia="zh-CN"/>
        </w:rPr>
        <w:t>）</w:t>
      </w:r>
      <w:r>
        <w:rPr>
          <w:rFonts w:hint="eastAsia" w:ascii="Times New Roman" w:hAnsi="Times New Roman" w:eastAsia="仿宋_GB2312"/>
          <w:color w:val="auto"/>
          <w:sz w:val="21"/>
          <w:szCs w:val="21"/>
          <w:highlight w:val="none"/>
        </w:rPr>
        <w:t xml:space="preserve">             </w:t>
      </w:r>
      <w:r>
        <w:rPr>
          <w:rFonts w:hint="eastAsia" w:eastAsia="仿宋_GB2312"/>
          <w:color w:val="auto"/>
          <w:sz w:val="21"/>
          <w:szCs w:val="21"/>
          <w:highlight w:val="none"/>
          <w:lang w:val="en-US" w:eastAsia="zh-CN"/>
        </w:rPr>
        <w:t xml:space="preserve">         </w:t>
      </w:r>
      <w:r>
        <w:rPr>
          <w:rFonts w:ascii="Times New Roman" w:hAnsi="Times New Roman" w:eastAsia="仿宋_GB2312"/>
          <w:color w:val="auto"/>
          <w:sz w:val="21"/>
          <w:szCs w:val="21"/>
          <w:highlight w:val="none"/>
        </w:rPr>
        <w:t>承包人</w:t>
      </w:r>
      <w:r>
        <w:rPr>
          <w:rFonts w:hint="eastAsia" w:ascii="Times New Roman" w:hAnsi="Times New Roman" w:eastAsia="仿宋_GB2312"/>
          <w:color w:val="auto"/>
          <w:sz w:val="21"/>
          <w:szCs w:val="21"/>
          <w:highlight w:val="none"/>
        </w:rPr>
        <w:t xml:space="preserve">： </w:t>
      </w:r>
      <w:r>
        <w:rPr>
          <w:rFonts w:hint="eastAsia" w:eastAsia="仿宋_GB2312"/>
          <w:color w:val="auto"/>
          <w:sz w:val="21"/>
          <w:szCs w:val="21"/>
          <w:highlight w:val="none"/>
          <w:lang w:val="en-US" w:eastAsia="zh-CN"/>
        </w:rPr>
        <w:t xml:space="preserve">    </w:t>
      </w:r>
      <w:r>
        <w:rPr>
          <w:rFonts w:hint="eastAsia" w:ascii="Times New Roman" w:hAnsi="Times New Roman" w:eastAsia="仿宋_GB2312"/>
          <w:color w:val="auto"/>
          <w:sz w:val="21"/>
          <w:szCs w:val="21"/>
          <w:highlight w:val="none"/>
        </w:rPr>
        <w:t xml:space="preserve"> </w:t>
      </w:r>
      <w:r>
        <w:rPr>
          <w:rFonts w:hint="eastAsia" w:eastAsia="仿宋_GB2312"/>
          <w:color w:val="auto"/>
          <w:sz w:val="21"/>
          <w:szCs w:val="21"/>
          <w:highlight w:val="none"/>
          <w:lang w:eastAsia="zh-CN"/>
        </w:rPr>
        <w:t>（</w:t>
      </w:r>
      <w:r>
        <w:rPr>
          <w:rFonts w:ascii="Times New Roman" w:hAnsi="Times New Roman" w:eastAsia="仿宋_GB2312"/>
          <w:color w:val="auto"/>
          <w:sz w:val="21"/>
          <w:szCs w:val="21"/>
          <w:highlight w:val="none"/>
        </w:rPr>
        <w:t>公章</w:t>
      </w:r>
      <w:r>
        <w:rPr>
          <w:rFonts w:hint="eastAsia" w:eastAsia="仿宋_GB2312"/>
          <w:color w:val="auto"/>
          <w:sz w:val="21"/>
          <w:szCs w:val="21"/>
          <w:highlight w:val="none"/>
          <w:lang w:eastAsia="zh-CN"/>
        </w:rPr>
        <w:t>）</w:t>
      </w:r>
    </w:p>
    <w:p w14:paraId="5FB8B6F7">
      <w:pPr>
        <w:pageBreakBefore w:val="0"/>
        <w:widowControl w:val="0"/>
        <w:kinsoku/>
        <w:wordWrap/>
        <w:overflowPunct/>
        <w:topLinePunct w:val="0"/>
        <w:bidi w:val="0"/>
        <w:adjustRightInd w:val="0"/>
        <w:snapToGrid w:val="0"/>
        <w:spacing w:line="360" w:lineRule="auto"/>
        <w:textAlignment w:val="auto"/>
        <w:rPr>
          <w:rFonts w:hint="eastAsia" w:ascii="Times New Roman" w:hAnsi="Times New Roman" w:eastAsia="仿宋_GB2312"/>
          <w:color w:val="auto"/>
          <w:sz w:val="21"/>
          <w:szCs w:val="21"/>
          <w:highlight w:val="none"/>
          <w:u w:val="single"/>
        </w:rPr>
      </w:pPr>
      <w:r>
        <w:rPr>
          <w:rFonts w:hint="eastAsia" w:ascii="Times New Roman" w:hAnsi="Times New Roman" w:eastAsia="仿宋_GB2312"/>
          <w:color w:val="auto"/>
          <w:sz w:val="21"/>
          <w:szCs w:val="21"/>
          <w:highlight w:val="none"/>
        </w:rPr>
        <w:t xml:space="preserve">                                 </w:t>
      </w:r>
    </w:p>
    <w:p w14:paraId="001E8AF3">
      <w:pPr>
        <w:pageBreakBefore w:val="0"/>
        <w:widowControl w:val="0"/>
        <w:kinsoku/>
        <w:wordWrap/>
        <w:overflowPunct/>
        <w:topLinePunct w:val="0"/>
        <w:bidi w:val="0"/>
        <w:adjustRightInd w:val="0"/>
        <w:snapToGrid w:val="0"/>
        <w:spacing w:line="360" w:lineRule="auto"/>
        <w:ind w:firstLine="420" w:firstLineChars="200"/>
        <w:textAlignment w:val="auto"/>
        <w:rPr>
          <w:rFonts w:hint="eastAsia" w:ascii="Times New Roman" w:hAnsi="Times New Roman" w:eastAsia="仿宋_GB2312"/>
          <w:color w:val="auto"/>
          <w:sz w:val="21"/>
          <w:szCs w:val="21"/>
          <w:highlight w:val="none"/>
        </w:rPr>
      </w:pPr>
      <w:r>
        <w:rPr>
          <w:rFonts w:hint="eastAsia" w:ascii="Times New Roman" w:hAnsi="Times New Roman" w:eastAsia="仿宋_GB2312"/>
          <w:color w:val="auto"/>
          <w:sz w:val="21"/>
          <w:szCs w:val="21"/>
          <w:highlight w:val="none"/>
        </w:rPr>
        <w:t xml:space="preserve">法定代表人或其委托代理人：            </w:t>
      </w:r>
      <w:r>
        <w:rPr>
          <w:rFonts w:hint="eastAsia" w:eastAsia="仿宋_GB2312"/>
          <w:color w:val="auto"/>
          <w:sz w:val="21"/>
          <w:szCs w:val="21"/>
          <w:highlight w:val="none"/>
          <w:lang w:val="en-US" w:eastAsia="zh-CN"/>
        </w:rPr>
        <w:t xml:space="preserve">    </w:t>
      </w:r>
      <w:r>
        <w:rPr>
          <w:rFonts w:hint="eastAsia" w:ascii="Times New Roman" w:hAnsi="Times New Roman" w:eastAsia="仿宋_GB2312"/>
          <w:color w:val="auto"/>
          <w:sz w:val="21"/>
          <w:szCs w:val="21"/>
          <w:highlight w:val="none"/>
        </w:rPr>
        <w:t>法定代表人或其委托代理人：</w:t>
      </w:r>
    </w:p>
    <w:p w14:paraId="3EBF5624">
      <w:pPr>
        <w:pageBreakBefore w:val="0"/>
        <w:widowControl w:val="0"/>
        <w:kinsoku/>
        <w:wordWrap/>
        <w:overflowPunct/>
        <w:topLinePunct w:val="0"/>
        <w:bidi w:val="0"/>
        <w:adjustRightInd w:val="0"/>
        <w:snapToGrid w:val="0"/>
        <w:spacing w:line="360" w:lineRule="auto"/>
        <w:ind w:firstLine="420" w:firstLineChars="200"/>
        <w:textAlignment w:val="auto"/>
        <w:rPr>
          <w:rFonts w:hint="eastAsia" w:ascii="Times New Roman" w:hAnsi="Times New Roman" w:eastAsia="仿宋_GB2312"/>
          <w:color w:val="auto"/>
          <w:sz w:val="21"/>
          <w:szCs w:val="21"/>
          <w:highlight w:val="none"/>
        </w:rPr>
      </w:pPr>
      <w:r>
        <w:rPr>
          <w:rFonts w:hint="eastAsia" w:ascii="Times New Roman" w:hAnsi="Times New Roman" w:eastAsia="仿宋_GB2312"/>
          <w:color w:val="auto"/>
          <w:sz w:val="21"/>
          <w:szCs w:val="21"/>
          <w:highlight w:val="none"/>
        </w:rPr>
        <w:t xml:space="preserve">（签字）                    </w:t>
      </w:r>
      <w:r>
        <w:rPr>
          <w:rFonts w:hint="eastAsia" w:eastAsia="仿宋_GB2312"/>
          <w:color w:val="auto"/>
          <w:sz w:val="21"/>
          <w:szCs w:val="21"/>
          <w:highlight w:val="none"/>
          <w:lang w:val="en-US" w:eastAsia="zh-CN"/>
        </w:rPr>
        <w:t xml:space="preserve">             </w:t>
      </w:r>
      <w:r>
        <w:rPr>
          <w:rFonts w:hint="eastAsia" w:ascii="Times New Roman" w:hAnsi="Times New Roman" w:eastAsia="仿宋_GB2312"/>
          <w:color w:val="auto"/>
          <w:sz w:val="21"/>
          <w:szCs w:val="21"/>
          <w:highlight w:val="none"/>
        </w:rPr>
        <w:t>（签字）</w:t>
      </w:r>
    </w:p>
    <w:p w14:paraId="4BB536BF">
      <w:pPr>
        <w:pageBreakBefore w:val="0"/>
        <w:widowControl w:val="0"/>
        <w:kinsoku/>
        <w:wordWrap/>
        <w:overflowPunct/>
        <w:topLinePunct w:val="0"/>
        <w:bidi w:val="0"/>
        <w:adjustRightInd w:val="0"/>
        <w:snapToGrid w:val="0"/>
        <w:spacing w:line="360" w:lineRule="auto"/>
        <w:textAlignment w:val="auto"/>
        <w:rPr>
          <w:rFonts w:hint="eastAsia" w:ascii="Times New Roman" w:hAnsi="Times New Roman" w:eastAsia="仿宋_GB2312"/>
          <w:color w:val="auto"/>
          <w:sz w:val="21"/>
          <w:szCs w:val="21"/>
          <w:highlight w:val="none"/>
          <w:u w:val="single"/>
        </w:rPr>
      </w:pPr>
    </w:p>
    <w:p w14:paraId="4D5453EF">
      <w:pPr>
        <w:pageBreakBefore w:val="0"/>
        <w:widowControl w:val="0"/>
        <w:tabs>
          <w:tab w:val="left" w:pos="4410"/>
        </w:tabs>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hint="eastAsia" w:ascii="Times New Roman" w:hAnsi="Times New Roman" w:eastAsia="仿宋_GB2312"/>
          <w:color w:val="auto"/>
          <w:sz w:val="21"/>
          <w:szCs w:val="21"/>
          <w:highlight w:val="none"/>
        </w:rPr>
        <w:t>组织机构代码：</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 xml:space="preserve"> </w:t>
      </w:r>
      <w:r>
        <w:rPr>
          <w:rFonts w:hint="eastAsia" w:ascii="Times New Roman" w:hAnsi="Times New Roman" w:eastAsia="仿宋_GB2312"/>
          <w:color w:val="auto"/>
          <w:sz w:val="21"/>
          <w:szCs w:val="21"/>
          <w:highlight w:val="none"/>
        </w:rPr>
        <w:t xml:space="preserve"> </w:t>
      </w:r>
      <w:r>
        <w:rPr>
          <w:rFonts w:hint="eastAsia" w:eastAsia="仿宋_GB2312"/>
          <w:color w:val="auto"/>
          <w:sz w:val="21"/>
          <w:szCs w:val="21"/>
          <w:highlight w:val="none"/>
          <w:lang w:val="en-US" w:eastAsia="zh-CN"/>
        </w:rPr>
        <w:t xml:space="preserve">             </w:t>
      </w:r>
      <w:r>
        <w:rPr>
          <w:rFonts w:hint="eastAsia" w:ascii="Times New Roman" w:hAnsi="Times New Roman" w:eastAsia="仿宋_GB2312"/>
          <w:color w:val="auto"/>
          <w:sz w:val="21"/>
          <w:szCs w:val="21"/>
          <w:highlight w:val="none"/>
        </w:rPr>
        <w:t>组织机构代码：</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 xml:space="preserve"> </w:t>
      </w:r>
    </w:p>
    <w:p w14:paraId="2912BE7E">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地  址：</w:t>
      </w:r>
      <w:r>
        <w:rPr>
          <w:rFonts w:ascii="Times New Roman" w:hAnsi="Times New Roman" w:eastAsia="仿宋_GB2312"/>
          <w:color w:val="auto"/>
          <w:sz w:val="21"/>
          <w:szCs w:val="21"/>
          <w:highlight w:val="none"/>
          <w:u w:val="single"/>
        </w:rPr>
        <w:t xml:space="preserve">     </w:t>
      </w:r>
      <w:r>
        <w:rPr>
          <w:rFonts w:hint="eastAsia" w:ascii="Times New Roman" w:hAnsi="Times New Roman" w:eastAsia="仿宋_GB2312"/>
          <w:color w:val="auto"/>
          <w:sz w:val="21"/>
          <w:szCs w:val="21"/>
          <w:highlight w:val="none"/>
        </w:rPr>
        <w:t xml:space="preserve">  </w:t>
      </w:r>
      <w:r>
        <w:rPr>
          <w:rFonts w:hint="eastAsia" w:eastAsia="仿宋_GB2312"/>
          <w:color w:val="auto"/>
          <w:sz w:val="21"/>
          <w:szCs w:val="21"/>
          <w:highlight w:val="none"/>
          <w:lang w:val="en-US" w:eastAsia="zh-CN"/>
        </w:rPr>
        <w:t xml:space="preserve">             </w:t>
      </w:r>
      <w:r>
        <w:rPr>
          <w:rFonts w:ascii="Times New Roman" w:hAnsi="Times New Roman" w:eastAsia="仿宋_GB2312"/>
          <w:color w:val="auto"/>
          <w:sz w:val="21"/>
          <w:szCs w:val="21"/>
          <w:highlight w:val="none"/>
        </w:rPr>
        <w:t>地  址：</w:t>
      </w:r>
      <w:r>
        <w:rPr>
          <w:rFonts w:ascii="Times New Roman" w:hAnsi="Times New Roman" w:eastAsia="仿宋_GB2312"/>
          <w:color w:val="auto"/>
          <w:sz w:val="21"/>
          <w:szCs w:val="21"/>
          <w:highlight w:val="none"/>
          <w:u w:val="single"/>
        </w:rPr>
        <w:t></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p>
    <w:p w14:paraId="4DBDEE56">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邮政编码：</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 xml:space="preserve"> </w:t>
      </w:r>
      <w:r>
        <w:rPr>
          <w:rFonts w:hint="eastAsia" w:ascii="Times New Roman" w:hAnsi="Times New Roman" w:eastAsia="仿宋_GB2312"/>
          <w:color w:val="auto"/>
          <w:sz w:val="21"/>
          <w:szCs w:val="21"/>
          <w:highlight w:val="none"/>
        </w:rPr>
        <w:t xml:space="preserve"> </w:t>
      </w:r>
      <w:r>
        <w:rPr>
          <w:rFonts w:hint="eastAsia" w:eastAsia="仿宋_GB2312"/>
          <w:color w:val="auto"/>
          <w:sz w:val="21"/>
          <w:szCs w:val="21"/>
          <w:highlight w:val="none"/>
          <w:lang w:val="en-US" w:eastAsia="zh-CN"/>
        </w:rPr>
        <w:t xml:space="preserve">             </w:t>
      </w:r>
      <w:r>
        <w:rPr>
          <w:rFonts w:ascii="Times New Roman" w:hAnsi="Times New Roman" w:eastAsia="仿宋_GB2312"/>
          <w:color w:val="auto"/>
          <w:sz w:val="21"/>
          <w:szCs w:val="21"/>
          <w:highlight w:val="none"/>
        </w:rPr>
        <w:t>邮政编码：</w:t>
      </w:r>
      <w:r>
        <w:rPr>
          <w:rFonts w:ascii="Times New Roman" w:hAnsi="Times New Roman" w:eastAsia="仿宋_GB2312"/>
          <w:color w:val="auto"/>
          <w:sz w:val="21"/>
          <w:szCs w:val="21"/>
          <w:highlight w:val="none"/>
          <w:u w:val="single"/>
        </w:rPr>
        <w:t xml:space="preserve">   </w:t>
      </w:r>
    </w:p>
    <w:p w14:paraId="3E1BBC89">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法定代表人：</w:t>
      </w:r>
      <w:r>
        <w:rPr>
          <w:rFonts w:ascii="Times New Roman" w:hAnsi="Times New Roman" w:eastAsia="仿宋_GB2312"/>
          <w:color w:val="auto"/>
          <w:sz w:val="21"/>
          <w:szCs w:val="21"/>
          <w:highlight w:val="none"/>
          <w:u w:val="single"/>
        </w:rPr>
        <w:t></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 xml:space="preserve"> </w:t>
      </w:r>
      <w:r>
        <w:rPr>
          <w:rFonts w:hint="eastAsia" w:ascii="Times New Roman" w:hAnsi="Times New Roman" w:eastAsia="仿宋_GB2312"/>
          <w:color w:val="auto"/>
          <w:sz w:val="21"/>
          <w:szCs w:val="21"/>
          <w:highlight w:val="none"/>
        </w:rPr>
        <w:t xml:space="preserve"> </w:t>
      </w:r>
      <w:r>
        <w:rPr>
          <w:rFonts w:hint="eastAsia" w:eastAsia="仿宋_GB2312"/>
          <w:color w:val="auto"/>
          <w:sz w:val="21"/>
          <w:szCs w:val="21"/>
          <w:highlight w:val="none"/>
          <w:lang w:val="en-US" w:eastAsia="zh-CN"/>
        </w:rPr>
        <w:t xml:space="preserve">             </w:t>
      </w:r>
      <w:r>
        <w:rPr>
          <w:rFonts w:ascii="Times New Roman" w:hAnsi="Times New Roman" w:eastAsia="仿宋_GB2312"/>
          <w:color w:val="auto"/>
          <w:sz w:val="21"/>
          <w:szCs w:val="21"/>
          <w:highlight w:val="none"/>
        </w:rPr>
        <w:t>法定代表人：</w:t>
      </w:r>
      <w:r>
        <w:rPr>
          <w:rFonts w:ascii="Times New Roman" w:hAnsi="Times New Roman" w:eastAsia="仿宋_GB2312"/>
          <w:color w:val="auto"/>
          <w:sz w:val="21"/>
          <w:szCs w:val="21"/>
          <w:highlight w:val="none"/>
          <w:u w:val="single"/>
        </w:rPr>
        <w:t></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p>
    <w:p w14:paraId="5086799D">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委托代理人：</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 xml:space="preserve"> </w:t>
      </w:r>
      <w:r>
        <w:rPr>
          <w:rFonts w:hint="eastAsia" w:ascii="Times New Roman" w:hAnsi="Times New Roman" w:eastAsia="仿宋_GB2312"/>
          <w:color w:val="auto"/>
          <w:sz w:val="21"/>
          <w:szCs w:val="21"/>
          <w:highlight w:val="none"/>
        </w:rPr>
        <w:t xml:space="preserve"> </w:t>
      </w:r>
      <w:r>
        <w:rPr>
          <w:rFonts w:hint="eastAsia" w:eastAsia="仿宋_GB2312"/>
          <w:color w:val="auto"/>
          <w:sz w:val="21"/>
          <w:szCs w:val="21"/>
          <w:highlight w:val="none"/>
          <w:lang w:val="en-US" w:eastAsia="zh-CN"/>
        </w:rPr>
        <w:t xml:space="preserve">             </w:t>
      </w:r>
      <w:r>
        <w:rPr>
          <w:rFonts w:ascii="Times New Roman" w:hAnsi="Times New Roman" w:eastAsia="仿宋_GB2312"/>
          <w:color w:val="auto"/>
          <w:sz w:val="21"/>
          <w:szCs w:val="21"/>
          <w:highlight w:val="none"/>
        </w:rPr>
        <w:t>委托代理人：</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p>
    <w:p w14:paraId="11CB2265">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电  话：</w:t>
      </w:r>
      <w:r>
        <w:rPr>
          <w:rFonts w:ascii="Times New Roman" w:hAnsi="Times New Roman" w:eastAsia="仿宋_GB2312"/>
          <w:color w:val="auto"/>
          <w:sz w:val="21"/>
          <w:szCs w:val="21"/>
          <w:highlight w:val="none"/>
          <w:u w:val="single"/>
        </w:rPr>
        <w:t></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 xml:space="preserve"> </w:t>
      </w:r>
      <w:r>
        <w:rPr>
          <w:rFonts w:hint="eastAsia" w:ascii="Times New Roman" w:hAnsi="Times New Roman" w:eastAsia="仿宋_GB2312"/>
          <w:color w:val="auto"/>
          <w:sz w:val="21"/>
          <w:szCs w:val="21"/>
          <w:highlight w:val="none"/>
        </w:rPr>
        <w:t xml:space="preserve"> </w:t>
      </w:r>
      <w:r>
        <w:rPr>
          <w:rFonts w:hint="eastAsia" w:eastAsia="仿宋_GB2312"/>
          <w:color w:val="auto"/>
          <w:sz w:val="21"/>
          <w:szCs w:val="21"/>
          <w:highlight w:val="none"/>
          <w:lang w:val="en-US" w:eastAsia="zh-CN"/>
        </w:rPr>
        <w:t xml:space="preserve">             </w:t>
      </w:r>
      <w:r>
        <w:rPr>
          <w:rFonts w:ascii="Times New Roman" w:hAnsi="Times New Roman" w:eastAsia="仿宋_GB2312"/>
          <w:color w:val="auto"/>
          <w:sz w:val="21"/>
          <w:szCs w:val="21"/>
          <w:highlight w:val="none"/>
        </w:rPr>
        <w:t>电  话：</w:t>
      </w:r>
      <w:r>
        <w:rPr>
          <w:rFonts w:ascii="Times New Roman" w:hAnsi="Times New Roman" w:eastAsia="仿宋_GB2312"/>
          <w:color w:val="auto"/>
          <w:sz w:val="21"/>
          <w:szCs w:val="21"/>
          <w:highlight w:val="none"/>
          <w:u w:val="single"/>
        </w:rPr>
        <w:t></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p>
    <w:p w14:paraId="00CF27A5">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传  真：</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 xml:space="preserve"> </w:t>
      </w:r>
      <w:r>
        <w:rPr>
          <w:rFonts w:hint="eastAsia" w:ascii="Times New Roman" w:hAnsi="Times New Roman" w:eastAsia="仿宋_GB2312"/>
          <w:color w:val="auto"/>
          <w:sz w:val="21"/>
          <w:szCs w:val="21"/>
          <w:highlight w:val="none"/>
        </w:rPr>
        <w:t xml:space="preserve"> </w:t>
      </w:r>
      <w:r>
        <w:rPr>
          <w:rFonts w:hint="eastAsia" w:eastAsia="仿宋_GB2312"/>
          <w:color w:val="auto"/>
          <w:sz w:val="21"/>
          <w:szCs w:val="21"/>
          <w:highlight w:val="none"/>
          <w:lang w:val="en-US" w:eastAsia="zh-CN"/>
        </w:rPr>
        <w:t xml:space="preserve">             </w:t>
      </w:r>
      <w:r>
        <w:rPr>
          <w:rFonts w:ascii="Times New Roman" w:hAnsi="Times New Roman" w:eastAsia="仿宋_GB2312"/>
          <w:color w:val="auto"/>
          <w:sz w:val="21"/>
          <w:szCs w:val="21"/>
          <w:highlight w:val="none"/>
        </w:rPr>
        <w:t>传  真：</w:t>
      </w:r>
      <w:r>
        <w:rPr>
          <w:rFonts w:ascii="Times New Roman" w:hAnsi="Times New Roman" w:eastAsia="仿宋_GB2312"/>
          <w:color w:val="auto"/>
          <w:sz w:val="21"/>
          <w:szCs w:val="21"/>
          <w:highlight w:val="none"/>
          <w:u w:val="single"/>
        </w:rPr>
        <w:t></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p>
    <w:p w14:paraId="09D6EB67">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电子信箱：</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 xml:space="preserve"> </w:t>
      </w:r>
      <w:r>
        <w:rPr>
          <w:rFonts w:hint="eastAsia" w:ascii="Times New Roman" w:hAnsi="Times New Roman" w:eastAsia="仿宋_GB2312"/>
          <w:color w:val="auto"/>
          <w:sz w:val="21"/>
          <w:szCs w:val="21"/>
          <w:highlight w:val="none"/>
        </w:rPr>
        <w:t xml:space="preserve"> </w:t>
      </w:r>
      <w:r>
        <w:rPr>
          <w:rFonts w:hint="eastAsia" w:eastAsia="仿宋_GB2312"/>
          <w:color w:val="auto"/>
          <w:sz w:val="21"/>
          <w:szCs w:val="21"/>
          <w:highlight w:val="none"/>
          <w:lang w:val="en-US" w:eastAsia="zh-CN"/>
        </w:rPr>
        <w:t xml:space="preserve">             </w:t>
      </w:r>
      <w:r>
        <w:rPr>
          <w:rFonts w:ascii="Times New Roman" w:hAnsi="Times New Roman" w:eastAsia="仿宋_GB2312"/>
          <w:color w:val="auto"/>
          <w:sz w:val="21"/>
          <w:szCs w:val="21"/>
          <w:highlight w:val="none"/>
        </w:rPr>
        <w:t>电子信箱：</w:t>
      </w:r>
      <w:r>
        <w:rPr>
          <w:rFonts w:ascii="Times New Roman" w:hAnsi="Times New Roman" w:eastAsia="仿宋_GB2312"/>
          <w:color w:val="auto"/>
          <w:sz w:val="21"/>
          <w:szCs w:val="21"/>
          <w:highlight w:val="none"/>
          <w:u w:val="single"/>
        </w:rPr>
        <w:t xml:space="preserve">   </w:t>
      </w:r>
    </w:p>
    <w:p w14:paraId="5C40805B">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开户银行：</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 xml:space="preserve"> </w:t>
      </w:r>
      <w:r>
        <w:rPr>
          <w:rFonts w:hint="eastAsia" w:ascii="Times New Roman" w:hAnsi="Times New Roman" w:eastAsia="仿宋_GB2312"/>
          <w:color w:val="auto"/>
          <w:sz w:val="21"/>
          <w:szCs w:val="21"/>
          <w:highlight w:val="none"/>
        </w:rPr>
        <w:t xml:space="preserve"> </w:t>
      </w:r>
      <w:r>
        <w:rPr>
          <w:rFonts w:hint="eastAsia" w:eastAsia="仿宋_GB2312"/>
          <w:color w:val="auto"/>
          <w:sz w:val="21"/>
          <w:szCs w:val="21"/>
          <w:highlight w:val="none"/>
          <w:lang w:val="en-US" w:eastAsia="zh-CN"/>
        </w:rPr>
        <w:t xml:space="preserve">             </w:t>
      </w:r>
      <w:r>
        <w:rPr>
          <w:rFonts w:ascii="Times New Roman" w:hAnsi="Times New Roman" w:eastAsia="仿宋_GB2312"/>
          <w:color w:val="auto"/>
          <w:sz w:val="21"/>
          <w:szCs w:val="21"/>
          <w:highlight w:val="none"/>
        </w:rPr>
        <w:t>开户银行：</w:t>
      </w:r>
      <w:r>
        <w:rPr>
          <w:rFonts w:ascii="Times New Roman" w:hAnsi="Times New Roman" w:eastAsia="仿宋_GB2312"/>
          <w:color w:val="auto"/>
          <w:sz w:val="21"/>
          <w:szCs w:val="21"/>
          <w:highlight w:val="none"/>
          <w:u w:val="single"/>
        </w:rPr>
        <w:t xml:space="preserve">   </w:t>
      </w:r>
    </w:p>
    <w:p w14:paraId="7EEAC268">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30"/>
          <w:szCs w:val="30"/>
          <w:highlight w:val="none"/>
        </w:rPr>
      </w:pPr>
      <w:r>
        <w:rPr>
          <w:rFonts w:ascii="Times New Roman" w:hAnsi="Times New Roman" w:eastAsia="仿宋_GB2312"/>
          <w:color w:val="auto"/>
          <w:sz w:val="21"/>
          <w:szCs w:val="21"/>
          <w:highlight w:val="none"/>
        </w:rPr>
        <w:t>账  号：</w:t>
      </w:r>
      <w:r>
        <w:rPr>
          <w:rFonts w:ascii="Times New Roman" w:hAnsi="Times New Roman" w:eastAsia="仿宋_GB2312"/>
          <w:color w:val="auto"/>
          <w:sz w:val="21"/>
          <w:szCs w:val="21"/>
          <w:highlight w:val="none"/>
          <w:u w:val="single"/>
        </w:rPr>
        <w:t xml:space="preserve">       </w:t>
      </w:r>
      <w:r>
        <w:rPr>
          <w:rFonts w:hint="eastAsia" w:ascii="Times New Roman" w:hAnsi="Times New Roman" w:eastAsia="仿宋_GB2312"/>
          <w:color w:val="auto"/>
          <w:sz w:val="21"/>
          <w:szCs w:val="21"/>
          <w:highlight w:val="none"/>
        </w:rPr>
        <w:t xml:space="preserve">   </w:t>
      </w:r>
      <w:r>
        <w:rPr>
          <w:rFonts w:hint="eastAsia" w:eastAsia="仿宋_GB2312"/>
          <w:color w:val="auto"/>
          <w:sz w:val="21"/>
          <w:szCs w:val="21"/>
          <w:highlight w:val="none"/>
          <w:lang w:val="en-US" w:eastAsia="zh-CN"/>
        </w:rPr>
        <w:t xml:space="preserve">            </w:t>
      </w:r>
      <w:r>
        <w:rPr>
          <w:rFonts w:ascii="Times New Roman" w:hAnsi="Times New Roman" w:eastAsia="仿宋_GB2312"/>
          <w:color w:val="auto"/>
          <w:sz w:val="21"/>
          <w:szCs w:val="21"/>
          <w:highlight w:val="none"/>
        </w:rPr>
        <w:t>账</w:t>
      </w:r>
      <w:r>
        <w:rPr>
          <w:rFonts w:hint="eastAsia" w:ascii="Times New Roman" w:hAnsi="Times New Roman" w:eastAsia="仿宋_GB2312"/>
          <w:color w:val="auto"/>
          <w:sz w:val="21"/>
          <w:szCs w:val="21"/>
          <w:highlight w:val="none"/>
        </w:rPr>
        <w:t xml:space="preserve"> </w:t>
      </w:r>
      <w:r>
        <w:rPr>
          <w:rFonts w:ascii="Times New Roman" w:hAnsi="Times New Roman" w:eastAsia="仿宋_GB2312"/>
          <w:color w:val="auto"/>
          <w:sz w:val="21"/>
          <w:szCs w:val="21"/>
          <w:highlight w:val="none"/>
        </w:rPr>
        <w:t xml:space="preserve"> 号：</w:t>
      </w:r>
      <w:r>
        <w:rPr>
          <w:rFonts w:ascii="Times New Roman" w:hAnsi="Times New Roman" w:eastAsia="仿宋_GB2312"/>
          <w:color w:val="auto"/>
          <w:sz w:val="21"/>
          <w:szCs w:val="21"/>
          <w:highlight w:val="none"/>
          <w:u w:val="single"/>
        </w:rPr>
        <w:t></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p>
    <w:p w14:paraId="34FDAA62">
      <w:pPr>
        <w:pStyle w:val="4"/>
        <w:jc w:val="center"/>
        <w:outlineLvl w:val="2"/>
        <w:rPr>
          <w:rFonts w:hint="eastAsia" w:ascii="华文中宋" w:hAnsi="华文中宋" w:eastAsia="华文中宋"/>
          <w:color w:val="auto"/>
          <w:sz w:val="44"/>
          <w:szCs w:val="44"/>
          <w:highlight w:val="none"/>
        </w:rPr>
      </w:pPr>
      <w:r>
        <w:rPr>
          <w:rFonts w:eastAsia="仿宋_GB2312"/>
          <w:color w:val="auto"/>
          <w:highlight w:val="none"/>
        </w:rPr>
        <w:br w:type="page"/>
      </w:r>
      <w:bookmarkStart w:id="776" w:name="_Toc18835"/>
      <w:r>
        <w:rPr>
          <w:rFonts w:ascii="华文中宋" w:hAnsi="华文中宋" w:eastAsia="华文中宋"/>
          <w:color w:val="auto"/>
          <w:sz w:val="44"/>
          <w:szCs w:val="44"/>
          <w:highlight w:val="none"/>
        </w:rPr>
        <w:t>第二部分 通用合同条款</w:t>
      </w:r>
      <w:bookmarkEnd w:id="735"/>
      <w:bookmarkEnd w:id="736"/>
      <w:bookmarkEnd w:id="737"/>
      <w:bookmarkEnd w:id="776"/>
      <w:bookmarkStart w:id="777" w:name="_Toc337558727"/>
    </w:p>
    <w:p w14:paraId="5714EDE1">
      <w:pPr>
        <w:pStyle w:val="5"/>
        <w:pageBreakBefore w:val="0"/>
        <w:widowControl w:val="0"/>
        <w:kinsoku/>
        <w:wordWrap/>
        <w:overflowPunct/>
        <w:topLinePunct w:val="0"/>
        <w:bidi w:val="0"/>
        <w:adjustRightInd w:val="0"/>
        <w:snapToGrid w:val="0"/>
        <w:spacing w:before="0" w:after="0" w:line="360" w:lineRule="auto"/>
        <w:textAlignment w:val="auto"/>
        <w:outlineLvl w:val="3"/>
        <w:rPr>
          <w:rFonts w:eastAsia="黑体"/>
          <w:bCs/>
          <w:color w:val="auto"/>
          <w:sz w:val="21"/>
          <w:szCs w:val="21"/>
          <w:highlight w:val="none"/>
        </w:rPr>
      </w:pPr>
      <w:bookmarkStart w:id="778" w:name="_Toc351203495"/>
      <w:bookmarkStart w:id="779" w:name="_Toc18727"/>
      <w:bookmarkStart w:id="780" w:name="_Toc17008"/>
      <w:r>
        <w:rPr>
          <w:rFonts w:eastAsia="黑体"/>
          <w:bCs/>
          <w:color w:val="auto"/>
          <w:sz w:val="21"/>
          <w:szCs w:val="21"/>
          <w:highlight w:val="none"/>
        </w:rPr>
        <w:t>1.</w:t>
      </w:r>
      <w:bookmarkStart w:id="781" w:name="_Toc303538975"/>
      <w:bookmarkEnd w:id="781"/>
      <w:bookmarkStart w:id="782" w:name="_Toc303538972"/>
      <w:bookmarkEnd w:id="782"/>
      <w:bookmarkStart w:id="783" w:name="_Toc303538974"/>
      <w:bookmarkEnd w:id="783"/>
      <w:bookmarkStart w:id="784" w:name="_Toc303538976"/>
      <w:bookmarkEnd w:id="784"/>
      <w:bookmarkStart w:id="785" w:name="_Toc303538973"/>
      <w:bookmarkEnd w:id="785"/>
      <w:bookmarkStart w:id="786" w:name="_Toc296346528"/>
      <w:bookmarkStart w:id="787" w:name="_Toc296503027"/>
      <w:r>
        <w:rPr>
          <w:rFonts w:eastAsia="黑体"/>
          <w:bCs/>
          <w:color w:val="auto"/>
          <w:sz w:val="21"/>
          <w:szCs w:val="21"/>
          <w:highlight w:val="none"/>
        </w:rPr>
        <w:t xml:space="preserve"> 一般约定</w:t>
      </w:r>
      <w:bookmarkEnd w:id="777"/>
      <w:bookmarkEnd w:id="778"/>
      <w:bookmarkEnd w:id="779"/>
      <w:bookmarkEnd w:id="780"/>
      <w:bookmarkEnd w:id="786"/>
      <w:bookmarkEnd w:id="787"/>
    </w:p>
    <w:p w14:paraId="114A70E4">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788" w:name="_Toc296346529"/>
      <w:bookmarkStart w:id="789" w:name="_Toc296503028"/>
      <w:bookmarkStart w:id="790" w:name="_Toc337558728"/>
      <w:bookmarkStart w:id="791" w:name="_Toc351203496"/>
      <w:r>
        <w:rPr>
          <w:rFonts w:ascii="Times New Roman" w:hAnsi="Times New Roman" w:eastAsia="黑体"/>
          <w:b w:val="0"/>
          <w:color w:val="auto"/>
          <w:sz w:val="21"/>
          <w:szCs w:val="21"/>
          <w:highlight w:val="none"/>
        </w:rPr>
        <w:t>1.1词语定义</w:t>
      </w:r>
      <w:bookmarkEnd w:id="788"/>
      <w:bookmarkEnd w:id="789"/>
      <w:bookmarkEnd w:id="790"/>
      <w:r>
        <w:rPr>
          <w:rFonts w:ascii="Times New Roman" w:hAnsi="Times New Roman" w:eastAsia="黑体"/>
          <w:b w:val="0"/>
          <w:color w:val="auto"/>
          <w:sz w:val="21"/>
          <w:szCs w:val="21"/>
          <w:highlight w:val="none"/>
        </w:rPr>
        <w:t>与解释</w:t>
      </w:r>
      <w:bookmarkEnd w:id="791"/>
    </w:p>
    <w:p w14:paraId="6BE2E2BA">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合同协议书、通用合同条款、专用合同条款中的下列词语具有本款所赋予的含义：</w:t>
      </w:r>
    </w:p>
    <w:p w14:paraId="57C663EB">
      <w:pPr>
        <w:pageBreakBefore w:val="0"/>
        <w:widowControl w:val="0"/>
        <w:kinsoku/>
        <w:wordWrap/>
        <w:overflowPunct/>
        <w:topLinePunct w:val="0"/>
        <w:autoSpaceDE w:val="0"/>
        <w:autoSpaceDN w:val="0"/>
        <w:bidi w:val="0"/>
        <w:adjustRightInd w:val="0"/>
        <w:snapToGrid w:val="0"/>
        <w:spacing w:line="360" w:lineRule="auto"/>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 xml:space="preserve">    1.1.1 合同</w:t>
      </w:r>
    </w:p>
    <w:p w14:paraId="766AB363">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1.1.1.1 合同：是指根据法律规定和合同当事人约定具有约束力的文件，构成合同的文件包括合同协议书、中标通知书（如果有）、投标函及其附录（如果有）、专用合同条款</w:t>
      </w:r>
      <w:r>
        <w:rPr>
          <w:rFonts w:ascii="Times New Roman" w:hAnsi="Times New Roman" w:eastAsia="仿宋_GB2312"/>
          <w:color w:val="auto"/>
          <w:sz w:val="21"/>
          <w:szCs w:val="21"/>
          <w:highlight w:val="none"/>
        </w:rPr>
        <w:t>及其附件</w:t>
      </w:r>
      <w:r>
        <w:rPr>
          <w:rFonts w:ascii="Times New Roman" w:hAnsi="Times New Roman" w:eastAsia="仿宋_GB2312"/>
          <w:color w:val="auto"/>
          <w:kern w:val="0"/>
          <w:sz w:val="21"/>
          <w:szCs w:val="21"/>
          <w:highlight w:val="none"/>
        </w:rPr>
        <w:t>、通用合同条款、技术标准和要求、图纸、已标价工程量清单或预算书以及其他合同文件。</w:t>
      </w:r>
    </w:p>
    <w:p w14:paraId="0C2EC639">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1.1.1.2 合同协议书：是指构成合同的由发包人和承包人共同签署的称为“合同协议书”的书面文件</w:t>
      </w:r>
      <w:r>
        <w:rPr>
          <w:rFonts w:hint="eastAsia" w:ascii="Times New Roman" w:hAnsi="Times New Roman" w:eastAsia="仿宋_GB2312"/>
          <w:color w:val="auto"/>
          <w:kern w:val="0"/>
          <w:sz w:val="21"/>
          <w:szCs w:val="21"/>
          <w:highlight w:val="none"/>
        </w:rPr>
        <w:t>。</w:t>
      </w:r>
    </w:p>
    <w:p w14:paraId="69ACEB26">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1.1.1.3 中标通知书：是指构成合同的</w:t>
      </w:r>
      <w:r>
        <w:rPr>
          <w:rFonts w:hint="eastAsia" w:ascii="Times New Roman" w:hAnsi="Times New Roman" w:eastAsia="仿宋_GB2312"/>
          <w:color w:val="auto"/>
          <w:kern w:val="0"/>
          <w:sz w:val="21"/>
          <w:szCs w:val="21"/>
          <w:highlight w:val="none"/>
        </w:rPr>
        <w:t>由</w:t>
      </w:r>
      <w:r>
        <w:rPr>
          <w:rFonts w:ascii="Times New Roman" w:hAnsi="Times New Roman" w:eastAsia="仿宋_GB2312"/>
          <w:color w:val="auto"/>
          <w:kern w:val="0"/>
          <w:sz w:val="21"/>
          <w:szCs w:val="21"/>
          <w:highlight w:val="none"/>
        </w:rPr>
        <w:t>发包人通知承包人中标的书面文件。</w:t>
      </w:r>
    </w:p>
    <w:p w14:paraId="3E9DF4EE">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1.1.1.4 投标函：是指构成合同的由承包人填写并签署的用于投标的称为“投标函”的文件。</w:t>
      </w:r>
    </w:p>
    <w:p w14:paraId="194CF87F">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1.1.1.5 投标函附录：是指构成合同的附在投标函后的称为“投标函附录”的文件。</w:t>
      </w:r>
    </w:p>
    <w:p w14:paraId="4ED536A2">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1.1.1.6 技术标准和要求：是指构成合同的施工应当遵守的或指导施工的国家、行业或地方的技术标准和要求，以及合同约定的技术标准和要求。</w:t>
      </w:r>
    </w:p>
    <w:p w14:paraId="1F14E50A">
      <w:pPr>
        <w:pageBreakBefore w:val="0"/>
        <w:widowControl w:val="0"/>
        <w:kinsoku/>
        <w:wordWrap/>
        <w:overflowPunct/>
        <w:topLinePunct w:val="0"/>
        <w:bidi w:val="0"/>
        <w:adjustRightInd w:val="0"/>
        <w:snapToGrid w:val="0"/>
        <w:spacing w:line="360" w:lineRule="auto"/>
        <w:ind w:firstLine="420" w:firstLineChars="200"/>
        <w:jc w:val="left"/>
        <w:textAlignment w:val="auto"/>
        <w:rPr>
          <w:rFonts w:hint="eastAsia"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1.1.1.7 图纸：是指构成合同的图纸，包括由发包人按照合同约定提供或经发包人批准的设计文件、</w:t>
      </w:r>
      <w:r>
        <w:rPr>
          <w:rFonts w:hint="eastAsia" w:ascii="Times New Roman" w:hAnsi="Times New Roman" w:eastAsia="仿宋_GB2312"/>
          <w:color w:val="auto"/>
          <w:kern w:val="0"/>
          <w:sz w:val="21"/>
          <w:szCs w:val="21"/>
          <w:highlight w:val="none"/>
        </w:rPr>
        <w:t>施工图、</w:t>
      </w:r>
      <w:r>
        <w:rPr>
          <w:rFonts w:ascii="Times New Roman" w:hAnsi="Times New Roman" w:eastAsia="仿宋_GB2312"/>
          <w:color w:val="auto"/>
          <w:kern w:val="0"/>
          <w:sz w:val="21"/>
          <w:szCs w:val="21"/>
          <w:highlight w:val="none"/>
        </w:rPr>
        <w:t>鸟瞰图及模型等，</w:t>
      </w:r>
      <w:r>
        <w:rPr>
          <w:rFonts w:hint="eastAsia" w:ascii="Times New Roman" w:hAnsi="Times New Roman" w:eastAsia="仿宋_GB2312"/>
          <w:color w:val="auto"/>
          <w:kern w:val="0"/>
          <w:sz w:val="21"/>
          <w:szCs w:val="21"/>
          <w:highlight w:val="none"/>
        </w:rPr>
        <w:t>以及在合同履行过程中形成的图纸文件。图纸</w:t>
      </w:r>
      <w:r>
        <w:rPr>
          <w:rFonts w:ascii="Times New Roman" w:hAnsi="Times New Roman" w:eastAsia="仿宋_GB2312"/>
          <w:color w:val="auto"/>
          <w:kern w:val="0"/>
          <w:sz w:val="21"/>
          <w:szCs w:val="21"/>
          <w:highlight w:val="none"/>
        </w:rPr>
        <w:t>应当按照法律规定审查合格。</w:t>
      </w:r>
    </w:p>
    <w:p w14:paraId="4C23D80B">
      <w:pPr>
        <w:pageBreakBefore w:val="0"/>
        <w:widowControl w:val="0"/>
        <w:kinsoku/>
        <w:wordWrap/>
        <w:overflowPunct/>
        <w:topLinePunct w:val="0"/>
        <w:autoSpaceDE w:val="0"/>
        <w:autoSpaceDN w:val="0"/>
        <w:bidi w:val="0"/>
        <w:adjustRightInd w:val="0"/>
        <w:snapToGrid w:val="0"/>
        <w:spacing w:line="360" w:lineRule="auto"/>
        <w:ind w:firstLine="409" w:firstLineChars="195"/>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1.1.1.8 已标价工程量清单：是指构成合同的由承包人按照规定的格式和要求填写并标明价格的工程量清单，包括说明和表格。</w:t>
      </w:r>
    </w:p>
    <w:p w14:paraId="770EF579">
      <w:pPr>
        <w:pageBreakBefore w:val="0"/>
        <w:widowControl w:val="0"/>
        <w:kinsoku/>
        <w:wordWrap/>
        <w:overflowPunct/>
        <w:topLinePunct w:val="0"/>
        <w:autoSpaceDE w:val="0"/>
        <w:autoSpaceDN w:val="0"/>
        <w:bidi w:val="0"/>
        <w:adjustRightInd w:val="0"/>
        <w:snapToGrid w:val="0"/>
        <w:spacing w:line="360" w:lineRule="auto"/>
        <w:ind w:firstLine="409" w:firstLineChars="195"/>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1.1.1.9 预算书：是指构成合同的由承包人按照发包人规定的格式和要求编制的工程预算文件。</w:t>
      </w:r>
    </w:p>
    <w:p w14:paraId="000A256F">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1.1.1.10 其他合同文件：是指经合同当事人约定的与工程施工有关的具有合同约束力的文件或书面协议。合同当事人可以在专用合同条款中进行约定。</w:t>
      </w:r>
    </w:p>
    <w:p w14:paraId="6CFCDDAB">
      <w:pPr>
        <w:pageBreakBefore w:val="0"/>
        <w:widowControl w:val="0"/>
        <w:kinsoku/>
        <w:wordWrap/>
        <w:overflowPunct/>
        <w:topLinePunct w:val="0"/>
        <w:autoSpaceDE w:val="0"/>
        <w:autoSpaceDN w:val="0"/>
        <w:bidi w:val="0"/>
        <w:adjustRightInd w:val="0"/>
        <w:snapToGrid w:val="0"/>
        <w:spacing w:line="360" w:lineRule="auto"/>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 xml:space="preserve">    1.1.2 合同当事人及其他相关方</w:t>
      </w:r>
    </w:p>
    <w:p w14:paraId="4B710751">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1.1.2.1 合同当事人：是指发包人和（或）承包人。</w:t>
      </w:r>
    </w:p>
    <w:p w14:paraId="2AF64250">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1.1.2.2 发包人：是指与承包人签订合同协议书的当事人及取得该当事人资格的合法继承人。</w:t>
      </w:r>
    </w:p>
    <w:p w14:paraId="0966796C">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1.1.2.3 承包人：是指与发包人签订合同协议书的，具有相应工程施工承包资质的当事人及取得该当事人资格的合法继承人。</w:t>
      </w:r>
    </w:p>
    <w:p w14:paraId="69CE4AF8">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1.1.2.4 监理人：是指在专用合同条款中指明的，受发包人委托按照法律规定进行工程监督管理的法人或其他组织。</w:t>
      </w:r>
    </w:p>
    <w:p w14:paraId="07F3C042">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1.1.2.5 设计人：是指在专用合同条款中指明的，受发包人委托负责工程设计并具备相应工程设计资质的法人或其他组织。</w:t>
      </w:r>
    </w:p>
    <w:p w14:paraId="63CA786A">
      <w:pPr>
        <w:pageBreakBefore w:val="0"/>
        <w:widowControl w:val="0"/>
        <w:kinsoku/>
        <w:wordWrap/>
        <w:overflowPunct/>
        <w:topLinePunct w:val="0"/>
        <w:bidi w:val="0"/>
        <w:adjustRightInd w:val="0"/>
        <w:snapToGrid w:val="0"/>
        <w:spacing w:line="360" w:lineRule="auto"/>
        <w:ind w:firstLine="409" w:firstLineChars="195"/>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1.1.2.6 分包人：</w:t>
      </w:r>
      <w:bookmarkStart w:id="792" w:name="#go5"/>
      <w:bookmarkEnd w:id="792"/>
      <w:r>
        <w:rPr>
          <w:rFonts w:ascii="Times New Roman" w:hAnsi="Times New Roman" w:eastAsia="仿宋_GB2312"/>
          <w:color w:val="auto"/>
          <w:kern w:val="0"/>
          <w:sz w:val="21"/>
          <w:szCs w:val="21"/>
          <w:highlight w:val="none"/>
        </w:rPr>
        <w:t>是指</w:t>
      </w:r>
      <w:r>
        <w:rPr>
          <w:rFonts w:hint="eastAsia" w:ascii="Times New Roman" w:hAnsi="Times New Roman" w:eastAsia="仿宋_GB2312"/>
          <w:color w:val="auto"/>
          <w:kern w:val="0"/>
          <w:sz w:val="21"/>
          <w:szCs w:val="21"/>
          <w:highlight w:val="none"/>
        </w:rPr>
        <w:t>按照法律规定和</w:t>
      </w:r>
      <w:r>
        <w:rPr>
          <w:rFonts w:ascii="Times New Roman" w:hAnsi="Times New Roman" w:eastAsia="仿宋_GB2312"/>
          <w:color w:val="auto"/>
          <w:kern w:val="0"/>
          <w:sz w:val="21"/>
          <w:szCs w:val="21"/>
          <w:highlight w:val="none"/>
        </w:rPr>
        <w:t>合同约定，分包</w:t>
      </w:r>
      <w:r>
        <w:rPr>
          <w:rFonts w:hint="eastAsia" w:ascii="Times New Roman" w:hAnsi="Times New Roman" w:eastAsia="仿宋_GB2312"/>
          <w:color w:val="auto"/>
          <w:kern w:val="0"/>
          <w:sz w:val="21"/>
          <w:szCs w:val="21"/>
          <w:highlight w:val="none"/>
        </w:rPr>
        <w:t>部分</w:t>
      </w:r>
      <w:r>
        <w:rPr>
          <w:rFonts w:ascii="Times New Roman" w:hAnsi="Times New Roman" w:eastAsia="仿宋_GB2312"/>
          <w:color w:val="auto"/>
          <w:kern w:val="0"/>
          <w:sz w:val="21"/>
          <w:szCs w:val="21"/>
          <w:highlight w:val="none"/>
        </w:rPr>
        <w:t>工程</w:t>
      </w:r>
      <w:r>
        <w:rPr>
          <w:rFonts w:hint="eastAsia" w:ascii="Times New Roman" w:hAnsi="Times New Roman" w:eastAsia="仿宋_GB2312"/>
          <w:color w:val="auto"/>
          <w:kern w:val="0"/>
          <w:sz w:val="21"/>
          <w:szCs w:val="21"/>
          <w:highlight w:val="none"/>
        </w:rPr>
        <w:t>或工作</w:t>
      </w:r>
      <w:r>
        <w:rPr>
          <w:rFonts w:ascii="Times New Roman" w:hAnsi="Times New Roman" w:eastAsia="仿宋_GB2312"/>
          <w:color w:val="auto"/>
          <w:kern w:val="0"/>
          <w:sz w:val="21"/>
          <w:szCs w:val="21"/>
          <w:highlight w:val="none"/>
        </w:rPr>
        <w:t>，并与</w:t>
      </w:r>
      <w:r>
        <w:rPr>
          <w:rFonts w:hint="eastAsia" w:ascii="Times New Roman" w:hAnsi="Times New Roman" w:eastAsia="仿宋_GB2312"/>
          <w:color w:val="auto"/>
          <w:kern w:val="0"/>
          <w:sz w:val="21"/>
          <w:szCs w:val="21"/>
          <w:highlight w:val="none"/>
        </w:rPr>
        <w:t>承包人</w:t>
      </w:r>
      <w:r>
        <w:rPr>
          <w:rFonts w:ascii="Times New Roman" w:hAnsi="Times New Roman" w:eastAsia="仿宋_GB2312"/>
          <w:color w:val="auto"/>
          <w:kern w:val="0"/>
          <w:sz w:val="21"/>
          <w:szCs w:val="21"/>
          <w:highlight w:val="none"/>
        </w:rPr>
        <w:t>签订分包合同的具有相应资质的法人。</w:t>
      </w:r>
    </w:p>
    <w:p w14:paraId="30DF7254">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1.1.2.7 发包人代表：是指由发包人任命并派驻施工现场在发包人授权范围内行使发包人权利的人。</w:t>
      </w:r>
    </w:p>
    <w:p w14:paraId="0860DCE2">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1.1.2.8 项目经理：是指由承包人任命并派驻施工现场，在承包人授权范围内负责合同履行，且按照法律规定具有相应资格的</w:t>
      </w:r>
      <w:r>
        <w:rPr>
          <w:rFonts w:hint="eastAsia" w:ascii="Times New Roman" w:hAnsi="Times New Roman" w:eastAsia="仿宋_GB2312"/>
          <w:color w:val="auto"/>
          <w:kern w:val="0"/>
          <w:sz w:val="21"/>
          <w:szCs w:val="21"/>
          <w:highlight w:val="none"/>
        </w:rPr>
        <w:t>项目负责</w:t>
      </w:r>
      <w:r>
        <w:rPr>
          <w:rFonts w:ascii="Times New Roman" w:hAnsi="Times New Roman" w:eastAsia="仿宋_GB2312"/>
          <w:color w:val="auto"/>
          <w:kern w:val="0"/>
          <w:sz w:val="21"/>
          <w:szCs w:val="21"/>
          <w:highlight w:val="none"/>
        </w:rPr>
        <w:t>人。</w:t>
      </w:r>
    </w:p>
    <w:p w14:paraId="08B4F5F4">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1.1.2.9 总监理工程师：是指由监理人任命并派驻施工现场进行工程监理的总负责人。</w:t>
      </w:r>
    </w:p>
    <w:p w14:paraId="714C9BAC">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1.1.3 工程和设备</w:t>
      </w:r>
    </w:p>
    <w:p w14:paraId="2E1E7A6B">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1.1.3.1 工程：是指与合同协议书中工程承包范围对应的永久工程和（或）临时工程。</w:t>
      </w:r>
    </w:p>
    <w:p w14:paraId="6339CC8E">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1.1.3.2 永久工程：是指按合同约定建造并移交给发包人的工程，包括工程设备。</w:t>
      </w:r>
    </w:p>
    <w:p w14:paraId="179E75E5">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1.1.3.3 临时工程：是指为完成合同约定的永久工程所修建的各类临时性工程，不包括施工设备。</w:t>
      </w:r>
    </w:p>
    <w:p w14:paraId="453BCBFA">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1.1.3.4 单位工程：是指在</w:t>
      </w:r>
      <w:r>
        <w:rPr>
          <w:rFonts w:hint="eastAsia" w:ascii="Times New Roman" w:hAnsi="Times New Roman" w:eastAsia="仿宋_GB2312"/>
          <w:color w:val="auto"/>
          <w:kern w:val="0"/>
          <w:sz w:val="21"/>
          <w:szCs w:val="21"/>
          <w:highlight w:val="none"/>
        </w:rPr>
        <w:t>合同协议书</w:t>
      </w:r>
      <w:r>
        <w:rPr>
          <w:rFonts w:ascii="Times New Roman" w:hAnsi="Times New Roman" w:eastAsia="仿宋_GB2312"/>
          <w:color w:val="auto"/>
          <w:kern w:val="0"/>
          <w:sz w:val="21"/>
          <w:szCs w:val="21"/>
          <w:highlight w:val="none"/>
        </w:rPr>
        <w:t>中指明的，具备独立施工条件并能形成独立使用功能的永久工程。</w:t>
      </w:r>
    </w:p>
    <w:p w14:paraId="31E0F1ED">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1.1.3.5 工程设备：是指构成永久工程的机电设备、金属结构设备、仪器及其他类似的设备和装置。</w:t>
      </w:r>
    </w:p>
    <w:p w14:paraId="5DA90533">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1.1.3.6 施工设备：是指为完成合同约定的各项工作所需的设备、器具和其他物品，但不包括工程设备、临时工程和材料。</w:t>
      </w:r>
    </w:p>
    <w:p w14:paraId="2184B951">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1.1.3.7 施工现场：是指用于工程施工的场所，以及在专用合同条款中</w:t>
      </w:r>
      <w:r>
        <w:rPr>
          <w:rFonts w:hint="eastAsia" w:ascii="Times New Roman" w:hAnsi="Times New Roman" w:eastAsia="仿宋_GB2312"/>
          <w:color w:val="auto"/>
          <w:kern w:val="0"/>
          <w:sz w:val="21"/>
          <w:szCs w:val="21"/>
          <w:highlight w:val="none"/>
        </w:rPr>
        <w:t>指</w:t>
      </w:r>
      <w:r>
        <w:rPr>
          <w:rFonts w:ascii="Times New Roman" w:hAnsi="Times New Roman" w:eastAsia="仿宋_GB2312"/>
          <w:color w:val="auto"/>
          <w:kern w:val="0"/>
          <w:sz w:val="21"/>
          <w:szCs w:val="21"/>
          <w:highlight w:val="none"/>
        </w:rPr>
        <w:t>明作为施工场所组成部分的其他场所，包括永久占地和临时占地。</w:t>
      </w:r>
    </w:p>
    <w:p w14:paraId="68AE1404">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1.1.3.8临时设施：是指为完成合同约定的各项工作所服务的临时性生产和生活设施。</w:t>
      </w:r>
    </w:p>
    <w:p w14:paraId="7990952A">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1.1.3.9 永久占地：是指专用合同条款中指明为实施工程需永久占用的土地。</w:t>
      </w:r>
    </w:p>
    <w:p w14:paraId="7B583902">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1.1.3.10 临时占地：是指专用合同条款中指明为实施工程需要临时占用的土地。</w:t>
      </w:r>
    </w:p>
    <w:p w14:paraId="2ADA1C72">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1.1.4 日期和期限</w:t>
      </w:r>
    </w:p>
    <w:p w14:paraId="7234EC7A">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1.1.4.1 开工日期：包括计划开工日期和实际开工日期。计划开工日期是指合同协议书约定的开工日期；实际开工日期是指监理人按照第7.3.2项</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开工通知</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约定发出的符合法律规定的开工通知中载明的开工日期。</w:t>
      </w:r>
    </w:p>
    <w:p w14:paraId="16D2B916">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1.1.4.2 竣工日期：包括计划竣工日期和实际竣工日期。计划竣工日期是指合同协议书约定的竣工日期</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实际竣工日期按照第13.2.3项</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竣工日期</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 xml:space="preserve">的约定确定。 </w:t>
      </w:r>
    </w:p>
    <w:p w14:paraId="7A830242">
      <w:pPr>
        <w:pageBreakBefore w:val="0"/>
        <w:widowControl w:val="0"/>
        <w:kinsoku/>
        <w:wordWrap/>
        <w:overflowPunct/>
        <w:topLinePunct w:val="0"/>
        <w:bidi w:val="0"/>
        <w:adjustRightInd w:val="0"/>
        <w:snapToGrid w:val="0"/>
        <w:spacing w:line="360" w:lineRule="auto"/>
        <w:ind w:firstLine="426" w:firstLineChars="203"/>
        <w:textAlignment w:val="auto"/>
        <w:rPr>
          <w:rFonts w:ascii="Times New Roman" w:hAnsi="Times New Roman" w:eastAsia="仿宋_GB2312"/>
          <w:color w:val="auto"/>
          <w:sz w:val="21"/>
          <w:szCs w:val="21"/>
          <w:highlight w:val="none"/>
        </w:rPr>
      </w:pPr>
      <w:r>
        <w:rPr>
          <w:rFonts w:ascii="Times New Roman" w:hAnsi="Times New Roman" w:eastAsia="仿宋_GB2312"/>
          <w:color w:val="auto"/>
          <w:kern w:val="0"/>
          <w:sz w:val="21"/>
          <w:szCs w:val="21"/>
          <w:highlight w:val="none"/>
        </w:rPr>
        <w:t>1.1.4.3 工期：是指在合同协议书约定的承包人完成工程所需的期限，包括按照合同约定所作的</w:t>
      </w:r>
      <w:r>
        <w:rPr>
          <w:rFonts w:hint="eastAsia" w:ascii="Times New Roman" w:hAnsi="Times New Roman" w:eastAsia="仿宋_GB2312"/>
          <w:color w:val="auto"/>
          <w:kern w:val="0"/>
          <w:sz w:val="21"/>
          <w:szCs w:val="21"/>
          <w:highlight w:val="none"/>
        </w:rPr>
        <w:t>期限</w:t>
      </w:r>
      <w:r>
        <w:rPr>
          <w:rFonts w:ascii="Times New Roman" w:hAnsi="Times New Roman" w:eastAsia="仿宋_GB2312"/>
          <w:color w:val="auto"/>
          <w:kern w:val="0"/>
          <w:sz w:val="21"/>
          <w:szCs w:val="21"/>
          <w:highlight w:val="none"/>
        </w:rPr>
        <w:t>变更。</w:t>
      </w:r>
    </w:p>
    <w:p w14:paraId="1404912A">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1.1.4.4 缺陷责任期：是指承包人按照合同约定承担缺陷修复义务，且发包人</w:t>
      </w:r>
      <w:r>
        <w:rPr>
          <w:rFonts w:hint="eastAsia" w:ascii="Times New Roman" w:hAnsi="Times New Roman" w:eastAsia="仿宋_GB2312"/>
          <w:color w:val="auto"/>
          <w:kern w:val="0"/>
          <w:sz w:val="21"/>
          <w:szCs w:val="21"/>
          <w:highlight w:val="none"/>
        </w:rPr>
        <w:t>预</w:t>
      </w:r>
      <w:r>
        <w:rPr>
          <w:rFonts w:ascii="Times New Roman" w:hAnsi="Times New Roman" w:eastAsia="仿宋_GB2312"/>
          <w:color w:val="auto"/>
          <w:kern w:val="0"/>
          <w:sz w:val="21"/>
          <w:szCs w:val="21"/>
          <w:highlight w:val="none"/>
        </w:rPr>
        <w:t>留质量保证金</w:t>
      </w:r>
      <w:r>
        <w:rPr>
          <w:rFonts w:hint="eastAsia" w:ascii="Times New Roman" w:hAnsi="Times New Roman" w:eastAsia="仿宋_GB2312"/>
          <w:color w:val="auto"/>
          <w:kern w:val="0"/>
          <w:sz w:val="21"/>
          <w:szCs w:val="21"/>
          <w:highlight w:val="none"/>
        </w:rPr>
        <w:t>（已</w:t>
      </w:r>
      <w:r>
        <w:rPr>
          <w:rFonts w:ascii="Times New Roman" w:hAnsi="Times New Roman" w:eastAsia="仿宋_GB2312"/>
          <w:color w:val="auto"/>
          <w:kern w:val="0"/>
          <w:sz w:val="21"/>
          <w:szCs w:val="21"/>
          <w:highlight w:val="none"/>
        </w:rPr>
        <w:t>缴纳履约保证金的除外</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的期限，</w:t>
      </w:r>
      <w:r>
        <w:rPr>
          <w:rFonts w:hint="eastAsia" w:ascii="Times New Roman" w:hAnsi="Times New Roman" w:eastAsia="仿宋_GB2312"/>
          <w:color w:val="auto"/>
          <w:kern w:val="0"/>
          <w:sz w:val="21"/>
          <w:szCs w:val="21"/>
          <w:highlight w:val="none"/>
        </w:rPr>
        <w:t>自</w:t>
      </w:r>
      <w:r>
        <w:rPr>
          <w:rFonts w:ascii="Times New Roman" w:hAnsi="Times New Roman" w:eastAsia="仿宋_GB2312"/>
          <w:color w:val="auto"/>
          <w:kern w:val="0"/>
          <w:sz w:val="21"/>
          <w:szCs w:val="21"/>
          <w:highlight w:val="none"/>
        </w:rPr>
        <w:t>工程</w:t>
      </w:r>
      <w:r>
        <w:rPr>
          <w:rFonts w:hint="eastAsia" w:ascii="Times New Roman" w:hAnsi="Times New Roman" w:eastAsia="仿宋_GB2312"/>
          <w:color w:val="auto"/>
          <w:kern w:val="0"/>
          <w:sz w:val="21"/>
          <w:szCs w:val="21"/>
          <w:highlight w:val="none"/>
        </w:rPr>
        <w:t>实际竣工日期</w:t>
      </w:r>
      <w:r>
        <w:rPr>
          <w:rFonts w:ascii="Times New Roman" w:hAnsi="Times New Roman" w:eastAsia="仿宋_GB2312"/>
          <w:color w:val="auto"/>
          <w:kern w:val="0"/>
          <w:sz w:val="21"/>
          <w:szCs w:val="21"/>
          <w:highlight w:val="none"/>
        </w:rPr>
        <w:t>起计算。</w:t>
      </w:r>
    </w:p>
    <w:p w14:paraId="23424AAF">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1.1.4.5 保修期：是指承包人按照合同约定对工程承担保修责任的期限，从工程竣工验收合格之日起计算。</w:t>
      </w:r>
    </w:p>
    <w:p w14:paraId="2840415B">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1.1.4.6 基准日期：招标发包的工程以投标截止日前28天的日期为基准日</w:t>
      </w:r>
      <w:r>
        <w:rPr>
          <w:rFonts w:hint="eastAsia" w:ascii="Times New Roman" w:hAnsi="Times New Roman" w:eastAsia="仿宋_GB2312"/>
          <w:color w:val="auto"/>
          <w:kern w:val="0"/>
          <w:sz w:val="21"/>
          <w:szCs w:val="21"/>
          <w:highlight w:val="none"/>
        </w:rPr>
        <w:t>期</w:t>
      </w:r>
      <w:r>
        <w:rPr>
          <w:rFonts w:ascii="Times New Roman" w:hAnsi="Times New Roman" w:eastAsia="仿宋_GB2312"/>
          <w:color w:val="auto"/>
          <w:kern w:val="0"/>
          <w:sz w:val="21"/>
          <w:szCs w:val="21"/>
          <w:highlight w:val="none"/>
        </w:rPr>
        <w:t>，直接发包的工程以合同签订日前28天的日期为基准日</w:t>
      </w:r>
      <w:r>
        <w:rPr>
          <w:rFonts w:hint="eastAsia" w:ascii="Times New Roman" w:hAnsi="Times New Roman" w:eastAsia="仿宋_GB2312"/>
          <w:color w:val="auto"/>
          <w:kern w:val="0"/>
          <w:sz w:val="21"/>
          <w:szCs w:val="21"/>
          <w:highlight w:val="none"/>
        </w:rPr>
        <w:t>期</w:t>
      </w:r>
      <w:r>
        <w:rPr>
          <w:rFonts w:ascii="Times New Roman" w:hAnsi="Times New Roman" w:eastAsia="仿宋_GB2312"/>
          <w:color w:val="auto"/>
          <w:kern w:val="0"/>
          <w:sz w:val="21"/>
          <w:szCs w:val="21"/>
          <w:highlight w:val="none"/>
        </w:rPr>
        <w:t>。</w:t>
      </w:r>
    </w:p>
    <w:p w14:paraId="49A665EF">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1.1.4.7 天：除特别指明外，均指日历天。合同中按天计算时间的，开始当天不计入，从次日开始计算，期限最后一天的截止时间为当天24:00时。</w:t>
      </w:r>
    </w:p>
    <w:p w14:paraId="10A3B8AE">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1.1.5 合同价格和费用</w:t>
      </w:r>
    </w:p>
    <w:p w14:paraId="26E4AB98">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kern w:val="0"/>
          <w:sz w:val="21"/>
          <w:szCs w:val="21"/>
          <w:highlight w:val="none"/>
        </w:rPr>
        <w:t>1.1.5.1 签约合同价：是指</w:t>
      </w:r>
      <w:r>
        <w:rPr>
          <w:rFonts w:ascii="Times New Roman" w:hAnsi="Times New Roman" w:eastAsia="仿宋_GB2312"/>
          <w:color w:val="auto"/>
          <w:sz w:val="21"/>
          <w:szCs w:val="21"/>
          <w:highlight w:val="none"/>
        </w:rPr>
        <w:t>发包人和承包人在合同协议书中确定的总金额，包括安全文明施工费、暂估价及暂列金额等。</w:t>
      </w:r>
    </w:p>
    <w:p w14:paraId="2FF0FE73">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1.1.5.2 合同价格：是指发包人用于支付承包人按照合同约定完成承包范围内全部工作的金额，包括合同履行过程中按合同约定</w:t>
      </w:r>
      <w:r>
        <w:rPr>
          <w:rFonts w:hint="eastAsia" w:ascii="Times New Roman" w:hAnsi="Times New Roman" w:eastAsia="仿宋_GB2312"/>
          <w:color w:val="auto"/>
          <w:kern w:val="0"/>
          <w:sz w:val="21"/>
          <w:szCs w:val="21"/>
          <w:highlight w:val="none"/>
        </w:rPr>
        <w:t>发生的价格变化。</w:t>
      </w:r>
    </w:p>
    <w:p w14:paraId="27AFC628">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1.1.5.3 费用：是指为履行合同所发生的或将要发生的所有必需的开支，包括管理费和应分摊的其他费用，但不包括利润。</w:t>
      </w:r>
    </w:p>
    <w:p w14:paraId="553058EB">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1.1.5.4 暂估价：是指发包人在工程量清单或预算书中提供的用于支付必然发生但暂时不能确定价格的材料、工程设备的单价</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专业工程以及</w:t>
      </w:r>
      <w:r>
        <w:rPr>
          <w:rFonts w:hint="eastAsia" w:ascii="Times New Roman" w:hAnsi="Times New Roman" w:eastAsia="仿宋_GB2312"/>
          <w:color w:val="auto"/>
          <w:kern w:val="0"/>
          <w:sz w:val="21"/>
          <w:szCs w:val="21"/>
          <w:highlight w:val="none"/>
        </w:rPr>
        <w:t>服务工作</w:t>
      </w:r>
      <w:r>
        <w:rPr>
          <w:rFonts w:ascii="Times New Roman" w:hAnsi="Times New Roman" w:eastAsia="仿宋_GB2312"/>
          <w:color w:val="auto"/>
          <w:kern w:val="0"/>
          <w:sz w:val="21"/>
          <w:szCs w:val="21"/>
          <w:highlight w:val="none"/>
        </w:rPr>
        <w:t>的金额。</w:t>
      </w:r>
    </w:p>
    <w:p w14:paraId="75CDA897">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1.1.5.5 暂列金额：是指发包人在工程量清单或预算书中暂定并包括在合同价格中的一笔款项</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用于工程合同签订时尚未确定或者不可预见的所需材料、工程设备、服务的采购，施工中可能发生的工程变更、合同约定调整因素出现时的合同价格调整以及发生的索赔、现场签证确认等的费用。</w:t>
      </w:r>
    </w:p>
    <w:p w14:paraId="7D606D5C">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1.1.5.6 计日工：是指合同履行过程中，承包人完成发包人提出的零星工作或需要采用计日工计价的变更工作时，按合同中约定的单价计价的一种方式。</w:t>
      </w:r>
    </w:p>
    <w:p w14:paraId="4E240228">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kern w:val="0"/>
          <w:sz w:val="21"/>
          <w:szCs w:val="21"/>
          <w:highlight w:val="none"/>
        </w:rPr>
        <w:t>1.1.5.7 质量保证金</w:t>
      </w:r>
      <w:bookmarkStart w:id="793" w:name="#go2"/>
      <w:bookmarkEnd w:id="793"/>
      <w:r>
        <w:rPr>
          <w:rFonts w:ascii="Times New Roman" w:hAnsi="Times New Roman" w:eastAsia="仿宋_GB2312"/>
          <w:color w:val="auto"/>
          <w:kern w:val="0"/>
          <w:sz w:val="21"/>
          <w:szCs w:val="21"/>
          <w:highlight w:val="none"/>
        </w:rPr>
        <w:t>：是指按照第15.3款</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质量保证金</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约定承包人用于保证其在缺陷责任期内履行缺陷修补义务的担保</w:t>
      </w:r>
      <w:r>
        <w:rPr>
          <w:rFonts w:ascii="Times New Roman" w:hAnsi="Times New Roman" w:eastAsia="仿宋_GB2312"/>
          <w:color w:val="auto"/>
          <w:sz w:val="21"/>
          <w:szCs w:val="21"/>
          <w:highlight w:val="none"/>
        </w:rPr>
        <w:t>。</w:t>
      </w:r>
    </w:p>
    <w:p w14:paraId="2BFD274E">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1.1.5.8 总价项目：是指在现行国家、行业以及地方的计量规则中无工程量计算规则，在已标价工程量清单或预算书中以总价或以费率形式计算的项目。</w:t>
      </w:r>
    </w:p>
    <w:p w14:paraId="6B9B5478">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1.1.6 其他</w:t>
      </w:r>
    </w:p>
    <w:p w14:paraId="69BF07FC">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1.1.6.1 书面形式：是指合同文件、信函、电报、传真等可以有形地表现所载内容的形式。</w:t>
      </w:r>
    </w:p>
    <w:p w14:paraId="40AA8AC5">
      <w:pPr>
        <w:pStyle w:val="6"/>
        <w:pageBreakBefore w:val="0"/>
        <w:widowControl w:val="0"/>
        <w:kinsoku/>
        <w:wordWrap/>
        <w:overflowPunct/>
        <w:topLinePunct w:val="0"/>
        <w:bidi w:val="0"/>
        <w:adjustRightInd w:val="0"/>
        <w:snapToGrid w:val="0"/>
        <w:spacing w:before="0" w:after="0" w:line="360" w:lineRule="auto"/>
        <w:textAlignment w:val="auto"/>
        <w:rPr>
          <w:rFonts w:ascii="Times New Roman" w:hAnsi="Times New Roman" w:eastAsia="黑体"/>
          <w:b w:val="0"/>
          <w:color w:val="auto"/>
          <w:sz w:val="21"/>
          <w:szCs w:val="21"/>
          <w:highlight w:val="none"/>
        </w:rPr>
      </w:pPr>
      <w:bookmarkStart w:id="794" w:name="_Toc337558729"/>
      <w:bookmarkStart w:id="795" w:name="_Toc296503029"/>
      <w:bookmarkStart w:id="796" w:name="_Toc351203497"/>
      <w:bookmarkStart w:id="797" w:name="_Toc296346530"/>
      <w:r>
        <w:rPr>
          <w:rFonts w:ascii="Times New Roman" w:hAnsi="Times New Roman" w:eastAsia="黑体"/>
          <w:b w:val="0"/>
          <w:color w:val="auto"/>
          <w:sz w:val="21"/>
          <w:szCs w:val="21"/>
          <w:highlight w:val="none"/>
        </w:rPr>
        <w:t>1.2语言文字</w:t>
      </w:r>
      <w:bookmarkEnd w:id="794"/>
      <w:bookmarkEnd w:id="795"/>
      <w:bookmarkEnd w:id="796"/>
      <w:bookmarkEnd w:id="797"/>
    </w:p>
    <w:p w14:paraId="466B166C">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合同以中国的汉语简体文字编写、解释和说明。合同当事人在专用合同条款中约定使用两种以上语言时，汉语为优先解释和说明合同的语言。</w:t>
      </w:r>
    </w:p>
    <w:p w14:paraId="638811A2">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798" w:name="_Toc351203498"/>
      <w:bookmarkStart w:id="799" w:name="_Toc296503030"/>
      <w:bookmarkStart w:id="800" w:name="_Toc337558730"/>
      <w:bookmarkStart w:id="801" w:name="_Toc296346531"/>
      <w:r>
        <w:rPr>
          <w:rFonts w:ascii="Times New Roman" w:hAnsi="Times New Roman" w:eastAsia="黑体"/>
          <w:b w:val="0"/>
          <w:color w:val="auto"/>
          <w:sz w:val="21"/>
          <w:szCs w:val="21"/>
          <w:highlight w:val="none"/>
        </w:rPr>
        <w:t>1.3法律</w:t>
      </w:r>
      <w:bookmarkEnd w:id="798"/>
      <w:bookmarkEnd w:id="799"/>
      <w:bookmarkEnd w:id="800"/>
      <w:bookmarkEnd w:id="801"/>
    </w:p>
    <w:p w14:paraId="4B90F98B">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合同所称法律是指中华人民共和国法律、行政法规、部门规章，以及工程所在地的地方性法规、自治条例、单行条例和地方政府规章等。</w:t>
      </w:r>
    </w:p>
    <w:p w14:paraId="60B293A9">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合同当事人可以在专用合同条款中约定合同适用的其他规范性文件。</w:t>
      </w:r>
    </w:p>
    <w:p w14:paraId="04A79621">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802" w:name="_Toc351203499"/>
      <w:r>
        <w:rPr>
          <w:rFonts w:ascii="Times New Roman" w:hAnsi="Times New Roman" w:eastAsia="黑体"/>
          <w:b w:val="0"/>
          <w:color w:val="auto"/>
          <w:sz w:val="21"/>
          <w:szCs w:val="21"/>
          <w:highlight w:val="none"/>
        </w:rPr>
        <w:t>1.4 标准和规范</w:t>
      </w:r>
      <w:bookmarkEnd w:id="802"/>
    </w:p>
    <w:p w14:paraId="17BF6381">
      <w:pPr>
        <w:pageBreakBefore w:val="0"/>
        <w:widowControl w:val="0"/>
        <w:kinsoku/>
        <w:wordWrap/>
        <w:overflowPunct/>
        <w:topLinePunct w:val="0"/>
        <w:autoSpaceDE w:val="0"/>
        <w:autoSpaceDN w:val="0"/>
        <w:bidi w:val="0"/>
        <w:adjustRightInd w:val="0"/>
        <w:snapToGrid w:val="0"/>
        <w:spacing w:line="360" w:lineRule="auto"/>
        <w:ind w:firstLine="64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1.4.1 适用于工程的国家标准、行业标准、工程所在地的地方性标准，以及相应的规范、规程等，合同当事人有特别要求的，应在专用合同条款中约定。</w:t>
      </w:r>
    </w:p>
    <w:p w14:paraId="75DA024F">
      <w:pPr>
        <w:pageBreakBefore w:val="0"/>
        <w:widowControl w:val="0"/>
        <w:kinsoku/>
        <w:wordWrap/>
        <w:overflowPunct/>
        <w:topLinePunct w:val="0"/>
        <w:autoSpaceDE w:val="0"/>
        <w:autoSpaceDN w:val="0"/>
        <w:bidi w:val="0"/>
        <w:adjustRightInd w:val="0"/>
        <w:snapToGrid w:val="0"/>
        <w:spacing w:line="360" w:lineRule="auto"/>
        <w:ind w:firstLine="64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1.4.2 发包人要求使用国外标准、规范的，发包人负责提供原文版本和中文译本，并在专用合同条款中约定提供标准规范的名称、份数和时间。</w:t>
      </w:r>
    </w:p>
    <w:p w14:paraId="225DFA6A">
      <w:pPr>
        <w:pageBreakBefore w:val="0"/>
        <w:widowControl w:val="0"/>
        <w:kinsoku/>
        <w:wordWrap/>
        <w:overflowPunct/>
        <w:topLinePunct w:val="0"/>
        <w:autoSpaceDE w:val="0"/>
        <w:autoSpaceDN w:val="0"/>
        <w:bidi w:val="0"/>
        <w:adjustRightInd w:val="0"/>
        <w:snapToGrid w:val="0"/>
        <w:spacing w:line="360" w:lineRule="auto"/>
        <w:ind w:firstLine="64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1.4.3 发包人对工程的技术标准、功能要求高于或严于现行国家、行业或地方标准的，应当在专用合同条款中予以明确。除专用合同条款另有约定外，应视为</w:t>
      </w:r>
      <w:r>
        <w:rPr>
          <w:rFonts w:hint="eastAsia" w:ascii="Times New Roman" w:hAnsi="Times New Roman" w:eastAsia="仿宋_GB2312"/>
          <w:color w:val="auto"/>
          <w:kern w:val="0"/>
          <w:sz w:val="21"/>
          <w:szCs w:val="21"/>
          <w:highlight w:val="none"/>
        </w:rPr>
        <w:t>承包人</w:t>
      </w:r>
      <w:r>
        <w:rPr>
          <w:rFonts w:ascii="Times New Roman" w:hAnsi="Times New Roman" w:eastAsia="仿宋_GB2312"/>
          <w:color w:val="auto"/>
          <w:kern w:val="0"/>
          <w:sz w:val="21"/>
          <w:szCs w:val="21"/>
          <w:highlight w:val="none"/>
        </w:rPr>
        <w:t>在签订合同前已充分预见前述技术标准和功能要求的复杂程度，签约合同价中已包含由此产生的费用。</w:t>
      </w:r>
    </w:p>
    <w:p w14:paraId="567F1C1B">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803" w:name="_Toc351203500"/>
      <w:r>
        <w:rPr>
          <w:rFonts w:ascii="Times New Roman" w:hAnsi="Times New Roman" w:eastAsia="黑体"/>
          <w:b w:val="0"/>
          <w:color w:val="auto"/>
          <w:sz w:val="21"/>
          <w:szCs w:val="21"/>
          <w:highlight w:val="none"/>
        </w:rPr>
        <w:t>1</w:t>
      </w:r>
      <w:bookmarkStart w:id="804" w:name="_Toc296503031"/>
      <w:bookmarkStart w:id="805" w:name="_Toc296346532"/>
      <w:bookmarkStart w:id="806" w:name="_Toc337558731"/>
      <w:r>
        <w:rPr>
          <w:rFonts w:ascii="Times New Roman" w:hAnsi="Times New Roman" w:eastAsia="黑体"/>
          <w:b w:val="0"/>
          <w:color w:val="auto"/>
          <w:sz w:val="21"/>
          <w:szCs w:val="21"/>
          <w:highlight w:val="none"/>
        </w:rPr>
        <w:t>.5 合同文件的优先顺序</w:t>
      </w:r>
      <w:bookmarkEnd w:id="803"/>
    </w:p>
    <w:bookmarkEnd w:id="804"/>
    <w:bookmarkEnd w:id="805"/>
    <w:bookmarkEnd w:id="806"/>
    <w:p w14:paraId="0EB6FB92">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组成合同的各项文件应互相解释，互为说明。除专用合同条款另有约定外，解释合同文件的优先顺序如下：</w:t>
      </w:r>
    </w:p>
    <w:p w14:paraId="3DD65500">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（1）合同协议书；</w:t>
      </w:r>
    </w:p>
    <w:p w14:paraId="53F1E405">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（2）中标通知书（如果有）；</w:t>
      </w:r>
    </w:p>
    <w:p w14:paraId="6DC16F56">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（3）投标函及其附录（如果有）；</w:t>
      </w:r>
    </w:p>
    <w:p w14:paraId="7744D8FA">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（4）专用合同条款</w:t>
      </w:r>
      <w:r>
        <w:rPr>
          <w:rFonts w:ascii="Times New Roman" w:hAnsi="Times New Roman" w:eastAsia="仿宋_GB2312"/>
          <w:color w:val="auto"/>
          <w:sz w:val="21"/>
          <w:szCs w:val="21"/>
          <w:highlight w:val="none"/>
        </w:rPr>
        <w:t>及其附件</w:t>
      </w:r>
      <w:r>
        <w:rPr>
          <w:rFonts w:ascii="Times New Roman" w:hAnsi="Times New Roman" w:eastAsia="仿宋_GB2312"/>
          <w:color w:val="auto"/>
          <w:kern w:val="0"/>
          <w:sz w:val="21"/>
          <w:szCs w:val="21"/>
          <w:highlight w:val="none"/>
        </w:rPr>
        <w:t>；</w:t>
      </w:r>
    </w:p>
    <w:p w14:paraId="2B7DE148">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（5）通用合同条款；</w:t>
      </w:r>
    </w:p>
    <w:p w14:paraId="251C425B">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（6）技术标准和要求；</w:t>
      </w:r>
    </w:p>
    <w:p w14:paraId="0835742A">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（7）图纸；</w:t>
      </w:r>
    </w:p>
    <w:p w14:paraId="625F28C3">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（8）已标价工程量清单或预算书；</w:t>
      </w:r>
    </w:p>
    <w:p w14:paraId="2C8D1F6D">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kern w:val="0"/>
          <w:sz w:val="21"/>
          <w:szCs w:val="21"/>
          <w:highlight w:val="none"/>
        </w:rPr>
        <w:t>（9）其他合同文件。</w:t>
      </w:r>
    </w:p>
    <w:p w14:paraId="08EC822F">
      <w:pPr>
        <w:pageBreakBefore w:val="0"/>
        <w:widowControl w:val="0"/>
        <w:kinsoku/>
        <w:wordWrap/>
        <w:overflowPunct/>
        <w:topLinePunct w:val="0"/>
        <w:bidi w:val="0"/>
        <w:adjustRightInd w:val="0"/>
        <w:snapToGrid w:val="0"/>
        <w:spacing w:line="360" w:lineRule="auto"/>
        <w:ind w:firstLine="447" w:firstLineChars="213"/>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上述各项合同文件包括合同当事人就该项合同文件所作出的补充和修改，属于同一类内容的文件，应以最新签署的为准。</w:t>
      </w:r>
    </w:p>
    <w:p w14:paraId="167263D4">
      <w:pPr>
        <w:pageBreakBefore w:val="0"/>
        <w:widowControl w:val="0"/>
        <w:kinsoku/>
        <w:wordWrap/>
        <w:overflowPunct/>
        <w:topLinePunct w:val="0"/>
        <w:bidi w:val="0"/>
        <w:adjustRightInd w:val="0"/>
        <w:snapToGrid w:val="0"/>
        <w:spacing w:line="360" w:lineRule="auto"/>
        <w:ind w:firstLine="447" w:firstLineChars="213"/>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在合同订立及履行过程中形成的与合同有关的文件均构成合同文件组成部分，并根据其性质确定优先解释顺序。</w:t>
      </w:r>
    </w:p>
    <w:p w14:paraId="5DF45E51">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807" w:name="_Toc351203501"/>
      <w:r>
        <w:rPr>
          <w:rFonts w:ascii="Times New Roman" w:hAnsi="Times New Roman" w:eastAsia="黑体"/>
          <w:b w:val="0"/>
          <w:color w:val="auto"/>
          <w:sz w:val="21"/>
          <w:szCs w:val="21"/>
          <w:highlight w:val="none"/>
        </w:rPr>
        <w:t>1</w:t>
      </w:r>
      <w:bookmarkStart w:id="808" w:name="_Toc296503032"/>
      <w:bookmarkStart w:id="809" w:name="_Toc296346533"/>
      <w:bookmarkStart w:id="810" w:name="_Toc337558732"/>
      <w:r>
        <w:rPr>
          <w:rFonts w:ascii="Times New Roman" w:hAnsi="Times New Roman" w:eastAsia="黑体"/>
          <w:b w:val="0"/>
          <w:color w:val="auto"/>
          <w:sz w:val="21"/>
          <w:szCs w:val="21"/>
          <w:highlight w:val="none"/>
        </w:rPr>
        <w:t>.6图纸和承包人文件</w:t>
      </w:r>
      <w:bookmarkEnd w:id="807"/>
    </w:p>
    <w:bookmarkEnd w:id="808"/>
    <w:bookmarkEnd w:id="809"/>
    <w:bookmarkEnd w:id="810"/>
    <w:p w14:paraId="28FD70B4">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1.6.1 图纸的提供和交底</w:t>
      </w:r>
    </w:p>
    <w:p w14:paraId="3E08DB09">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发包人应按照专用合同条款约定的期限、数量和内容向承包人免费提供图纸，并组织承包人、监理人和设计人进行图纸会审和设计交底。发包人至迟不得晚于第7.3.2项</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开工通知</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载明的开工日期前14天向承包人提供图纸。</w:t>
      </w:r>
    </w:p>
    <w:p w14:paraId="735369AE">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因发包人未按合同约定提供图纸导致承包人费用增加和（或）工期延误的，按照第7.5.1项</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因发包人原因导致工期延误</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约定办理。</w:t>
      </w:r>
    </w:p>
    <w:p w14:paraId="26F81108">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1.6.2 图纸的错误</w:t>
      </w:r>
    </w:p>
    <w:p w14:paraId="5E43ACDE">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在收到发包人提供的图纸后，发现图纸存在差错、遗漏或缺陷的，应及时通知监理人。监理人接到该通知后，应附具相关意见并立即报送发包人，发包人应在收到监理人报送的通知后的合理时间内作出决定。</w:t>
      </w:r>
      <w:r>
        <w:rPr>
          <w:rFonts w:hint="eastAsia" w:ascii="Times New Roman" w:hAnsi="Times New Roman" w:eastAsia="仿宋_GB2312"/>
          <w:color w:val="auto"/>
          <w:kern w:val="0"/>
          <w:sz w:val="21"/>
          <w:szCs w:val="21"/>
          <w:highlight w:val="none"/>
        </w:rPr>
        <w:t>合理时间是指发包人在收到监理人的报送通知后，尽其努力且不懈怠地完成图纸修改补充所需的时间。</w:t>
      </w:r>
    </w:p>
    <w:p w14:paraId="2F84DBCD">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1.6.3 图纸的修改和补充</w:t>
      </w:r>
    </w:p>
    <w:p w14:paraId="394931D5">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图纸需要修改和补充的，应经图纸原设计人及审批部门同意，并由监理人在工程或工程相应部位施工前将修改后的图纸或补充图纸提交给承包人，承包人应按修改或补充后的图纸施工。</w:t>
      </w:r>
    </w:p>
    <w:p w14:paraId="569D3450">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1.6.4 承包人文件</w:t>
      </w:r>
    </w:p>
    <w:p w14:paraId="145941DD">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承包人应按照专用合同条款的约定提供应当由其编制的与工程施工有关的文件，并按照专用合同条款约定的期限、数量和形式提交监理人，并由监理人报送发包人。</w:t>
      </w:r>
    </w:p>
    <w:p w14:paraId="68E4374A">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除专用合同条款另有约定外，监理人应在收到承包人文件后7天内审查完毕，监理人对承包人文件有异议的，承包人应予以修改，并重新报送监理人。监理人的审查并不减轻或免除承包人根据合同约定应当承担的责任。</w:t>
      </w:r>
    </w:p>
    <w:p w14:paraId="77AD81E8">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1.6.5 图纸和承包人文件的保管</w:t>
      </w:r>
    </w:p>
    <w:p w14:paraId="76ACADA2">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b/>
          <w:bCs/>
          <w:color w:val="auto"/>
          <w:kern w:val="0"/>
          <w:sz w:val="21"/>
          <w:szCs w:val="21"/>
          <w:highlight w:val="none"/>
        </w:rPr>
      </w:pPr>
      <w:r>
        <w:rPr>
          <w:rFonts w:ascii="Times New Roman" w:hAnsi="Times New Roman" w:eastAsia="仿宋_GB2312"/>
          <w:color w:val="auto"/>
          <w:kern w:val="0"/>
          <w:sz w:val="21"/>
          <w:szCs w:val="21"/>
          <w:highlight w:val="none"/>
        </w:rPr>
        <w:t>除专用合同条款另有约定外，承包人应在施工现场另外保存一套完整的图纸和承包人文件，供发包人、监理人及有关人员进行工程检查时使用。</w:t>
      </w:r>
    </w:p>
    <w:p w14:paraId="48A7F9C4">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811" w:name="_Toc351203502"/>
      <w:r>
        <w:rPr>
          <w:rFonts w:ascii="Times New Roman" w:hAnsi="Times New Roman" w:eastAsia="黑体"/>
          <w:b w:val="0"/>
          <w:color w:val="auto"/>
          <w:sz w:val="21"/>
          <w:szCs w:val="21"/>
          <w:highlight w:val="none"/>
        </w:rPr>
        <w:t>1</w:t>
      </w:r>
      <w:bookmarkStart w:id="812" w:name="_Toc296346534"/>
      <w:bookmarkStart w:id="813" w:name="_Toc337558733"/>
      <w:bookmarkStart w:id="814" w:name="_Toc296503033"/>
      <w:r>
        <w:rPr>
          <w:rFonts w:ascii="Times New Roman" w:hAnsi="Times New Roman" w:eastAsia="黑体"/>
          <w:b w:val="0"/>
          <w:color w:val="auto"/>
          <w:sz w:val="21"/>
          <w:szCs w:val="21"/>
          <w:highlight w:val="none"/>
        </w:rPr>
        <w:t>.7联络</w:t>
      </w:r>
      <w:bookmarkEnd w:id="811"/>
    </w:p>
    <w:bookmarkEnd w:id="812"/>
    <w:bookmarkEnd w:id="813"/>
    <w:bookmarkEnd w:id="814"/>
    <w:p w14:paraId="4F1BAB3D">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1.7.1 与合同有关的通知、批准、证明、证书、指示、指令、要求、请求、同意、意见、确定和决定等，均应采用书面形式，并应在合同约定的期限内送达接收人和送达地点。</w:t>
      </w:r>
    </w:p>
    <w:p w14:paraId="1645D58B">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1.7.2 发包人和承包人应在专用合同条款中约定各自的送达接收人和送达地点。任何一方合同当事人指定的接收人或送达地点发生变动的，应提前3天以书面形式通知对方。</w:t>
      </w:r>
    </w:p>
    <w:p w14:paraId="4EDB2330">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1.7.3 发包人和承包人应当及时签收另一方送达至送达地点和指定接收人的来往信函。拒不签收的，由此增加的费用和（或）延误的工期由拒绝接收一方承担。</w:t>
      </w:r>
    </w:p>
    <w:p w14:paraId="429E6A22">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815" w:name="_Toc351203503"/>
      <w:r>
        <w:rPr>
          <w:rFonts w:ascii="Times New Roman" w:hAnsi="Times New Roman" w:eastAsia="黑体"/>
          <w:b w:val="0"/>
          <w:color w:val="auto"/>
          <w:sz w:val="21"/>
          <w:szCs w:val="21"/>
          <w:highlight w:val="none"/>
        </w:rPr>
        <w:t>1</w:t>
      </w:r>
      <w:bookmarkStart w:id="816" w:name="_Toc296503035"/>
      <w:bookmarkStart w:id="817" w:name="_Toc337558734"/>
      <w:bookmarkStart w:id="818" w:name="_Toc296346536"/>
      <w:r>
        <w:rPr>
          <w:rFonts w:ascii="Times New Roman" w:hAnsi="Times New Roman" w:eastAsia="黑体"/>
          <w:b w:val="0"/>
          <w:color w:val="auto"/>
          <w:sz w:val="21"/>
          <w:szCs w:val="21"/>
          <w:highlight w:val="none"/>
        </w:rPr>
        <w:t>.8严禁贿赂</w:t>
      </w:r>
      <w:bookmarkEnd w:id="815"/>
    </w:p>
    <w:bookmarkEnd w:id="816"/>
    <w:bookmarkEnd w:id="817"/>
    <w:bookmarkEnd w:id="818"/>
    <w:p w14:paraId="4DADB9E0">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合同当事人不得以贿赂或变相贿赂的方式，谋取非法利益或损害对方权益。因一方合同当事人的贿赂造成对方损失的，应赔偿损失，并承担相应的法律责任。</w:t>
      </w:r>
    </w:p>
    <w:p w14:paraId="58E52374">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承包人不得与监理人或发包人聘请的第三方串通损害发包人利益。未经发包人书面同意，承包人不得为监理人提供合同约定以外的通讯设备、交通工具及其他任何形式的利益，不得向监理人支付报酬。</w:t>
      </w:r>
    </w:p>
    <w:p w14:paraId="4331C885">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819" w:name="_Toc351203504"/>
      <w:r>
        <w:rPr>
          <w:rFonts w:ascii="Times New Roman" w:hAnsi="Times New Roman" w:eastAsia="黑体"/>
          <w:b w:val="0"/>
          <w:color w:val="auto"/>
          <w:sz w:val="21"/>
          <w:szCs w:val="21"/>
          <w:highlight w:val="none"/>
        </w:rPr>
        <w:t>1</w:t>
      </w:r>
      <w:bookmarkStart w:id="820" w:name="_Toc296503036"/>
      <w:bookmarkStart w:id="821" w:name="_Toc337558735"/>
      <w:bookmarkStart w:id="822" w:name="_Toc296346537"/>
      <w:r>
        <w:rPr>
          <w:rFonts w:ascii="Times New Roman" w:hAnsi="Times New Roman" w:eastAsia="黑体"/>
          <w:b w:val="0"/>
          <w:color w:val="auto"/>
          <w:sz w:val="21"/>
          <w:szCs w:val="21"/>
          <w:highlight w:val="none"/>
        </w:rPr>
        <w:t>.9化石、文物</w:t>
      </w:r>
      <w:bookmarkEnd w:id="819"/>
    </w:p>
    <w:bookmarkEnd w:id="820"/>
    <w:bookmarkEnd w:id="821"/>
    <w:bookmarkEnd w:id="822"/>
    <w:p w14:paraId="3EA83792">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监理人。</w:t>
      </w:r>
    </w:p>
    <w:p w14:paraId="0DB5A63D">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发包人、监理人和承包人应按有关政府行政管理部门要求采取妥善的保护措施，由此增加的费用和</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或）延误的工期由发包人承担。</w:t>
      </w:r>
    </w:p>
    <w:p w14:paraId="0728936F">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承包人发现文物后不及时报告或隐瞒不报，致使文物丢失或损坏的，应赔偿损失，并承担相应的法律责任。</w:t>
      </w:r>
    </w:p>
    <w:p w14:paraId="351B0796">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823" w:name="_Toc351203505"/>
      <w:r>
        <w:rPr>
          <w:rFonts w:ascii="Times New Roman" w:hAnsi="Times New Roman" w:eastAsia="黑体"/>
          <w:b w:val="0"/>
          <w:color w:val="auto"/>
          <w:sz w:val="21"/>
          <w:szCs w:val="21"/>
          <w:highlight w:val="none"/>
        </w:rPr>
        <w:t>1</w:t>
      </w:r>
      <w:bookmarkStart w:id="824" w:name="_Toc337558736"/>
      <w:r>
        <w:rPr>
          <w:rFonts w:ascii="Times New Roman" w:hAnsi="Times New Roman" w:eastAsia="黑体"/>
          <w:b w:val="0"/>
          <w:color w:val="auto"/>
          <w:sz w:val="21"/>
          <w:szCs w:val="21"/>
          <w:highlight w:val="none"/>
        </w:rPr>
        <w:t>.10交通运输</w:t>
      </w:r>
      <w:bookmarkEnd w:id="823"/>
    </w:p>
    <w:bookmarkEnd w:id="824"/>
    <w:p w14:paraId="51857F08">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1.10.1</w:t>
      </w:r>
      <w:r>
        <w:rPr>
          <w:rFonts w:hint="eastAsia" w:ascii="Times New Roman" w:hAnsi="Times New Roman" w:eastAsia="仿宋_GB2312"/>
          <w:color w:val="auto"/>
          <w:kern w:val="0"/>
          <w:sz w:val="21"/>
          <w:szCs w:val="21"/>
          <w:highlight w:val="none"/>
        </w:rPr>
        <w:t xml:space="preserve"> </w:t>
      </w:r>
      <w:r>
        <w:rPr>
          <w:rFonts w:ascii="Times New Roman" w:hAnsi="Times New Roman" w:eastAsia="仿宋_GB2312"/>
          <w:color w:val="auto"/>
          <w:kern w:val="0"/>
          <w:sz w:val="21"/>
          <w:szCs w:val="21"/>
          <w:highlight w:val="none"/>
        </w:rPr>
        <w:t>出入现场的权利</w:t>
      </w:r>
    </w:p>
    <w:p w14:paraId="5274B185">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除专用合同条款另有约定外，发包人应根据施工需要，负责取得出入施工现场所需的</w:t>
      </w:r>
      <w:r>
        <w:rPr>
          <w:rFonts w:hint="eastAsia" w:ascii="Times New Roman" w:hAnsi="Times New Roman" w:eastAsia="仿宋_GB2312"/>
          <w:color w:val="auto"/>
          <w:kern w:val="0"/>
          <w:sz w:val="21"/>
          <w:szCs w:val="21"/>
          <w:highlight w:val="none"/>
        </w:rPr>
        <w:t>批准手续和</w:t>
      </w:r>
      <w:r>
        <w:rPr>
          <w:rFonts w:ascii="Times New Roman" w:hAnsi="Times New Roman" w:eastAsia="仿宋_GB2312"/>
          <w:color w:val="auto"/>
          <w:kern w:val="0"/>
          <w:sz w:val="21"/>
          <w:szCs w:val="21"/>
          <w:highlight w:val="none"/>
        </w:rPr>
        <w:t>全部权利，以及取得因施工所需修建道路、桥梁以及其他基础设施的权利，并承担相关手续费用和建设费用。承包人应协助发包人办理修建场内外道路、桥梁以及其他基础设施的手续。</w:t>
      </w:r>
    </w:p>
    <w:p w14:paraId="31F9E76D">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承包人应在订立合同前查勘施工现场，并根据工程规模及技术参数合理预见工程施工所需的进出施工现场的方式、手段、路径等。因承包人未合理预见所增加的费用和（或）延误的工期由承包人承担。</w:t>
      </w:r>
    </w:p>
    <w:p w14:paraId="3C6F6B59">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1.10.2</w:t>
      </w:r>
      <w:r>
        <w:rPr>
          <w:rFonts w:hint="eastAsia" w:ascii="Times New Roman" w:hAnsi="Times New Roman" w:eastAsia="仿宋_GB2312"/>
          <w:color w:val="auto"/>
          <w:kern w:val="0"/>
          <w:sz w:val="21"/>
          <w:szCs w:val="21"/>
          <w:highlight w:val="none"/>
        </w:rPr>
        <w:t xml:space="preserve"> </w:t>
      </w:r>
      <w:r>
        <w:rPr>
          <w:rFonts w:ascii="Times New Roman" w:hAnsi="Times New Roman" w:eastAsia="仿宋_GB2312"/>
          <w:color w:val="auto"/>
          <w:kern w:val="0"/>
          <w:sz w:val="21"/>
          <w:szCs w:val="21"/>
          <w:highlight w:val="none"/>
        </w:rPr>
        <w:t>场外交通</w:t>
      </w:r>
    </w:p>
    <w:p w14:paraId="28CE4F04">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14:paraId="61DCFFF8">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1.10.3场内交通</w:t>
      </w:r>
    </w:p>
    <w:p w14:paraId="0317D4E1">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14:paraId="52F629B5">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14:paraId="439F2F4E">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场外交通和场内交通的边界由合同当事人在专用合同条款中约定。</w:t>
      </w:r>
    </w:p>
    <w:p w14:paraId="519DA8C3">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1.10.4</w:t>
      </w:r>
      <w:r>
        <w:rPr>
          <w:rFonts w:hint="eastAsia" w:ascii="Times New Roman" w:hAnsi="Times New Roman" w:eastAsia="仿宋_GB2312"/>
          <w:color w:val="auto"/>
          <w:kern w:val="0"/>
          <w:sz w:val="21"/>
          <w:szCs w:val="21"/>
          <w:highlight w:val="none"/>
        </w:rPr>
        <w:t xml:space="preserve"> </w:t>
      </w:r>
      <w:r>
        <w:rPr>
          <w:rFonts w:ascii="Times New Roman" w:hAnsi="Times New Roman" w:eastAsia="仿宋_GB2312"/>
          <w:color w:val="auto"/>
          <w:kern w:val="0"/>
          <w:sz w:val="21"/>
          <w:szCs w:val="21"/>
          <w:highlight w:val="none"/>
        </w:rPr>
        <w:t>超大件和超重件的运输</w:t>
      </w:r>
    </w:p>
    <w:p w14:paraId="00C68E1F">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1F097731">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1.10.5</w:t>
      </w:r>
      <w:r>
        <w:rPr>
          <w:rFonts w:hint="eastAsia" w:ascii="Times New Roman" w:hAnsi="Times New Roman" w:eastAsia="仿宋_GB2312"/>
          <w:color w:val="auto"/>
          <w:kern w:val="0"/>
          <w:sz w:val="21"/>
          <w:szCs w:val="21"/>
          <w:highlight w:val="none"/>
        </w:rPr>
        <w:t xml:space="preserve"> </w:t>
      </w:r>
      <w:r>
        <w:rPr>
          <w:rFonts w:ascii="Times New Roman" w:hAnsi="Times New Roman" w:eastAsia="仿宋_GB2312"/>
          <w:color w:val="auto"/>
          <w:kern w:val="0"/>
          <w:sz w:val="21"/>
          <w:szCs w:val="21"/>
          <w:highlight w:val="none"/>
        </w:rPr>
        <w:t>道路和桥梁的损坏责任</w:t>
      </w:r>
    </w:p>
    <w:p w14:paraId="265E0983">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因承包人运输造成施工场地内外公共道路和桥梁损坏的，由承包人承担修复损坏的全部费用和可能引起的赔偿。</w:t>
      </w:r>
    </w:p>
    <w:p w14:paraId="19345F5C">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1.10.6</w:t>
      </w:r>
      <w:r>
        <w:rPr>
          <w:rFonts w:hint="eastAsia" w:ascii="Times New Roman" w:hAnsi="Times New Roman" w:eastAsia="仿宋_GB2312"/>
          <w:color w:val="auto"/>
          <w:kern w:val="0"/>
          <w:sz w:val="21"/>
          <w:szCs w:val="21"/>
          <w:highlight w:val="none"/>
        </w:rPr>
        <w:t xml:space="preserve"> </w:t>
      </w:r>
      <w:r>
        <w:rPr>
          <w:rFonts w:ascii="Times New Roman" w:hAnsi="Times New Roman" w:eastAsia="仿宋_GB2312"/>
          <w:color w:val="auto"/>
          <w:kern w:val="0"/>
          <w:sz w:val="21"/>
          <w:szCs w:val="21"/>
          <w:highlight w:val="none"/>
        </w:rPr>
        <w:t>水路和航空运输</w:t>
      </w:r>
    </w:p>
    <w:p w14:paraId="7FF178A8">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本</w:t>
      </w:r>
      <w:r>
        <w:rPr>
          <w:rFonts w:hint="eastAsia" w:ascii="Times New Roman" w:hAnsi="Times New Roman" w:eastAsia="仿宋_GB2312"/>
          <w:color w:val="auto"/>
          <w:kern w:val="0"/>
          <w:sz w:val="21"/>
          <w:szCs w:val="21"/>
          <w:highlight w:val="none"/>
        </w:rPr>
        <w:t>款</w:t>
      </w:r>
      <w:r>
        <w:rPr>
          <w:rFonts w:ascii="Times New Roman" w:hAnsi="Times New Roman" w:eastAsia="仿宋_GB2312"/>
          <w:color w:val="auto"/>
          <w:kern w:val="0"/>
          <w:sz w:val="21"/>
          <w:szCs w:val="21"/>
          <w:highlight w:val="none"/>
        </w:rPr>
        <w:t>前述各</w:t>
      </w:r>
      <w:r>
        <w:rPr>
          <w:rFonts w:hint="eastAsia" w:ascii="Times New Roman" w:hAnsi="Times New Roman" w:eastAsia="仿宋_GB2312"/>
          <w:color w:val="auto"/>
          <w:kern w:val="0"/>
          <w:sz w:val="21"/>
          <w:szCs w:val="21"/>
          <w:highlight w:val="none"/>
        </w:rPr>
        <w:t>项</w:t>
      </w:r>
      <w:r>
        <w:rPr>
          <w:rFonts w:ascii="Times New Roman" w:hAnsi="Times New Roman" w:eastAsia="仿宋_GB2312"/>
          <w:color w:val="auto"/>
          <w:kern w:val="0"/>
          <w:sz w:val="21"/>
          <w:szCs w:val="21"/>
          <w:highlight w:val="none"/>
        </w:rPr>
        <w:t>的内容适用于水路运输和航空运输，其中“道路”一词的涵义包括河道、航线、船闸、机场、码头、堤防以及水路或航空运输中其他相似结构物；“车辆”一词的涵义包括船舶和飞机等。</w:t>
      </w:r>
    </w:p>
    <w:p w14:paraId="6157E8B7">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825" w:name="_Toc351203506"/>
      <w:r>
        <w:rPr>
          <w:rFonts w:ascii="Times New Roman" w:hAnsi="Times New Roman" w:eastAsia="黑体"/>
          <w:b w:val="0"/>
          <w:color w:val="auto"/>
          <w:sz w:val="21"/>
          <w:szCs w:val="21"/>
          <w:highlight w:val="none"/>
        </w:rPr>
        <w:t>1</w:t>
      </w:r>
      <w:bookmarkStart w:id="826" w:name="_Toc337558737"/>
      <w:bookmarkStart w:id="827" w:name="_Toc296503037"/>
      <w:bookmarkStart w:id="828" w:name="_Toc296346538"/>
      <w:r>
        <w:rPr>
          <w:rFonts w:ascii="Times New Roman" w:hAnsi="Times New Roman" w:eastAsia="黑体"/>
          <w:b w:val="0"/>
          <w:color w:val="auto"/>
          <w:sz w:val="21"/>
          <w:szCs w:val="21"/>
          <w:highlight w:val="none"/>
        </w:rPr>
        <w:t>.11知识产权</w:t>
      </w:r>
      <w:bookmarkEnd w:id="825"/>
      <w:r>
        <w:rPr>
          <w:rFonts w:ascii="Times New Roman" w:hAnsi="Times New Roman" w:eastAsia="黑体"/>
          <w:b w:val="0"/>
          <w:color w:val="auto"/>
          <w:sz w:val="21"/>
          <w:szCs w:val="21"/>
          <w:highlight w:val="none"/>
        </w:rPr>
        <w:t xml:space="preserve"> </w:t>
      </w:r>
      <w:bookmarkEnd w:id="826"/>
    </w:p>
    <w:bookmarkEnd w:id="827"/>
    <w:bookmarkEnd w:id="828"/>
    <w:p w14:paraId="6B576152">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1.11.1 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14:paraId="11D7E457">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1.11.2 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14:paraId="15A4C953">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1.11.3 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14:paraId="376D6040">
      <w:pPr>
        <w:pageBreakBefore w:val="0"/>
        <w:widowControl w:val="0"/>
        <w:kinsoku/>
        <w:wordWrap/>
        <w:overflowPunct/>
        <w:topLinePunct w:val="0"/>
        <w:bidi w:val="0"/>
        <w:adjustRightInd w:val="0"/>
        <w:snapToGrid w:val="0"/>
        <w:spacing w:line="360" w:lineRule="auto"/>
        <w:textAlignment w:val="auto"/>
        <w:rPr>
          <w:rFonts w:ascii="Times New Roman" w:hAnsi="Times New Roman"/>
          <w:color w:val="auto"/>
          <w:sz w:val="21"/>
          <w:szCs w:val="21"/>
          <w:highlight w:val="none"/>
        </w:rPr>
      </w:pPr>
      <w:r>
        <w:rPr>
          <w:rFonts w:ascii="Times New Roman" w:hAnsi="Times New Roman" w:eastAsia="仿宋_GB2312"/>
          <w:color w:val="auto"/>
          <w:kern w:val="0"/>
          <w:sz w:val="21"/>
          <w:szCs w:val="21"/>
          <w:highlight w:val="none"/>
        </w:rPr>
        <w:t xml:space="preserve">    </w:t>
      </w:r>
      <w:r>
        <w:rPr>
          <w:rFonts w:ascii="Times New Roman" w:hAnsi="Times New Roman" w:eastAsia="仿宋_GB2312"/>
          <w:color w:val="auto"/>
          <w:sz w:val="21"/>
          <w:szCs w:val="21"/>
          <w:highlight w:val="none"/>
        </w:rPr>
        <w:t>1.11.4 除专用合同条款另有约定外，承包人在合同签订前和签订时已确定采用的专利、专有技术、技术秘密的使用费已包含在签约合同价中。</w:t>
      </w:r>
    </w:p>
    <w:p w14:paraId="4191F3DD">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829" w:name="_Toc351203507"/>
      <w:r>
        <w:rPr>
          <w:rFonts w:ascii="Times New Roman" w:hAnsi="Times New Roman" w:eastAsia="黑体"/>
          <w:b w:val="0"/>
          <w:color w:val="auto"/>
          <w:sz w:val="21"/>
          <w:szCs w:val="21"/>
          <w:highlight w:val="none"/>
        </w:rPr>
        <w:t>1</w:t>
      </w:r>
      <w:bookmarkStart w:id="830" w:name="_Toc337558738"/>
      <w:r>
        <w:rPr>
          <w:rFonts w:ascii="Times New Roman" w:hAnsi="Times New Roman" w:eastAsia="黑体"/>
          <w:b w:val="0"/>
          <w:color w:val="auto"/>
          <w:sz w:val="21"/>
          <w:szCs w:val="21"/>
          <w:highlight w:val="none"/>
        </w:rPr>
        <w:t>.12保密</w:t>
      </w:r>
      <w:bookmarkEnd w:id="829"/>
    </w:p>
    <w:bookmarkEnd w:id="830"/>
    <w:p w14:paraId="021D7221">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除法律规定或合同另有约定外，未经发包人同意，承包人不得将发包人提供的图纸、文件以及声明需要保密的资料信息等商业秘密泄露给第三方。</w:t>
      </w:r>
    </w:p>
    <w:p w14:paraId="69FADABB">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除法律规定或合同另有约定外，未经承包人同意，发包人不得将承包人提供的技术秘密及声明需要保密的资料信息等商业秘密泄露给第三方。</w:t>
      </w:r>
    </w:p>
    <w:p w14:paraId="781093BA">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831" w:name="_Toc351203508"/>
      <w:r>
        <w:rPr>
          <w:rFonts w:ascii="Times New Roman" w:hAnsi="Times New Roman" w:eastAsia="黑体"/>
          <w:b w:val="0"/>
          <w:color w:val="auto"/>
          <w:sz w:val="21"/>
          <w:szCs w:val="21"/>
          <w:highlight w:val="none"/>
        </w:rPr>
        <w:t>1.13工程量清单错误的修正</w:t>
      </w:r>
      <w:bookmarkEnd w:id="831"/>
    </w:p>
    <w:p w14:paraId="049434C9">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hint="eastAsia" w:ascii="Times New Roman" w:hAnsi="Times New Roman" w:eastAsia="仿宋_GB2312"/>
          <w:color w:val="auto"/>
          <w:kern w:val="0"/>
          <w:sz w:val="21"/>
          <w:szCs w:val="21"/>
          <w:highlight w:val="none"/>
        </w:rPr>
        <w:t>除专用合同条款另有约定外，</w:t>
      </w:r>
      <w:r>
        <w:rPr>
          <w:rFonts w:ascii="Times New Roman" w:hAnsi="Times New Roman" w:eastAsia="仿宋_GB2312"/>
          <w:color w:val="auto"/>
          <w:kern w:val="0"/>
          <w:sz w:val="21"/>
          <w:szCs w:val="21"/>
          <w:highlight w:val="none"/>
        </w:rPr>
        <w:t>发包人提供的工程量清单，应被认为是准确的和完整的。出现下列情形之一时，发包人应予以修正，并相应调整合同价格：</w:t>
      </w:r>
    </w:p>
    <w:p w14:paraId="20BC5744">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（1）工程量清单存在缺项、漏项的；</w:t>
      </w:r>
    </w:p>
    <w:p w14:paraId="519BDC86">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（2）工程量清单偏差超出专用合同条款约定的工程量偏差范围的；</w:t>
      </w:r>
    </w:p>
    <w:p w14:paraId="0B157540">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（3）未按照国家现行计量规范强制性规定计量的。</w:t>
      </w:r>
    </w:p>
    <w:p w14:paraId="4B2FD228">
      <w:pPr>
        <w:pStyle w:val="5"/>
        <w:pageBreakBefore w:val="0"/>
        <w:widowControl w:val="0"/>
        <w:kinsoku/>
        <w:wordWrap/>
        <w:overflowPunct/>
        <w:topLinePunct w:val="0"/>
        <w:bidi w:val="0"/>
        <w:adjustRightInd w:val="0"/>
        <w:snapToGrid w:val="0"/>
        <w:spacing w:before="0" w:after="0" w:line="360" w:lineRule="auto"/>
        <w:textAlignment w:val="auto"/>
        <w:outlineLvl w:val="3"/>
        <w:rPr>
          <w:rFonts w:eastAsia="黑体"/>
          <w:bCs/>
          <w:color w:val="auto"/>
          <w:sz w:val="21"/>
          <w:szCs w:val="21"/>
          <w:highlight w:val="none"/>
        </w:rPr>
      </w:pPr>
      <w:bookmarkStart w:id="832" w:name="_Toc351203509"/>
      <w:bookmarkStart w:id="833" w:name="_Toc24409"/>
      <w:bookmarkStart w:id="834" w:name="_Toc13935"/>
      <w:r>
        <w:rPr>
          <w:rFonts w:eastAsia="黑体"/>
          <w:bCs/>
          <w:color w:val="auto"/>
          <w:sz w:val="21"/>
          <w:szCs w:val="21"/>
          <w:highlight w:val="none"/>
        </w:rPr>
        <w:t>2</w:t>
      </w:r>
      <w:bookmarkStart w:id="835" w:name="_Toc296503038"/>
      <w:bookmarkStart w:id="836" w:name="_Toc296346539"/>
      <w:bookmarkStart w:id="837" w:name="_Toc337558739"/>
      <w:bookmarkStart w:id="838" w:name="OLE_LINK1"/>
      <w:bookmarkStart w:id="839" w:name="OLE_LINK2"/>
      <w:r>
        <w:rPr>
          <w:rFonts w:eastAsia="黑体"/>
          <w:bCs/>
          <w:color w:val="auto"/>
          <w:sz w:val="21"/>
          <w:szCs w:val="21"/>
          <w:highlight w:val="none"/>
        </w:rPr>
        <w:t>. 发包人</w:t>
      </w:r>
      <w:bookmarkEnd w:id="832"/>
      <w:bookmarkEnd w:id="833"/>
      <w:bookmarkEnd w:id="834"/>
    </w:p>
    <w:bookmarkEnd w:id="835"/>
    <w:bookmarkEnd w:id="836"/>
    <w:bookmarkEnd w:id="837"/>
    <w:p w14:paraId="71CF72B2">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840" w:name="_Toc351203510"/>
      <w:r>
        <w:rPr>
          <w:rFonts w:ascii="Times New Roman" w:hAnsi="Times New Roman" w:eastAsia="黑体"/>
          <w:b w:val="0"/>
          <w:color w:val="auto"/>
          <w:sz w:val="21"/>
          <w:szCs w:val="21"/>
          <w:highlight w:val="none"/>
        </w:rPr>
        <w:t>2</w:t>
      </w:r>
      <w:bookmarkStart w:id="841" w:name="_Toc296346540"/>
      <w:bookmarkStart w:id="842" w:name="_Toc296503039"/>
      <w:bookmarkStart w:id="843" w:name="_Toc337558740"/>
      <w:r>
        <w:rPr>
          <w:rFonts w:ascii="Times New Roman" w:hAnsi="Times New Roman" w:eastAsia="黑体"/>
          <w:b w:val="0"/>
          <w:color w:val="auto"/>
          <w:sz w:val="21"/>
          <w:szCs w:val="21"/>
          <w:highlight w:val="none"/>
        </w:rPr>
        <w:t>.1 许可或批准</w:t>
      </w:r>
      <w:bookmarkEnd w:id="840"/>
    </w:p>
    <w:p w14:paraId="655DF0EE">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14:paraId="5793EE35">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因发包人原因未能及时办理完毕前述许可、批准或备案，由发包人承担由此增加的费用和（或）延误的工期，并支付承包人合理的利润。</w:t>
      </w:r>
    </w:p>
    <w:p w14:paraId="357873BF">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844" w:name="_Toc351203511"/>
      <w:r>
        <w:rPr>
          <w:rFonts w:ascii="Times New Roman" w:hAnsi="Times New Roman" w:eastAsia="黑体"/>
          <w:b w:val="0"/>
          <w:color w:val="auto"/>
          <w:sz w:val="21"/>
          <w:szCs w:val="21"/>
          <w:highlight w:val="none"/>
        </w:rPr>
        <w:t>2.2 发包人代表</w:t>
      </w:r>
      <w:bookmarkEnd w:id="844"/>
    </w:p>
    <w:p w14:paraId="2A887B75">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7天书面通知承包人。</w:t>
      </w:r>
    </w:p>
    <w:p w14:paraId="51EA22AE">
      <w:pPr>
        <w:pageBreakBefore w:val="0"/>
        <w:widowControl w:val="0"/>
        <w:kinsoku/>
        <w:wordWrap/>
        <w:overflowPunct/>
        <w:topLinePunct w:val="0"/>
        <w:bidi w:val="0"/>
        <w:adjustRightInd w:val="0"/>
        <w:snapToGrid w:val="0"/>
        <w:spacing w:line="360" w:lineRule="auto"/>
        <w:ind w:firstLine="420" w:firstLineChars="200"/>
        <w:textAlignment w:val="auto"/>
        <w:rPr>
          <w:rFonts w:hint="eastAsia"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发包人代表不能按照合同约定履行其职责及义务，并导致合同无法继续正常履行的，承包人可以要求发包人撤换发包人代表。</w:t>
      </w:r>
    </w:p>
    <w:p w14:paraId="02B62C55">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color w:val="auto"/>
          <w:sz w:val="21"/>
          <w:szCs w:val="21"/>
          <w:highlight w:val="none"/>
        </w:rPr>
      </w:pPr>
      <w:r>
        <w:rPr>
          <w:rFonts w:hint="eastAsia" w:ascii="Times New Roman" w:hAnsi="Times New Roman" w:eastAsia="仿宋_GB2312"/>
          <w:color w:val="auto"/>
          <w:kern w:val="0"/>
          <w:sz w:val="21"/>
          <w:szCs w:val="21"/>
          <w:highlight w:val="none"/>
        </w:rPr>
        <w:t>不属于法定必须监理的工程，监理人的职权可以由发包人代表或发包人指定的其他人员行使。</w:t>
      </w:r>
    </w:p>
    <w:p w14:paraId="2DEC47D8">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845" w:name="_Toc351203512"/>
      <w:r>
        <w:rPr>
          <w:rFonts w:ascii="Times New Roman" w:hAnsi="Times New Roman" w:eastAsia="黑体"/>
          <w:b w:val="0"/>
          <w:color w:val="auto"/>
          <w:sz w:val="21"/>
          <w:szCs w:val="21"/>
          <w:highlight w:val="none"/>
        </w:rPr>
        <w:t>2.3 发包人人员</w:t>
      </w:r>
      <w:bookmarkEnd w:id="845"/>
    </w:p>
    <w:p w14:paraId="1F15B65C">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发包人应要求在施工现场的发包人人员遵守法律及有关安全、质量、环境保护、文明施工等规定，并保障承包人免于承受因发包人人员未遵守上述要求给承包人造成的损失和责任。</w:t>
      </w:r>
    </w:p>
    <w:p w14:paraId="72FAFDD8">
      <w:pPr>
        <w:pageBreakBefore w:val="0"/>
        <w:widowControl w:val="0"/>
        <w:kinsoku/>
        <w:wordWrap/>
        <w:overflowPunct/>
        <w:topLinePunct w:val="0"/>
        <w:bidi w:val="0"/>
        <w:adjustRightInd w:val="0"/>
        <w:snapToGrid w:val="0"/>
        <w:spacing w:line="360" w:lineRule="auto"/>
        <w:ind w:firstLine="64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发包人人员包括发包人代表及其他由发包人派驻施工现场的人员。</w:t>
      </w:r>
      <w:bookmarkEnd w:id="841"/>
      <w:bookmarkEnd w:id="842"/>
      <w:bookmarkEnd w:id="843"/>
    </w:p>
    <w:p w14:paraId="317208AA">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846" w:name="_Toc351203513"/>
      <w:r>
        <w:rPr>
          <w:rFonts w:ascii="Times New Roman" w:hAnsi="Times New Roman" w:eastAsia="黑体"/>
          <w:b w:val="0"/>
          <w:color w:val="auto"/>
          <w:sz w:val="21"/>
          <w:szCs w:val="21"/>
          <w:highlight w:val="none"/>
        </w:rPr>
        <w:t>2</w:t>
      </w:r>
      <w:bookmarkStart w:id="847" w:name="_Toc296503040"/>
      <w:bookmarkStart w:id="848" w:name="_Toc296346541"/>
      <w:bookmarkStart w:id="849" w:name="_Toc337558741"/>
      <w:r>
        <w:rPr>
          <w:rFonts w:ascii="Times New Roman" w:hAnsi="Times New Roman" w:eastAsia="黑体"/>
          <w:b w:val="0"/>
          <w:color w:val="auto"/>
          <w:sz w:val="21"/>
          <w:szCs w:val="21"/>
          <w:highlight w:val="none"/>
        </w:rPr>
        <w:t>.4 施工现场、施工条件和基础资料的提供</w:t>
      </w:r>
      <w:bookmarkEnd w:id="846"/>
      <w:r>
        <w:rPr>
          <w:rFonts w:ascii="Times New Roman" w:hAnsi="Times New Roman" w:eastAsia="黑体"/>
          <w:b w:val="0"/>
          <w:color w:val="auto"/>
          <w:sz w:val="21"/>
          <w:szCs w:val="21"/>
          <w:highlight w:val="none"/>
        </w:rPr>
        <w:t xml:space="preserve"> </w:t>
      </w:r>
      <w:bookmarkEnd w:id="847"/>
      <w:bookmarkEnd w:id="848"/>
      <w:bookmarkEnd w:id="849"/>
      <w:r>
        <w:rPr>
          <w:rFonts w:ascii="Times New Roman" w:hAnsi="Times New Roman" w:eastAsia="黑体"/>
          <w:b w:val="0"/>
          <w:color w:val="auto"/>
          <w:sz w:val="21"/>
          <w:szCs w:val="21"/>
          <w:highlight w:val="none"/>
        </w:rPr>
        <w:t xml:space="preserve"> </w:t>
      </w:r>
    </w:p>
    <w:p w14:paraId="66C7499A">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2.4.1 提供施工现场</w:t>
      </w:r>
    </w:p>
    <w:p w14:paraId="60E7A97C">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除</w:t>
      </w:r>
      <w:bookmarkEnd w:id="838"/>
      <w:bookmarkEnd w:id="839"/>
      <w:r>
        <w:rPr>
          <w:rFonts w:ascii="Times New Roman" w:hAnsi="Times New Roman" w:eastAsia="仿宋_GB2312"/>
          <w:color w:val="auto"/>
          <w:kern w:val="0"/>
          <w:sz w:val="21"/>
          <w:szCs w:val="21"/>
          <w:highlight w:val="none"/>
        </w:rPr>
        <w:t>专用合同条款另有约定外，发包人应</w:t>
      </w:r>
      <w:r>
        <w:rPr>
          <w:rFonts w:hint="eastAsia" w:ascii="Times New Roman" w:hAnsi="Times New Roman" w:eastAsia="仿宋_GB2312"/>
          <w:color w:val="auto"/>
          <w:kern w:val="0"/>
          <w:sz w:val="21"/>
          <w:szCs w:val="21"/>
          <w:highlight w:val="none"/>
        </w:rPr>
        <w:t>最迟于</w:t>
      </w:r>
      <w:r>
        <w:rPr>
          <w:rFonts w:ascii="Times New Roman" w:hAnsi="Times New Roman" w:eastAsia="仿宋_GB2312"/>
          <w:color w:val="auto"/>
          <w:kern w:val="0"/>
          <w:sz w:val="21"/>
          <w:szCs w:val="21"/>
          <w:highlight w:val="none"/>
        </w:rPr>
        <w:t>开工日期7天前向承包人移交施工现场。</w:t>
      </w:r>
    </w:p>
    <w:p w14:paraId="63C0C9EA">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2.4.2 提供施工条件</w:t>
      </w:r>
    </w:p>
    <w:p w14:paraId="19FB7499">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除专用合同条款另有约定外，发包人应负责提供施工所需要的条件，包括：</w:t>
      </w:r>
    </w:p>
    <w:p w14:paraId="034C9568">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（1）将施工用水、电力、通讯线路等施工所必需的条件接至施工现场内；</w:t>
      </w:r>
    </w:p>
    <w:p w14:paraId="4BC723F4">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（2）保证向承包人提供正常施工所需要的进入施工现场的交通条件；</w:t>
      </w:r>
    </w:p>
    <w:p w14:paraId="1B94396C">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（3）协调处理施工现场周围地下管线和邻近建筑物、构筑物、古树名木的保护工作，并承担相关费用；</w:t>
      </w:r>
    </w:p>
    <w:p w14:paraId="3E033DD7">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（4）按照专用合同条款约定</w:t>
      </w:r>
      <w:r>
        <w:rPr>
          <w:rFonts w:hint="eastAsia" w:ascii="Times New Roman" w:hAnsi="Times New Roman" w:eastAsia="仿宋_GB2312"/>
          <w:color w:val="auto"/>
          <w:kern w:val="0"/>
          <w:sz w:val="21"/>
          <w:szCs w:val="21"/>
          <w:highlight w:val="none"/>
        </w:rPr>
        <w:t>应</w:t>
      </w:r>
      <w:r>
        <w:rPr>
          <w:rFonts w:ascii="Times New Roman" w:hAnsi="Times New Roman" w:eastAsia="仿宋_GB2312"/>
          <w:color w:val="auto"/>
          <w:kern w:val="0"/>
          <w:sz w:val="21"/>
          <w:szCs w:val="21"/>
          <w:highlight w:val="none"/>
        </w:rPr>
        <w:t>提供的其他设施和条件。</w:t>
      </w:r>
    </w:p>
    <w:p w14:paraId="37B2B712">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kern w:val="0"/>
          <w:sz w:val="21"/>
          <w:szCs w:val="21"/>
          <w:highlight w:val="none"/>
        </w:rPr>
        <w:t>2.4.3 提供基础资料</w:t>
      </w:r>
    </w:p>
    <w:p w14:paraId="7BC72B21">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14:paraId="6488B890">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hint="eastAsia" w:ascii="Times New Roman" w:hAnsi="Times New Roman" w:eastAsia="仿宋_GB2312"/>
          <w:color w:val="auto"/>
          <w:kern w:val="0"/>
          <w:sz w:val="21"/>
          <w:szCs w:val="21"/>
          <w:highlight w:val="none"/>
        </w:rPr>
        <w:t>按照法律规定确需在开工后方能提供的基础资料，发包人应尽其努力及时地在相应工程施工前的合理期限内提供，合理期限应以不影响承包人的正常施工为限。</w:t>
      </w:r>
    </w:p>
    <w:p w14:paraId="60B0C42D">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2.4.4 逾期提供的责任</w:t>
      </w:r>
    </w:p>
    <w:p w14:paraId="7F59DEB3">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因发包人原因未能按合同约定及时向承包人提供施工现场、施工条件、基础资料的，由发包人承担由此增加的费用和（或）延误的工期。</w:t>
      </w:r>
    </w:p>
    <w:p w14:paraId="27C93C82">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850" w:name="_Toc351203514"/>
      <w:r>
        <w:rPr>
          <w:rFonts w:ascii="Times New Roman" w:hAnsi="Times New Roman" w:eastAsia="黑体"/>
          <w:b w:val="0"/>
          <w:color w:val="auto"/>
          <w:sz w:val="21"/>
          <w:szCs w:val="21"/>
          <w:highlight w:val="none"/>
        </w:rPr>
        <w:t>2</w:t>
      </w:r>
      <w:bookmarkStart w:id="851" w:name="_Toc337558745"/>
      <w:bookmarkStart w:id="852" w:name="_Toc296346543"/>
      <w:bookmarkStart w:id="853" w:name="_Toc296503042"/>
      <w:r>
        <w:rPr>
          <w:rFonts w:ascii="Times New Roman" w:hAnsi="Times New Roman" w:eastAsia="黑体"/>
          <w:b w:val="0"/>
          <w:color w:val="auto"/>
          <w:sz w:val="21"/>
          <w:szCs w:val="21"/>
          <w:highlight w:val="none"/>
        </w:rPr>
        <w:t>.5 资</w:t>
      </w:r>
      <w:bookmarkEnd w:id="851"/>
      <w:bookmarkEnd w:id="852"/>
      <w:bookmarkEnd w:id="853"/>
      <w:r>
        <w:rPr>
          <w:rFonts w:ascii="Times New Roman" w:hAnsi="Times New Roman" w:eastAsia="黑体"/>
          <w:b w:val="0"/>
          <w:color w:val="auto"/>
          <w:sz w:val="21"/>
          <w:szCs w:val="21"/>
          <w:highlight w:val="none"/>
        </w:rPr>
        <w:t>金来源证明及支付担保</w:t>
      </w:r>
      <w:bookmarkEnd w:id="850"/>
    </w:p>
    <w:p w14:paraId="4E738FA4">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除专用合同条款另有约定外，发包人应在收到承包人要求提供资金来源证明的书面通知后28天内，向承包人提供能够按照合同约定支付合同价款的相应资金来源证明。</w:t>
      </w:r>
    </w:p>
    <w:p w14:paraId="3A094B20">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除专用合同条款另有约定外，发包人要求承包人提供履约担保的，发包人应当向承包人提供支付担保。支付担保可以采用银行保函或担保公司担保等形式，具体由合同当事人在专用合同条款中约定。</w:t>
      </w:r>
    </w:p>
    <w:p w14:paraId="755A083D">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854" w:name="_Toc351203515"/>
      <w:r>
        <w:rPr>
          <w:rFonts w:ascii="Times New Roman" w:hAnsi="Times New Roman" w:eastAsia="黑体"/>
          <w:b w:val="0"/>
          <w:color w:val="auto"/>
          <w:sz w:val="21"/>
          <w:szCs w:val="21"/>
          <w:highlight w:val="none"/>
        </w:rPr>
        <w:t>2.6 支付合同价款</w:t>
      </w:r>
      <w:bookmarkEnd w:id="854"/>
    </w:p>
    <w:p w14:paraId="0CD1D883">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发包人应按合同约定向承包人及时支付合同价款。</w:t>
      </w:r>
    </w:p>
    <w:p w14:paraId="5E5C494A">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855" w:name="_Toc351203516"/>
      <w:r>
        <w:rPr>
          <w:rFonts w:ascii="Times New Roman" w:hAnsi="Times New Roman" w:eastAsia="黑体"/>
          <w:b w:val="0"/>
          <w:color w:val="auto"/>
          <w:sz w:val="21"/>
          <w:szCs w:val="21"/>
          <w:highlight w:val="none"/>
        </w:rPr>
        <w:t>2.7 组织竣工验收</w:t>
      </w:r>
      <w:bookmarkEnd w:id="855"/>
    </w:p>
    <w:p w14:paraId="432721DC">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发包人应按合同约定及时组织竣工验收。</w:t>
      </w:r>
    </w:p>
    <w:p w14:paraId="61B6444F">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856" w:name="_Toc351203517"/>
      <w:r>
        <w:rPr>
          <w:rFonts w:ascii="Times New Roman" w:hAnsi="Times New Roman" w:eastAsia="黑体"/>
          <w:b w:val="0"/>
          <w:color w:val="auto"/>
          <w:sz w:val="21"/>
          <w:szCs w:val="21"/>
          <w:highlight w:val="none"/>
        </w:rPr>
        <w:t>2.8 现场统一管理协议</w:t>
      </w:r>
      <w:bookmarkEnd w:id="856"/>
    </w:p>
    <w:p w14:paraId="550A4F2B">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发包人应与承包人、由发包人直接发包的专业工程的承包人签订施工现场统一管理协议，明确各方的权利义务。施工现场统一管理协议作为专用合同条款的附件。</w:t>
      </w:r>
    </w:p>
    <w:p w14:paraId="45C2DE10">
      <w:pPr>
        <w:pStyle w:val="5"/>
        <w:pageBreakBefore w:val="0"/>
        <w:widowControl w:val="0"/>
        <w:kinsoku/>
        <w:wordWrap/>
        <w:overflowPunct/>
        <w:topLinePunct w:val="0"/>
        <w:bidi w:val="0"/>
        <w:adjustRightInd w:val="0"/>
        <w:snapToGrid w:val="0"/>
        <w:spacing w:before="0" w:after="0" w:line="360" w:lineRule="auto"/>
        <w:textAlignment w:val="auto"/>
        <w:outlineLvl w:val="3"/>
        <w:rPr>
          <w:rFonts w:eastAsia="黑体"/>
          <w:bCs/>
          <w:color w:val="auto"/>
          <w:sz w:val="21"/>
          <w:szCs w:val="21"/>
          <w:highlight w:val="none"/>
        </w:rPr>
      </w:pPr>
      <w:bookmarkStart w:id="857" w:name="_Toc351203518"/>
      <w:bookmarkStart w:id="858" w:name="_Toc7888"/>
      <w:bookmarkStart w:id="859" w:name="_Toc25489"/>
      <w:r>
        <w:rPr>
          <w:rFonts w:eastAsia="黑体"/>
          <w:bCs/>
          <w:color w:val="auto"/>
          <w:sz w:val="21"/>
          <w:szCs w:val="21"/>
          <w:highlight w:val="none"/>
        </w:rPr>
        <w:t>3</w:t>
      </w:r>
      <w:bookmarkStart w:id="860" w:name="_Toc337558746"/>
      <w:bookmarkStart w:id="861" w:name="_Toc296503045"/>
      <w:bookmarkStart w:id="862" w:name="_Toc296346546"/>
      <w:r>
        <w:rPr>
          <w:rFonts w:eastAsia="黑体"/>
          <w:bCs/>
          <w:color w:val="auto"/>
          <w:sz w:val="21"/>
          <w:szCs w:val="21"/>
          <w:highlight w:val="none"/>
        </w:rPr>
        <w:t>. 承包人</w:t>
      </w:r>
      <w:bookmarkEnd w:id="857"/>
      <w:bookmarkEnd w:id="858"/>
      <w:bookmarkEnd w:id="859"/>
    </w:p>
    <w:bookmarkEnd w:id="860"/>
    <w:bookmarkEnd w:id="861"/>
    <w:bookmarkEnd w:id="862"/>
    <w:p w14:paraId="73ACAE24">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863" w:name="_Toc351203519"/>
      <w:r>
        <w:rPr>
          <w:rFonts w:ascii="Times New Roman" w:hAnsi="Times New Roman" w:eastAsia="黑体"/>
          <w:b w:val="0"/>
          <w:color w:val="auto"/>
          <w:sz w:val="21"/>
          <w:szCs w:val="21"/>
          <w:highlight w:val="none"/>
        </w:rPr>
        <w:t>3</w:t>
      </w:r>
      <w:bookmarkStart w:id="864" w:name="_Toc296346547"/>
      <w:bookmarkStart w:id="865" w:name="_Toc296503046"/>
      <w:bookmarkStart w:id="866" w:name="_Toc337558747"/>
      <w:r>
        <w:rPr>
          <w:rFonts w:ascii="Times New Roman" w:hAnsi="Times New Roman" w:eastAsia="黑体"/>
          <w:b w:val="0"/>
          <w:color w:val="auto"/>
          <w:sz w:val="21"/>
          <w:szCs w:val="21"/>
          <w:highlight w:val="none"/>
        </w:rPr>
        <w:t>.1 承包人的一般义务</w:t>
      </w:r>
      <w:bookmarkEnd w:id="863"/>
    </w:p>
    <w:bookmarkEnd w:id="864"/>
    <w:bookmarkEnd w:id="865"/>
    <w:bookmarkEnd w:id="866"/>
    <w:p w14:paraId="4611919D">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承包人在履行合同过程中应遵守法律和工程建设标准规范，并履行以下义务：</w:t>
      </w:r>
    </w:p>
    <w:p w14:paraId="62E43497">
      <w:pPr>
        <w:pageBreakBefore w:val="0"/>
        <w:widowControl w:val="0"/>
        <w:numPr>
          <w:ilvl w:val="0"/>
          <w:numId w:val="2"/>
        </w:numPr>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办理法律规定</w:t>
      </w:r>
      <w:r>
        <w:rPr>
          <w:rFonts w:hint="eastAsia" w:ascii="Times New Roman" w:hAnsi="Times New Roman" w:eastAsia="仿宋_GB2312"/>
          <w:color w:val="auto"/>
          <w:kern w:val="0"/>
          <w:sz w:val="21"/>
          <w:szCs w:val="21"/>
          <w:highlight w:val="none"/>
        </w:rPr>
        <w:t>应</w:t>
      </w:r>
      <w:r>
        <w:rPr>
          <w:rFonts w:ascii="Times New Roman" w:hAnsi="Times New Roman" w:eastAsia="仿宋_GB2312"/>
          <w:color w:val="auto"/>
          <w:kern w:val="0"/>
          <w:sz w:val="21"/>
          <w:szCs w:val="21"/>
          <w:highlight w:val="none"/>
        </w:rPr>
        <w:t>由承包人办理的许可和批准，并将</w:t>
      </w:r>
      <w:r>
        <w:rPr>
          <w:rFonts w:hint="eastAsia" w:ascii="Times New Roman" w:hAnsi="Times New Roman" w:eastAsia="仿宋_GB2312"/>
          <w:color w:val="auto"/>
          <w:kern w:val="0"/>
          <w:sz w:val="21"/>
          <w:szCs w:val="21"/>
          <w:highlight w:val="none"/>
        </w:rPr>
        <w:t>办理</w:t>
      </w:r>
      <w:r>
        <w:rPr>
          <w:rFonts w:ascii="Times New Roman" w:hAnsi="Times New Roman" w:eastAsia="仿宋_GB2312"/>
          <w:color w:val="auto"/>
          <w:kern w:val="0"/>
          <w:sz w:val="21"/>
          <w:szCs w:val="21"/>
          <w:highlight w:val="none"/>
        </w:rPr>
        <w:t>结果书面报送发包人留存；</w:t>
      </w:r>
    </w:p>
    <w:p w14:paraId="29BACBE1">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（2）按法律规定和合同约定完成工程，并在保修期内承担保修义务；</w:t>
      </w:r>
    </w:p>
    <w:p w14:paraId="7044DE52">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（3）按法律规定和合同约定采取施工安全和环境保护措施，办理工伤保险，确保工程及人员、材料、设备和设施的安全；</w:t>
      </w:r>
    </w:p>
    <w:p w14:paraId="5C47A1EC">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（4）按合同约定的工作内容和施工进度要求，编制施工组织设计和施工措施计划，并对所有施工作业和施工方法的完备性和安全可靠性负责；</w:t>
      </w:r>
    </w:p>
    <w:p w14:paraId="27591D1F">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6320048B">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（6）按照第6.3款</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环境保护</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约定负责施工场地及其周边环境与生态的保护工作；</w:t>
      </w:r>
    </w:p>
    <w:p w14:paraId="3539CA56">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（7）按第6.1款</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安全文明施工</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约定采取施工安全措施，确保工程及其人员、材料、设备和设施的安全，防止因工程施工造成的人身伤害和财产损失；</w:t>
      </w:r>
    </w:p>
    <w:p w14:paraId="4C71EA89">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（8）</w:t>
      </w:r>
      <w:r>
        <w:rPr>
          <w:rFonts w:hint="eastAsia" w:ascii="Times New Roman" w:hAnsi="Times New Roman" w:eastAsia="仿宋_GB2312"/>
          <w:color w:val="auto"/>
          <w:kern w:val="0"/>
          <w:sz w:val="21"/>
          <w:szCs w:val="21"/>
          <w:highlight w:val="none"/>
        </w:rPr>
        <w:t>将</w:t>
      </w:r>
      <w:r>
        <w:rPr>
          <w:rFonts w:ascii="Times New Roman" w:hAnsi="Times New Roman" w:eastAsia="仿宋_GB2312"/>
          <w:color w:val="auto"/>
          <w:kern w:val="0"/>
          <w:sz w:val="21"/>
          <w:szCs w:val="21"/>
          <w:highlight w:val="none"/>
        </w:rPr>
        <w:t>发包人按合同约定支付的各项价款专用于合同工程，且应及时支付其雇用人员工资，并及时向分包人支付合同价款；</w:t>
      </w:r>
    </w:p>
    <w:p w14:paraId="0AED25B0">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（9）按照法律规定和合同约定编制竣工资料，完成竣工资料立卷及归档，并按专用合同条款约定的竣工资料的套数、内容、时间等要求移交发包人；</w:t>
      </w:r>
    </w:p>
    <w:p w14:paraId="010CFAB7">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（10）应履行的其他义务。</w:t>
      </w:r>
    </w:p>
    <w:p w14:paraId="7A0988C7">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867" w:name="_Toc351203520"/>
      <w:r>
        <w:rPr>
          <w:rFonts w:ascii="Times New Roman" w:hAnsi="Times New Roman" w:eastAsia="黑体"/>
          <w:b w:val="0"/>
          <w:color w:val="auto"/>
          <w:sz w:val="21"/>
          <w:szCs w:val="21"/>
          <w:highlight w:val="none"/>
        </w:rPr>
        <w:t>3</w:t>
      </w:r>
      <w:bookmarkStart w:id="868" w:name="_Toc296346548"/>
      <w:bookmarkStart w:id="869" w:name="_Toc337558748"/>
      <w:bookmarkStart w:id="870" w:name="_Toc296503047"/>
      <w:r>
        <w:rPr>
          <w:rFonts w:ascii="Times New Roman" w:hAnsi="Times New Roman" w:eastAsia="黑体"/>
          <w:b w:val="0"/>
          <w:color w:val="auto"/>
          <w:sz w:val="21"/>
          <w:szCs w:val="21"/>
          <w:highlight w:val="none"/>
        </w:rPr>
        <w:t xml:space="preserve">.2 </w:t>
      </w:r>
      <w:bookmarkEnd w:id="867"/>
      <w:r>
        <w:rPr>
          <w:rFonts w:ascii="Times New Roman" w:hAnsi="Times New Roman" w:eastAsia="黑体"/>
          <w:b w:val="0"/>
          <w:color w:val="auto"/>
          <w:sz w:val="21"/>
          <w:szCs w:val="21"/>
          <w:highlight w:val="none"/>
        </w:rPr>
        <w:t>项目经理</w:t>
      </w:r>
    </w:p>
    <w:bookmarkEnd w:id="868"/>
    <w:bookmarkEnd w:id="869"/>
    <w:bookmarkEnd w:id="870"/>
    <w:p w14:paraId="23099932">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3.2.1 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人有权要求更换项目经理，由此增加的费用和（或）延误的工期由承包人承担。</w:t>
      </w:r>
    </w:p>
    <w:p w14:paraId="192C32D8">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14:paraId="516CB2BD">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承包人违反上述约定的，应按照专用合同条款的约定，承担违约责任。</w:t>
      </w:r>
    </w:p>
    <w:p w14:paraId="4A0E51CE">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3.2.2 项目经理按合同约定组织工程实施。在紧急情况下</w:t>
      </w:r>
      <w:r>
        <w:rPr>
          <w:rFonts w:hint="eastAsia" w:ascii="Times New Roman" w:hAnsi="Times New Roman" w:eastAsia="仿宋_GB2312"/>
          <w:color w:val="auto"/>
          <w:kern w:val="0"/>
          <w:sz w:val="21"/>
          <w:szCs w:val="21"/>
          <w:highlight w:val="none"/>
        </w:rPr>
        <w:t>为确保施工安全和人员安全</w:t>
      </w:r>
      <w:r>
        <w:rPr>
          <w:rFonts w:ascii="Times New Roman" w:hAnsi="Times New Roman" w:eastAsia="仿宋_GB2312"/>
          <w:color w:val="auto"/>
          <w:kern w:val="0"/>
          <w:sz w:val="21"/>
          <w:szCs w:val="21"/>
          <w:highlight w:val="none"/>
        </w:rPr>
        <w:t>，</w:t>
      </w:r>
      <w:r>
        <w:rPr>
          <w:rFonts w:hint="eastAsia" w:ascii="Times New Roman" w:hAnsi="Times New Roman" w:eastAsia="仿宋_GB2312"/>
          <w:color w:val="auto"/>
          <w:kern w:val="0"/>
          <w:sz w:val="21"/>
          <w:szCs w:val="21"/>
          <w:highlight w:val="none"/>
        </w:rPr>
        <w:t>在</w:t>
      </w:r>
      <w:r>
        <w:rPr>
          <w:rFonts w:ascii="Times New Roman" w:hAnsi="Times New Roman" w:eastAsia="仿宋_GB2312"/>
          <w:color w:val="auto"/>
          <w:kern w:val="0"/>
          <w:sz w:val="21"/>
          <w:szCs w:val="21"/>
          <w:highlight w:val="none"/>
        </w:rPr>
        <w:t>无法与发包人代表和总监理工程师</w:t>
      </w:r>
      <w:r>
        <w:rPr>
          <w:rFonts w:hint="eastAsia" w:ascii="Times New Roman" w:hAnsi="Times New Roman" w:eastAsia="仿宋_GB2312"/>
          <w:color w:val="auto"/>
          <w:kern w:val="0"/>
          <w:sz w:val="21"/>
          <w:szCs w:val="21"/>
          <w:highlight w:val="none"/>
        </w:rPr>
        <w:t>及时</w:t>
      </w:r>
      <w:r>
        <w:rPr>
          <w:rFonts w:ascii="Times New Roman" w:hAnsi="Times New Roman" w:eastAsia="仿宋_GB2312"/>
          <w:color w:val="auto"/>
          <w:kern w:val="0"/>
          <w:sz w:val="21"/>
          <w:szCs w:val="21"/>
          <w:highlight w:val="none"/>
        </w:rPr>
        <w:t>取得联系时，项目经理有权采取必要的措施保证与工程有关的人身、财产和工程的安全，但应在48小时内向发包人代表和总监理工程师提交书面报告。</w:t>
      </w:r>
    </w:p>
    <w:p w14:paraId="1D9CE51A">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3.2.3 承包人需要更换项目经理的，应提前14天书面通知发包人和监理人，并征得发包人书面同意。通知中应当载明继任项目经理的注册执业资格、管理经验等资料，继任项目经理继续履行第3.2.1项约定的职责。未经发包人书面同意，承包人不得擅自更换项目经理。承包人擅自更换项目经理的，应按照专用合同条款的约定承担违约责任。</w:t>
      </w:r>
    </w:p>
    <w:p w14:paraId="0D203A6E">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3.2.4 发包人有权书面通知承包人更换其认为不称职的项目经理，通知中应当载明要求更换的理由。承包人应在接到更换通知后14天内向发包人提出书面的改进报告。发包人收到改进报告后仍要求更换的，承包人应在接到第二次更换通知的28天内进行更换，并将新任命的项目经理的注册执业资格、管理经验等资料书面通知发包人。</w:t>
      </w:r>
      <w:r>
        <w:rPr>
          <w:rFonts w:hint="eastAsia" w:ascii="Times New Roman" w:hAnsi="Times New Roman" w:eastAsia="仿宋_GB2312"/>
          <w:color w:val="auto"/>
          <w:kern w:val="0"/>
          <w:sz w:val="21"/>
          <w:szCs w:val="21"/>
          <w:highlight w:val="none"/>
        </w:rPr>
        <w:t>继</w:t>
      </w:r>
      <w:r>
        <w:rPr>
          <w:rFonts w:ascii="Times New Roman" w:hAnsi="Times New Roman" w:eastAsia="仿宋_GB2312"/>
          <w:color w:val="auto"/>
          <w:kern w:val="0"/>
          <w:sz w:val="21"/>
          <w:szCs w:val="21"/>
          <w:highlight w:val="none"/>
        </w:rPr>
        <w:t>任项目经理继续履行第3.2.1项约定的职责。承包人无正当理由拒绝更换项目经理的，应按照专用合同条款的约定承担违约责任。</w:t>
      </w:r>
    </w:p>
    <w:p w14:paraId="076AE7AF">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3.2.5 项目经理因特殊情况授权其下属人员履行其某项工作职责的，该下属人员应具备履行相应职责的能力，并应提前7天将上述人员的姓名和授权范围书面通知监理人，并征得发包人书面同意。</w:t>
      </w:r>
    </w:p>
    <w:p w14:paraId="0DDB4A74">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871" w:name="_Toc351203521"/>
      <w:r>
        <w:rPr>
          <w:rFonts w:ascii="Times New Roman" w:hAnsi="Times New Roman" w:eastAsia="黑体"/>
          <w:b w:val="0"/>
          <w:color w:val="auto"/>
          <w:sz w:val="21"/>
          <w:szCs w:val="21"/>
          <w:highlight w:val="none"/>
        </w:rPr>
        <w:t>3</w:t>
      </w:r>
      <w:bookmarkStart w:id="872" w:name="_Toc296503048"/>
      <w:bookmarkStart w:id="873" w:name="_Toc296346549"/>
      <w:bookmarkStart w:id="874" w:name="_Toc337558749"/>
      <w:r>
        <w:rPr>
          <w:rFonts w:ascii="Times New Roman" w:hAnsi="Times New Roman" w:eastAsia="黑体"/>
          <w:b w:val="0"/>
          <w:color w:val="auto"/>
          <w:sz w:val="21"/>
          <w:szCs w:val="21"/>
          <w:highlight w:val="none"/>
        </w:rPr>
        <w:t xml:space="preserve">.3 </w:t>
      </w:r>
      <w:bookmarkEnd w:id="872"/>
      <w:bookmarkEnd w:id="873"/>
      <w:r>
        <w:rPr>
          <w:rFonts w:ascii="Times New Roman" w:hAnsi="Times New Roman" w:eastAsia="黑体"/>
          <w:b w:val="0"/>
          <w:color w:val="auto"/>
          <w:sz w:val="21"/>
          <w:szCs w:val="21"/>
          <w:highlight w:val="none"/>
        </w:rPr>
        <w:t>承包人人员</w:t>
      </w:r>
      <w:bookmarkEnd w:id="871"/>
    </w:p>
    <w:bookmarkEnd w:id="874"/>
    <w:p w14:paraId="7FA59B93">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3.3.1 除专用合同条款另有约定外，承包人应在接到开工通知后7天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w:t>
      </w:r>
      <w:r>
        <w:rPr>
          <w:rFonts w:hint="eastAsia" w:ascii="Times New Roman" w:hAnsi="Times New Roman" w:eastAsia="仿宋_GB2312"/>
          <w:color w:val="auto"/>
          <w:kern w:val="0"/>
          <w:sz w:val="21"/>
          <w:szCs w:val="21"/>
          <w:highlight w:val="none"/>
        </w:rPr>
        <w:t>和</w:t>
      </w:r>
      <w:r>
        <w:rPr>
          <w:rFonts w:ascii="Times New Roman" w:hAnsi="Times New Roman" w:eastAsia="仿宋_GB2312"/>
          <w:color w:val="auto"/>
          <w:kern w:val="0"/>
          <w:sz w:val="21"/>
          <w:szCs w:val="21"/>
          <w:highlight w:val="none"/>
        </w:rPr>
        <w:t>缴纳社会保险的有效证明。</w:t>
      </w:r>
    </w:p>
    <w:p w14:paraId="646B217C">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3.3.2 承包人派驻到施工现场的主要施工管理人员应相对稳定。施工过程中</w:t>
      </w:r>
      <w:r>
        <w:rPr>
          <w:rFonts w:hint="eastAsia" w:ascii="Times New Roman" w:hAnsi="Times New Roman" w:eastAsia="仿宋_GB2312"/>
          <w:color w:val="auto"/>
          <w:kern w:val="0"/>
          <w:sz w:val="21"/>
          <w:szCs w:val="21"/>
          <w:highlight w:val="none"/>
        </w:rPr>
        <w:t>如有变动</w:t>
      </w:r>
      <w:r>
        <w:rPr>
          <w:rFonts w:ascii="Times New Roman" w:hAnsi="Times New Roman" w:eastAsia="仿宋_GB2312"/>
          <w:color w:val="auto"/>
          <w:kern w:val="0"/>
          <w:sz w:val="21"/>
          <w:szCs w:val="21"/>
          <w:highlight w:val="none"/>
        </w:rPr>
        <w:t>，承包人应及时向监理人提交施工现场人员变动情况的报告。承包人更换主要施工管理人员时，应提前7天书面通知监理人，并征得发包人书面同意。通知中应当载明继任人员的注册执业资格、管理经验等资料。</w:t>
      </w:r>
    </w:p>
    <w:p w14:paraId="71EBA2EF">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特殊工种作业人员均应持有相应的资格证明，监理人可以随时检查。</w:t>
      </w:r>
    </w:p>
    <w:p w14:paraId="6A7431B1">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3.3.3 发包人对于承包人主要施工管理人员</w:t>
      </w:r>
      <w:r>
        <w:rPr>
          <w:rFonts w:hint="eastAsia" w:ascii="Times New Roman" w:hAnsi="Times New Roman" w:eastAsia="仿宋_GB2312"/>
          <w:color w:val="auto"/>
          <w:kern w:val="0"/>
          <w:sz w:val="21"/>
          <w:szCs w:val="21"/>
          <w:highlight w:val="none"/>
        </w:rPr>
        <w:t>的资格或能力</w:t>
      </w:r>
      <w:r>
        <w:rPr>
          <w:rFonts w:ascii="Times New Roman" w:hAnsi="Times New Roman" w:eastAsia="仿宋_GB2312"/>
          <w:color w:val="auto"/>
          <w:kern w:val="0"/>
          <w:sz w:val="21"/>
          <w:szCs w:val="21"/>
          <w:highlight w:val="none"/>
        </w:rPr>
        <w:t>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14:paraId="730D34E2">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3.3.4 除专用合同条款另有约定外，承包人的主要施工管理人员离开施工现场每月累计不超过5天的，应报监理人同意；离开施工现场每月累计超过5天的，应通知监理人，并征得发包人书面同意。主要施工管理人员离开施工现场前应指定一名有经验的人员临时代行其职责，该人员应具备履行相应职责的资格和能力，且应征得监理人或发包人的同意。</w:t>
      </w:r>
    </w:p>
    <w:p w14:paraId="3BC1F409">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3.3.5 承包人擅自更换主要施工管理人员，或前述人员未经监理人或发包人同意擅自离开施工现场的，应按照专用合同条款约定承担违约责任。</w:t>
      </w:r>
    </w:p>
    <w:p w14:paraId="5ECA0F35">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875" w:name="_Toc351203522"/>
      <w:r>
        <w:rPr>
          <w:rFonts w:ascii="Times New Roman" w:hAnsi="Times New Roman" w:eastAsia="黑体"/>
          <w:b w:val="0"/>
          <w:color w:val="auto"/>
          <w:sz w:val="21"/>
          <w:szCs w:val="21"/>
          <w:highlight w:val="none"/>
        </w:rPr>
        <w:t>3</w:t>
      </w:r>
      <w:bookmarkStart w:id="876" w:name="_Toc337558750"/>
      <w:bookmarkStart w:id="877" w:name="_Toc296503050"/>
      <w:bookmarkStart w:id="878" w:name="_Toc296346551"/>
      <w:r>
        <w:rPr>
          <w:rFonts w:ascii="Times New Roman" w:hAnsi="Times New Roman" w:eastAsia="黑体"/>
          <w:b w:val="0"/>
          <w:color w:val="auto"/>
          <w:sz w:val="21"/>
          <w:szCs w:val="21"/>
          <w:highlight w:val="none"/>
        </w:rPr>
        <w:t>.4 承包人现场查勘</w:t>
      </w:r>
      <w:bookmarkEnd w:id="875"/>
    </w:p>
    <w:bookmarkEnd w:id="876"/>
    <w:bookmarkEnd w:id="877"/>
    <w:bookmarkEnd w:id="878"/>
    <w:p w14:paraId="37FC355E">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kern w:val="0"/>
          <w:sz w:val="21"/>
          <w:szCs w:val="21"/>
          <w:highlight w:val="none"/>
        </w:rPr>
        <w:t>承包人应对基于发包人按照第2.4.3项</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提供基础资料</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提交的基础资料所做出的解释和推断负责，但因基础资料存在错误、遗漏导致承包人解释或推断失实的，由发包人承担责任。</w:t>
      </w:r>
    </w:p>
    <w:p w14:paraId="36A1928D">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14:paraId="042FFFEF">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hint="eastAsia" w:ascii="Times New Roman" w:hAnsi="Times New Roman" w:eastAsia="黑体"/>
          <w:b w:val="0"/>
          <w:color w:val="auto"/>
          <w:sz w:val="21"/>
          <w:szCs w:val="21"/>
          <w:highlight w:val="none"/>
        </w:rPr>
      </w:pPr>
      <w:bookmarkStart w:id="879" w:name="_Toc351203523"/>
      <w:r>
        <w:rPr>
          <w:rFonts w:ascii="Times New Roman" w:hAnsi="Times New Roman" w:eastAsia="黑体"/>
          <w:b w:val="0"/>
          <w:color w:val="auto"/>
          <w:sz w:val="21"/>
          <w:szCs w:val="21"/>
          <w:highlight w:val="none"/>
        </w:rPr>
        <w:t>3</w:t>
      </w:r>
      <w:bookmarkStart w:id="880" w:name="_Toc296346552"/>
      <w:bookmarkStart w:id="881" w:name="_Toc296503051"/>
      <w:bookmarkStart w:id="882" w:name="_Toc337558751"/>
      <w:r>
        <w:rPr>
          <w:rFonts w:ascii="Times New Roman" w:hAnsi="Times New Roman" w:eastAsia="黑体"/>
          <w:b w:val="0"/>
          <w:color w:val="auto"/>
          <w:sz w:val="21"/>
          <w:szCs w:val="21"/>
          <w:highlight w:val="none"/>
        </w:rPr>
        <w:t>.5 分包</w:t>
      </w:r>
      <w:bookmarkEnd w:id="879"/>
    </w:p>
    <w:bookmarkEnd w:id="880"/>
    <w:bookmarkEnd w:id="881"/>
    <w:bookmarkEnd w:id="882"/>
    <w:p w14:paraId="2697859C">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3.5.1 分包的一般约定</w:t>
      </w:r>
    </w:p>
    <w:p w14:paraId="1435E4D4">
      <w:pPr>
        <w:pageBreakBefore w:val="0"/>
        <w:widowControl w:val="0"/>
        <w:kinsoku/>
        <w:wordWrap/>
        <w:overflowPunct/>
        <w:topLinePunct w:val="0"/>
        <w:bidi w:val="0"/>
        <w:adjustRightInd w:val="0"/>
        <w:snapToGrid w:val="0"/>
        <w:spacing w:line="360" w:lineRule="auto"/>
        <w:ind w:firstLine="420" w:firstLineChars="200"/>
        <w:jc w:val="left"/>
        <w:textAlignment w:val="auto"/>
        <w:rPr>
          <w:rFonts w:hint="eastAsia"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14:paraId="157FDD3A">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hint="eastAsia" w:ascii="Times New Roman" w:hAnsi="Times New Roman" w:eastAsia="仿宋_GB2312"/>
          <w:color w:val="auto"/>
          <w:kern w:val="0"/>
          <w:sz w:val="21"/>
          <w:szCs w:val="21"/>
          <w:highlight w:val="none"/>
        </w:rPr>
        <w:t>承包人不得以劳务分包的名义转包或违法分包工程。</w:t>
      </w:r>
    </w:p>
    <w:p w14:paraId="127E2A60">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3.5.2 分包的确定</w:t>
      </w:r>
    </w:p>
    <w:p w14:paraId="29F70289">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承包人应按专用合同条款的约定进行分包，确定分包人。已标价工程量清单或预算书中给定暂估价的专业工程，按照第10.7款</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暂估价</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7天内向发包人和监理人提交分包合同副本。</w:t>
      </w:r>
    </w:p>
    <w:p w14:paraId="0C29DCF2">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3.5.3 分包管理</w:t>
      </w:r>
    </w:p>
    <w:p w14:paraId="0F6817C1">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承包人应向监理人提交分包人的主要施工管理人员表，并对分包人的施工人员进行实名制管理，包括但不限于进出场管理、登记造册以及各种证照的办理。</w:t>
      </w:r>
    </w:p>
    <w:p w14:paraId="472DC3AA">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3.5.4 分包合同价款</w:t>
      </w:r>
    </w:p>
    <w:p w14:paraId="0CBAD443">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（1）除本项第（2）目约定的情况或专用合同条款另有约定外，分包合同价款由承包人与分包人结算，未经承包人同意，发包人不得向分包人支付分包工程价款；</w:t>
      </w:r>
    </w:p>
    <w:p w14:paraId="0216A5E0">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（2）生效法律文书要求发包人向分包人支付分包合同价款的，发包人有权从应付承包人工程款中扣除该部分款项。</w:t>
      </w:r>
    </w:p>
    <w:p w14:paraId="1D82908D">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3.5.5 分包合同权益的转让</w:t>
      </w:r>
    </w:p>
    <w:p w14:paraId="3DA407A8">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bookmarkStart w:id="883" w:name="_Toc351203524"/>
    </w:p>
    <w:p w14:paraId="027C0367">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r>
        <w:rPr>
          <w:rFonts w:ascii="Times New Roman" w:hAnsi="Times New Roman" w:eastAsia="黑体"/>
          <w:b w:val="0"/>
          <w:color w:val="auto"/>
          <w:sz w:val="21"/>
          <w:szCs w:val="21"/>
          <w:highlight w:val="none"/>
        </w:rPr>
        <w:t>3.6 工程照管与成品、半成品保护</w:t>
      </w:r>
      <w:bookmarkEnd w:id="883"/>
    </w:p>
    <w:p w14:paraId="5737190F">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（1）除专用合同条款另有约定外，自发包人向承包人移交施工现场之日起，承包人应负责照管工程及工程相关的材料、工程设备，直到颁发工程接收证书之日止。</w:t>
      </w:r>
    </w:p>
    <w:p w14:paraId="2C7D68DD">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w:t>
      </w:r>
      <w:r>
        <w:rPr>
          <w:rFonts w:hint="eastAsia" w:ascii="Times New Roman" w:hAnsi="Times New Roman" w:eastAsia="仿宋_GB2312"/>
          <w:color w:val="auto"/>
          <w:kern w:val="0"/>
          <w:sz w:val="21"/>
          <w:szCs w:val="21"/>
          <w:highlight w:val="none"/>
        </w:rPr>
        <w:t>2</w:t>
      </w:r>
      <w:r>
        <w:rPr>
          <w:rFonts w:ascii="Times New Roman" w:hAnsi="Times New Roman" w:eastAsia="仿宋_GB2312"/>
          <w:color w:val="auto"/>
          <w:kern w:val="0"/>
          <w:sz w:val="21"/>
          <w:szCs w:val="21"/>
          <w:highlight w:val="none"/>
        </w:rPr>
        <w:t>）在承包人负责照管期间，因承包人原因造成工程、材料、工程设备损坏的，由承包人负责修复或更换，并承担由此增加的费用和（或）延误的工期。</w:t>
      </w:r>
    </w:p>
    <w:p w14:paraId="076741B7">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w:t>
      </w:r>
      <w:r>
        <w:rPr>
          <w:rFonts w:hint="eastAsia" w:ascii="Times New Roman" w:hAnsi="Times New Roman" w:eastAsia="仿宋_GB2312"/>
          <w:color w:val="auto"/>
          <w:kern w:val="0"/>
          <w:sz w:val="21"/>
          <w:szCs w:val="21"/>
          <w:highlight w:val="none"/>
        </w:rPr>
        <w:t>3</w:t>
      </w:r>
      <w:r>
        <w:rPr>
          <w:rFonts w:ascii="Times New Roman" w:hAnsi="Times New Roman" w:eastAsia="仿宋_GB2312"/>
          <w:color w:val="auto"/>
          <w:kern w:val="0"/>
          <w:sz w:val="21"/>
          <w:szCs w:val="21"/>
          <w:highlight w:val="none"/>
        </w:rPr>
        <w:t>）对合同内分期完成的成品和半成品，在工程接收证书颁发前，由承包人承担保护责任。因承包人原因造成成品或半成品损坏的，由承包人负责修复或更换，并承担由此增加的费用和（或）延误的工期。</w:t>
      </w:r>
    </w:p>
    <w:p w14:paraId="6796097F">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884" w:name="_Toc351203525"/>
      <w:r>
        <w:rPr>
          <w:rFonts w:ascii="Times New Roman" w:hAnsi="Times New Roman" w:eastAsia="黑体"/>
          <w:b w:val="0"/>
          <w:color w:val="auto"/>
          <w:sz w:val="21"/>
          <w:szCs w:val="21"/>
          <w:highlight w:val="none"/>
        </w:rPr>
        <w:t>3</w:t>
      </w:r>
      <w:bookmarkStart w:id="885" w:name="_Toc296346553"/>
      <w:bookmarkStart w:id="886" w:name="_Toc337558752"/>
      <w:bookmarkStart w:id="887" w:name="_Toc296503052"/>
      <w:r>
        <w:rPr>
          <w:rFonts w:ascii="Times New Roman" w:hAnsi="Times New Roman" w:eastAsia="黑体"/>
          <w:b w:val="0"/>
          <w:color w:val="auto"/>
          <w:sz w:val="21"/>
          <w:szCs w:val="21"/>
          <w:highlight w:val="none"/>
        </w:rPr>
        <w:t>.7 履约担保</w:t>
      </w:r>
      <w:bookmarkEnd w:id="884"/>
    </w:p>
    <w:bookmarkEnd w:id="885"/>
    <w:bookmarkEnd w:id="886"/>
    <w:bookmarkEnd w:id="887"/>
    <w:p w14:paraId="0AD80FEA">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Times New Roman" w:hAnsi="Times New Roman" w:eastAsia="仿宋_GB2312"/>
          <w:color w:val="auto"/>
          <w:kern w:val="0"/>
          <w:sz w:val="21"/>
          <w:szCs w:val="21"/>
          <w:highlight w:val="none"/>
        </w:rPr>
      </w:pPr>
      <w:r>
        <w:rPr>
          <w:rFonts w:hint="eastAsia" w:ascii="Times New Roman" w:hAnsi="Times New Roman" w:eastAsia="仿宋_GB2312"/>
          <w:color w:val="auto"/>
          <w:kern w:val="0"/>
          <w:sz w:val="21"/>
          <w:szCs w:val="21"/>
          <w:highlight w:val="none"/>
        </w:rPr>
        <w:t>发包人需要承包人提供履约担保的，由合同当事人在专用合同条款中约定履约担保的方式、金额及期限等。</w:t>
      </w:r>
      <w:r>
        <w:rPr>
          <w:rFonts w:ascii="Times New Roman" w:hAnsi="Times New Roman" w:eastAsia="仿宋_GB2312"/>
          <w:color w:val="auto"/>
          <w:kern w:val="0"/>
          <w:sz w:val="21"/>
          <w:szCs w:val="21"/>
          <w:highlight w:val="none"/>
        </w:rPr>
        <w:t>履约担保可以采用银行保函或担保公司担保等形式，具体由合同当事人在专用合同条款中约定。</w:t>
      </w:r>
    </w:p>
    <w:p w14:paraId="79A2C639">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因承包人原因导致工期延长的，继续提供履约担保所增加的费用由承包人承担；非因承包人原因导致工期延长的，继续提供履约担保所增加的费用由发包人承担。</w:t>
      </w:r>
    </w:p>
    <w:p w14:paraId="0563C1D8">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888" w:name="_Toc351203526"/>
      <w:r>
        <w:rPr>
          <w:rFonts w:ascii="Times New Roman" w:hAnsi="Times New Roman" w:eastAsia="黑体"/>
          <w:b w:val="0"/>
          <w:color w:val="auto"/>
          <w:sz w:val="21"/>
          <w:szCs w:val="21"/>
          <w:highlight w:val="none"/>
        </w:rPr>
        <w:t>3.8 联合体</w:t>
      </w:r>
      <w:bookmarkEnd w:id="888"/>
    </w:p>
    <w:p w14:paraId="399DCFFF">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3.8.1 联合体各方应共同与发包人签订合同协议书。联合体各方应为履行合同</w:t>
      </w:r>
      <w:r>
        <w:rPr>
          <w:rFonts w:hint="eastAsia" w:ascii="Times New Roman" w:hAnsi="Times New Roman" w:eastAsia="仿宋_GB2312"/>
          <w:color w:val="auto"/>
          <w:kern w:val="0"/>
          <w:sz w:val="21"/>
          <w:szCs w:val="21"/>
          <w:highlight w:val="none"/>
        </w:rPr>
        <w:t>向发包人</w:t>
      </w:r>
      <w:r>
        <w:rPr>
          <w:rFonts w:ascii="Times New Roman" w:hAnsi="Times New Roman" w:eastAsia="仿宋_GB2312"/>
          <w:color w:val="auto"/>
          <w:kern w:val="0"/>
          <w:sz w:val="21"/>
          <w:szCs w:val="21"/>
          <w:highlight w:val="none"/>
        </w:rPr>
        <w:t>承担连带责任。</w:t>
      </w:r>
    </w:p>
    <w:p w14:paraId="1DE5275B">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3.8.2 联合体协议经发包人确认后作为合同附件。在履行合同过程中，未经发包人同意，不得修改联合体协议。</w:t>
      </w:r>
    </w:p>
    <w:p w14:paraId="17ACC237">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3.8.3 联合体牵头人负责与发包人和监理人联系，并接受指示，负责组织联合体各成员全面履行合同。</w:t>
      </w:r>
    </w:p>
    <w:p w14:paraId="12CA1317">
      <w:pPr>
        <w:pStyle w:val="5"/>
        <w:pageBreakBefore w:val="0"/>
        <w:widowControl w:val="0"/>
        <w:kinsoku/>
        <w:wordWrap/>
        <w:overflowPunct/>
        <w:topLinePunct w:val="0"/>
        <w:bidi w:val="0"/>
        <w:adjustRightInd w:val="0"/>
        <w:snapToGrid w:val="0"/>
        <w:spacing w:before="0" w:after="0" w:line="360" w:lineRule="auto"/>
        <w:textAlignment w:val="auto"/>
        <w:outlineLvl w:val="3"/>
        <w:rPr>
          <w:rFonts w:eastAsia="黑体"/>
          <w:bCs/>
          <w:color w:val="auto"/>
          <w:sz w:val="21"/>
          <w:szCs w:val="21"/>
          <w:highlight w:val="none"/>
        </w:rPr>
      </w:pPr>
      <w:bookmarkStart w:id="889" w:name="_Toc5633"/>
      <w:bookmarkStart w:id="890" w:name="_Toc351203527"/>
      <w:bookmarkStart w:id="891" w:name="_Toc23605"/>
      <w:r>
        <w:rPr>
          <w:rFonts w:eastAsia="黑体"/>
          <w:bCs/>
          <w:color w:val="auto"/>
          <w:sz w:val="21"/>
          <w:szCs w:val="21"/>
          <w:highlight w:val="none"/>
        </w:rPr>
        <w:t>4</w:t>
      </w:r>
      <w:bookmarkStart w:id="892" w:name="_Toc296346554"/>
      <w:bookmarkStart w:id="893" w:name="_Toc296503053"/>
      <w:bookmarkStart w:id="894" w:name="_Toc337558753"/>
      <w:r>
        <w:rPr>
          <w:rFonts w:eastAsia="黑体"/>
          <w:bCs/>
          <w:color w:val="auto"/>
          <w:sz w:val="21"/>
          <w:szCs w:val="21"/>
          <w:highlight w:val="none"/>
        </w:rPr>
        <w:t>. 监</w:t>
      </w:r>
      <w:bookmarkEnd w:id="892"/>
      <w:bookmarkEnd w:id="893"/>
      <w:r>
        <w:rPr>
          <w:rFonts w:eastAsia="黑体"/>
          <w:bCs/>
          <w:color w:val="auto"/>
          <w:sz w:val="21"/>
          <w:szCs w:val="21"/>
          <w:highlight w:val="none"/>
        </w:rPr>
        <w:t>理人</w:t>
      </w:r>
      <w:bookmarkEnd w:id="889"/>
      <w:bookmarkEnd w:id="890"/>
      <w:bookmarkEnd w:id="891"/>
    </w:p>
    <w:bookmarkEnd w:id="894"/>
    <w:p w14:paraId="5781D2BE">
      <w:pPr>
        <w:pStyle w:val="6"/>
        <w:pageBreakBefore w:val="0"/>
        <w:widowControl w:val="0"/>
        <w:kinsoku/>
        <w:wordWrap/>
        <w:overflowPunct/>
        <w:topLinePunct w:val="0"/>
        <w:bidi w:val="0"/>
        <w:adjustRightInd w:val="0"/>
        <w:snapToGrid w:val="0"/>
        <w:spacing w:before="0" w:after="0" w:line="360" w:lineRule="auto"/>
        <w:ind w:firstLine="422" w:firstLineChars="200"/>
        <w:textAlignment w:val="auto"/>
        <w:outlineLvl w:val="4"/>
        <w:rPr>
          <w:rFonts w:ascii="Times New Roman" w:hAnsi="Times New Roman"/>
          <w:bCs w:val="0"/>
          <w:color w:val="auto"/>
          <w:sz w:val="21"/>
          <w:szCs w:val="21"/>
          <w:highlight w:val="none"/>
        </w:rPr>
      </w:pPr>
      <w:bookmarkStart w:id="895" w:name="_Toc27358"/>
      <w:bookmarkStart w:id="896" w:name="_Toc351203528"/>
      <w:r>
        <w:rPr>
          <w:rFonts w:ascii="Times New Roman" w:hAnsi="Times New Roman"/>
          <w:bCs w:val="0"/>
          <w:color w:val="auto"/>
          <w:sz w:val="21"/>
          <w:szCs w:val="21"/>
          <w:highlight w:val="none"/>
        </w:rPr>
        <w:t>4</w:t>
      </w:r>
      <w:bookmarkStart w:id="897" w:name="_Toc296503054"/>
      <w:bookmarkStart w:id="898" w:name="_Toc337558754"/>
      <w:bookmarkStart w:id="899" w:name="_Toc296346555"/>
      <w:r>
        <w:rPr>
          <w:rFonts w:ascii="Times New Roman" w:hAnsi="Times New Roman"/>
          <w:bCs w:val="0"/>
          <w:color w:val="auto"/>
          <w:sz w:val="21"/>
          <w:szCs w:val="21"/>
          <w:highlight w:val="none"/>
        </w:rPr>
        <w:t>.1监理人的一般规定</w:t>
      </w:r>
      <w:bookmarkEnd w:id="895"/>
      <w:bookmarkEnd w:id="896"/>
    </w:p>
    <w:bookmarkEnd w:id="897"/>
    <w:bookmarkEnd w:id="898"/>
    <w:bookmarkEnd w:id="899"/>
    <w:p w14:paraId="44E32158">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14:paraId="25210FCB">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除专用合同条款另有约定外，监理人在施工现场的办公场所、生活场所由承包人提供，所发生的费用由发包人承担。</w:t>
      </w:r>
    </w:p>
    <w:p w14:paraId="73A5056E">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outlineLvl w:val="4"/>
        <w:rPr>
          <w:rFonts w:ascii="Times New Roman" w:hAnsi="Times New Roman"/>
          <w:b w:val="0"/>
          <w:color w:val="auto"/>
          <w:sz w:val="21"/>
          <w:szCs w:val="21"/>
          <w:highlight w:val="none"/>
        </w:rPr>
      </w:pPr>
      <w:bookmarkStart w:id="900" w:name="_Toc351203529"/>
      <w:bookmarkStart w:id="901" w:name="_Toc11017"/>
      <w:r>
        <w:rPr>
          <w:rFonts w:ascii="Times New Roman" w:hAnsi="Times New Roman"/>
          <w:b w:val="0"/>
          <w:color w:val="auto"/>
          <w:sz w:val="21"/>
          <w:szCs w:val="21"/>
          <w:highlight w:val="none"/>
        </w:rPr>
        <w:t>4</w:t>
      </w:r>
      <w:bookmarkStart w:id="902" w:name="_Toc337558755"/>
      <w:r>
        <w:rPr>
          <w:rFonts w:ascii="Times New Roman" w:hAnsi="Times New Roman"/>
          <w:b w:val="0"/>
          <w:color w:val="auto"/>
          <w:sz w:val="21"/>
          <w:szCs w:val="21"/>
          <w:highlight w:val="none"/>
        </w:rPr>
        <w:t>.2监理人员</w:t>
      </w:r>
      <w:bookmarkEnd w:id="900"/>
      <w:bookmarkEnd w:id="901"/>
    </w:p>
    <w:bookmarkEnd w:id="902"/>
    <w:p w14:paraId="23A026B1">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7天书面通知承包人；更换其他监理人员，监理人应提前48小时书面通知承包人。</w:t>
      </w:r>
    </w:p>
    <w:p w14:paraId="77319F48">
      <w:pPr>
        <w:pStyle w:val="6"/>
        <w:pageBreakBefore w:val="0"/>
        <w:widowControl w:val="0"/>
        <w:kinsoku/>
        <w:wordWrap/>
        <w:overflowPunct/>
        <w:topLinePunct w:val="0"/>
        <w:bidi w:val="0"/>
        <w:adjustRightInd w:val="0"/>
        <w:snapToGrid w:val="0"/>
        <w:spacing w:before="0" w:after="0" w:line="360" w:lineRule="auto"/>
        <w:ind w:firstLine="422" w:firstLineChars="200"/>
        <w:textAlignment w:val="auto"/>
        <w:outlineLvl w:val="4"/>
        <w:rPr>
          <w:rFonts w:ascii="Times New Roman" w:hAnsi="Times New Roman"/>
          <w:bCs w:val="0"/>
          <w:color w:val="auto"/>
          <w:sz w:val="21"/>
          <w:szCs w:val="21"/>
          <w:highlight w:val="none"/>
        </w:rPr>
      </w:pPr>
      <w:bookmarkStart w:id="903" w:name="_Toc351203530"/>
      <w:bookmarkStart w:id="904" w:name="_Toc9218"/>
      <w:r>
        <w:rPr>
          <w:rFonts w:ascii="Times New Roman" w:hAnsi="Times New Roman"/>
          <w:bCs w:val="0"/>
          <w:color w:val="auto"/>
          <w:sz w:val="21"/>
          <w:szCs w:val="21"/>
          <w:highlight w:val="none"/>
        </w:rPr>
        <w:t>4</w:t>
      </w:r>
      <w:bookmarkStart w:id="905" w:name="_Toc296503055"/>
      <w:bookmarkStart w:id="906" w:name="_Toc296346556"/>
      <w:bookmarkStart w:id="907" w:name="_Toc337558756"/>
      <w:r>
        <w:rPr>
          <w:rFonts w:ascii="Times New Roman" w:hAnsi="Times New Roman"/>
          <w:bCs w:val="0"/>
          <w:color w:val="auto"/>
          <w:sz w:val="21"/>
          <w:szCs w:val="21"/>
          <w:highlight w:val="none"/>
        </w:rPr>
        <w:t>.3</w:t>
      </w:r>
      <w:bookmarkEnd w:id="905"/>
      <w:bookmarkEnd w:id="906"/>
      <w:r>
        <w:rPr>
          <w:rFonts w:ascii="Times New Roman" w:hAnsi="Times New Roman"/>
          <w:bCs w:val="0"/>
          <w:color w:val="auto"/>
          <w:sz w:val="21"/>
          <w:szCs w:val="21"/>
          <w:highlight w:val="none"/>
        </w:rPr>
        <w:t>监理人的指</w:t>
      </w:r>
      <w:bookmarkEnd w:id="907"/>
      <w:r>
        <w:rPr>
          <w:rFonts w:ascii="Times New Roman" w:hAnsi="Times New Roman"/>
          <w:bCs w:val="0"/>
          <w:color w:val="auto"/>
          <w:sz w:val="21"/>
          <w:szCs w:val="21"/>
          <w:highlight w:val="none"/>
        </w:rPr>
        <w:t>示</w:t>
      </w:r>
      <w:bookmarkEnd w:id="903"/>
      <w:bookmarkEnd w:id="904"/>
    </w:p>
    <w:p w14:paraId="40B16EDF">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24小时内补发书面监理指示，补发的书面监理指示应与口头指示一致。</w:t>
      </w:r>
    </w:p>
    <w:p w14:paraId="76766AC6">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监理人发出的指示应送达承包人项目经理或经项目经理授权接收的人员。因监理人未能按合同约定发出指示、指示延误或发出了错误指示而导致承包人费用增加和（或）工期延误的，由发包人承担</w:t>
      </w:r>
      <w:r>
        <w:rPr>
          <w:rFonts w:hint="eastAsia" w:ascii="Times New Roman" w:hAnsi="Times New Roman" w:eastAsia="仿宋_GB2312"/>
          <w:color w:val="auto"/>
          <w:kern w:val="0"/>
          <w:sz w:val="21"/>
          <w:szCs w:val="21"/>
          <w:highlight w:val="none"/>
        </w:rPr>
        <w:t>相应</w:t>
      </w:r>
      <w:r>
        <w:rPr>
          <w:rFonts w:ascii="Times New Roman" w:hAnsi="Times New Roman" w:eastAsia="仿宋_GB2312"/>
          <w:color w:val="auto"/>
          <w:kern w:val="0"/>
          <w:sz w:val="21"/>
          <w:szCs w:val="21"/>
          <w:highlight w:val="none"/>
        </w:rPr>
        <w:t>责任。除专用合同条款另有约定外，总监理工程师不应将第4.4款</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商定或确定</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约定应由总监理工程师作出确定的权力授权或委托给其他监理人员。</w:t>
      </w:r>
    </w:p>
    <w:p w14:paraId="0710DE85">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承包人对监理人发出的指示有疑问的，应向监理人提出书面异议，监理人应在48小时内对该指示予以确认、更改或撤销，监理人逾期未回复的，承包人有权拒绝执行上述指示。</w:t>
      </w:r>
    </w:p>
    <w:p w14:paraId="5C9B9768">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监理人对承包人的任何工作、工程或其采用的材料和工程设备未在约定的或合理期限内提出意见的，视为批准，但不免除或减轻承包人对该工作、工程、材料、工程设备等应承担的责任和义务。</w:t>
      </w:r>
    </w:p>
    <w:p w14:paraId="30F93975">
      <w:pPr>
        <w:pStyle w:val="6"/>
        <w:pageBreakBefore w:val="0"/>
        <w:widowControl w:val="0"/>
        <w:kinsoku/>
        <w:wordWrap/>
        <w:overflowPunct/>
        <w:topLinePunct w:val="0"/>
        <w:bidi w:val="0"/>
        <w:adjustRightInd w:val="0"/>
        <w:snapToGrid w:val="0"/>
        <w:spacing w:before="0" w:after="0" w:line="360" w:lineRule="auto"/>
        <w:ind w:firstLine="422" w:firstLineChars="200"/>
        <w:textAlignment w:val="auto"/>
        <w:outlineLvl w:val="4"/>
        <w:rPr>
          <w:rFonts w:hint="eastAsia" w:ascii="Times New Roman" w:hAnsi="Times New Roman"/>
          <w:bCs w:val="0"/>
          <w:color w:val="auto"/>
          <w:sz w:val="21"/>
          <w:szCs w:val="21"/>
          <w:highlight w:val="none"/>
        </w:rPr>
      </w:pPr>
      <w:bookmarkStart w:id="908" w:name="_Toc351203531"/>
      <w:r>
        <w:rPr>
          <w:rFonts w:ascii="Times New Roman" w:hAnsi="Times New Roman"/>
          <w:bCs w:val="0"/>
          <w:color w:val="auto"/>
          <w:sz w:val="21"/>
          <w:szCs w:val="21"/>
          <w:highlight w:val="none"/>
        </w:rPr>
        <w:t>4</w:t>
      </w:r>
      <w:bookmarkStart w:id="909" w:name="_Toc296503057"/>
      <w:bookmarkStart w:id="910" w:name="_Toc337558757"/>
      <w:bookmarkStart w:id="911" w:name="_Toc296346558"/>
      <w:r>
        <w:rPr>
          <w:rFonts w:ascii="Times New Roman" w:hAnsi="Times New Roman"/>
          <w:bCs w:val="0"/>
          <w:color w:val="auto"/>
          <w:sz w:val="21"/>
          <w:szCs w:val="21"/>
          <w:highlight w:val="none"/>
        </w:rPr>
        <w:t>.4 商定或确定</w:t>
      </w:r>
      <w:bookmarkEnd w:id="908"/>
    </w:p>
    <w:bookmarkEnd w:id="909"/>
    <w:bookmarkEnd w:id="910"/>
    <w:bookmarkEnd w:id="911"/>
    <w:p w14:paraId="24356D11">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合同</w:t>
      </w:r>
      <w:r>
        <w:rPr>
          <w:rFonts w:hint="eastAsia" w:ascii="Times New Roman" w:hAnsi="Times New Roman" w:eastAsia="仿宋_GB2312"/>
          <w:color w:val="auto"/>
          <w:kern w:val="0"/>
          <w:sz w:val="21"/>
          <w:szCs w:val="21"/>
          <w:highlight w:val="none"/>
        </w:rPr>
        <w:t>当事人</w:t>
      </w:r>
      <w:r>
        <w:rPr>
          <w:rFonts w:ascii="Times New Roman" w:hAnsi="Times New Roman" w:eastAsia="仿宋_GB2312"/>
          <w:color w:val="auto"/>
          <w:kern w:val="0"/>
          <w:sz w:val="21"/>
          <w:szCs w:val="21"/>
          <w:highlight w:val="none"/>
        </w:rPr>
        <w:t>进行</w:t>
      </w:r>
      <w:r>
        <w:rPr>
          <w:rFonts w:hint="eastAsia" w:ascii="Times New Roman" w:hAnsi="Times New Roman" w:eastAsia="仿宋_GB2312"/>
          <w:color w:val="auto"/>
          <w:kern w:val="0"/>
          <w:sz w:val="21"/>
          <w:szCs w:val="21"/>
          <w:highlight w:val="none"/>
        </w:rPr>
        <w:t>商定</w:t>
      </w:r>
      <w:r>
        <w:rPr>
          <w:rFonts w:ascii="Times New Roman" w:hAnsi="Times New Roman" w:eastAsia="仿宋_GB2312"/>
          <w:color w:val="auto"/>
          <w:kern w:val="0"/>
          <w:sz w:val="21"/>
          <w:szCs w:val="21"/>
          <w:highlight w:val="none"/>
        </w:rPr>
        <w:t>或确定时，总监理工程师应当会同合同当事人尽量通过协商达成一致，不能达成一致的，由总监理工程师按照合同约定审慎做出公正的确定。</w:t>
      </w:r>
    </w:p>
    <w:p w14:paraId="596AA9D3">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总监理工程师应将确定以书面形式通知发包人和承包人，并附详细依据。合同当事人对总监理工程师的确定没有异议的，按照总监理工程师的确定执行。任何一方合同当事人有异议，按照第20条</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争议解决</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约定处理。争议解决前，合同当事人暂按总监理工程师的确定执行；争议解决后，争议解决的结果与总监理工程师的确定不一致的，按照争议解决的结果执行，由此造成的损失由责任人承担。</w:t>
      </w:r>
    </w:p>
    <w:p w14:paraId="232D15AC">
      <w:pPr>
        <w:pStyle w:val="5"/>
        <w:pageBreakBefore w:val="0"/>
        <w:widowControl w:val="0"/>
        <w:kinsoku/>
        <w:wordWrap/>
        <w:overflowPunct/>
        <w:topLinePunct w:val="0"/>
        <w:bidi w:val="0"/>
        <w:adjustRightInd w:val="0"/>
        <w:snapToGrid w:val="0"/>
        <w:spacing w:before="0" w:after="0" w:line="360" w:lineRule="auto"/>
        <w:textAlignment w:val="auto"/>
        <w:outlineLvl w:val="3"/>
        <w:rPr>
          <w:rFonts w:eastAsia="黑体"/>
          <w:bCs/>
          <w:color w:val="auto"/>
          <w:sz w:val="21"/>
          <w:szCs w:val="21"/>
          <w:highlight w:val="none"/>
        </w:rPr>
      </w:pPr>
      <w:bookmarkStart w:id="912" w:name="_Toc351203532"/>
      <w:bookmarkStart w:id="913" w:name="_Toc26263"/>
      <w:bookmarkStart w:id="914" w:name="_Toc4509"/>
      <w:r>
        <w:rPr>
          <w:rFonts w:eastAsia="黑体"/>
          <w:bCs/>
          <w:color w:val="auto"/>
          <w:sz w:val="21"/>
          <w:szCs w:val="21"/>
          <w:highlight w:val="none"/>
        </w:rPr>
        <w:t>5</w:t>
      </w:r>
      <w:bookmarkStart w:id="915" w:name="_Toc337558758"/>
      <w:r>
        <w:rPr>
          <w:rFonts w:eastAsia="黑体"/>
          <w:bCs/>
          <w:color w:val="auto"/>
          <w:sz w:val="21"/>
          <w:szCs w:val="21"/>
          <w:highlight w:val="none"/>
        </w:rPr>
        <w:t>. 工程质量</w:t>
      </w:r>
      <w:bookmarkEnd w:id="912"/>
      <w:bookmarkEnd w:id="913"/>
      <w:bookmarkEnd w:id="914"/>
    </w:p>
    <w:bookmarkEnd w:id="915"/>
    <w:p w14:paraId="2E7680FB">
      <w:pPr>
        <w:pStyle w:val="6"/>
        <w:pageBreakBefore w:val="0"/>
        <w:widowControl w:val="0"/>
        <w:kinsoku/>
        <w:wordWrap/>
        <w:overflowPunct/>
        <w:topLinePunct w:val="0"/>
        <w:bidi w:val="0"/>
        <w:adjustRightInd w:val="0"/>
        <w:snapToGrid w:val="0"/>
        <w:spacing w:before="0" w:after="0" w:line="360" w:lineRule="auto"/>
        <w:ind w:firstLine="422" w:firstLineChars="200"/>
        <w:textAlignment w:val="auto"/>
        <w:outlineLvl w:val="4"/>
        <w:rPr>
          <w:rFonts w:ascii="Times New Roman" w:hAnsi="Times New Roman"/>
          <w:bCs w:val="0"/>
          <w:color w:val="auto"/>
          <w:sz w:val="21"/>
          <w:szCs w:val="21"/>
          <w:highlight w:val="none"/>
        </w:rPr>
      </w:pPr>
      <w:bookmarkStart w:id="916" w:name="_Toc351203533"/>
      <w:bookmarkStart w:id="917" w:name="_Toc16977"/>
      <w:r>
        <w:rPr>
          <w:rFonts w:ascii="Times New Roman" w:hAnsi="Times New Roman"/>
          <w:bCs w:val="0"/>
          <w:color w:val="auto"/>
          <w:sz w:val="21"/>
          <w:szCs w:val="21"/>
          <w:highlight w:val="none"/>
        </w:rPr>
        <w:t>5</w:t>
      </w:r>
      <w:bookmarkStart w:id="918" w:name="_Toc337558759"/>
      <w:r>
        <w:rPr>
          <w:rFonts w:ascii="Times New Roman" w:hAnsi="Times New Roman"/>
          <w:bCs w:val="0"/>
          <w:color w:val="auto"/>
          <w:sz w:val="21"/>
          <w:szCs w:val="21"/>
          <w:highlight w:val="none"/>
        </w:rPr>
        <w:t>.1质量要求</w:t>
      </w:r>
      <w:bookmarkEnd w:id="916"/>
      <w:bookmarkEnd w:id="917"/>
    </w:p>
    <w:bookmarkEnd w:id="918"/>
    <w:p w14:paraId="30BB3638">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5.1.1 工程质量标准必须符合现行国家有关工程施工质量验收规范和标准的要求。有关工程质量的特殊标准或要求由合同当事人在专用合同条款中约定。</w:t>
      </w:r>
    </w:p>
    <w:p w14:paraId="47F74C0F">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5.1.2 因发包人原因造成工程质量未达到合同约定标准的，由发包人承担由此增加的费用和（或）延误的工期，并支付承包人合理的利润。</w:t>
      </w:r>
    </w:p>
    <w:p w14:paraId="0B52270E">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5.1.3 因承包人原因造成工程质量未达到合同约定标准的，发包人有权要求承包人返工直至工程质量达到合同约定的标准为止，并由承包人承担由此增加的费用和（或）延误的工期。</w:t>
      </w:r>
    </w:p>
    <w:p w14:paraId="22B4A4E3">
      <w:pPr>
        <w:pStyle w:val="6"/>
        <w:pageBreakBefore w:val="0"/>
        <w:widowControl w:val="0"/>
        <w:kinsoku/>
        <w:wordWrap/>
        <w:overflowPunct/>
        <w:topLinePunct w:val="0"/>
        <w:bidi w:val="0"/>
        <w:adjustRightInd w:val="0"/>
        <w:snapToGrid w:val="0"/>
        <w:spacing w:before="0" w:after="0" w:line="360" w:lineRule="auto"/>
        <w:ind w:firstLine="422" w:firstLineChars="200"/>
        <w:textAlignment w:val="auto"/>
        <w:outlineLvl w:val="4"/>
        <w:rPr>
          <w:rFonts w:ascii="Times New Roman" w:hAnsi="Times New Roman"/>
          <w:bCs w:val="0"/>
          <w:color w:val="auto"/>
          <w:sz w:val="21"/>
          <w:szCs w:val="21"/>
          <w:highlight w:val="none"/>
        </w:rPr>
      </w:pPr>
      <w:bookmarkStart w:id="919" w:name="_Toc351203534"/>
      <w:bookmarkStart w:id="920" w:name="_Toc17167"/>
      <w:r>
        <w:rPr>
          <w:rFonts w:ascii="Times New Roman" w:hAnsi="Times New Roman"/>
          <w:bCs w:val="0"/>
          <w:color w:val="auto"/>
          <w:sz w:val="21"/>
          <w:szCs w:val="21"/>
          <w:highlight w:val="none"/>
        </w:rPr>
        <w:t>5</w:t>
      </w:r>
      <w:bookmarkStart w:id="921" w:name="_Toc337558760"/>
      <w:r>
        <w:rPr>
          <w:rFonts w:ascii="Times New Roman" w:hAnsi="Times New Roman"/>
          <w:bCs w:val="0"/>
          <w:color w:val="auto"/>
          <w:sz w:val="21"/>
          <w:szCs w:val="21"/>
          <w:highlight w:val="none"/>
        </w:rPr>
        <w:t>.2质量保证措施</w:t>
      </w:r>
      <w:bookmarkEnd w:id="919"/>
      <w:bookmarkEnd w:id="920"/>
    </w:p>
    <w:bookmarkEnd w:id="921"/>
    <w:p w14:paraId="48E54C9E">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5.2.1 发包人的质量管理</w:t>
      </w:r>
    </w:p>
    <w:p w14:paraId="013C5AE4">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发包人应按照法律规定及合同约定完成与工程质量有关的各项工作。</w:t>
      </w:r>
    </w:p>
    <w:p w14:paraId="18D49627">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5.2.2 承包人的质量管理</w:t>
      </w:r>
    </w:p>
    <w:p w14:paraId="5BA5D6DD">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承包人按照第7.1款</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施工组织设计</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约定向发包人和监理人提交工程质量保证体系及措施文件，建立完善的质量检查制度，并提交相应的工程质量文件。对于发包人和监理人违反法律规定和合同约定的错误指示，承包人有权拒绝实施。</w:t>
      </w:r>
    </w:p>
    <w:p w14:paraId="23329535">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承包人应对施工人员进行质量教育和技术培训，定期考核施工人员的劳动技能，严格执行施工规范和操作规程。</w:t>
      </w:r>
    </w:p>
    <w:p w14:paraId="74A4A739">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14:paraId="37CE7996">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5.2.3 监理人的质量检查和检验</w:t>
      </w:r>
    </w:p>
    <w:p w14:paraId="1E14B50B">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不免除或减轻承包人按照合同约定应当承担的责任。</w:t>
      </w:r>
    </w:p>
    <w:p w14:paraId="3447864F">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14:paraId="6DF582C3">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outlineLvl w:val="4"/>
        <w:rPr>
          <w:rFonts w:ascii="Times New Roman" w:hAnsi="Times New Roman" w:eastAsia="黑体"/>
          <w:b w:val="0"/>
          <w:color w:val="auto"/>
          <w:sz w:val="21"/>
          <w:szCs w:val="21"/>
          <w:highlight w:val="none"/>
        </w:rPr>
      </w:pPr>
      <w:bookmarkStart w:id="922" w:name="_Toc351203535"/>
      <w:r>
        <w:rPr>
          <w:rFonts w:ascii="Times New Roman" w:hAnsi="Times New Roman" w:eastAsia="黑体"/>
          <w:b w:val="0"/>
          <w:color w:val="auto"/>
          <w:sz w:val="21"/>
          <w:szCs w:val="21"/>
          <w:highlight w:val="none"/>
        </w:rPr>
        <w:t>5</w:t>
      </w:r>
      <w:bookmarkStart w:id="923" w:name="_Toc337558761"/>
      <w:r>
        <w:rPr>
          <w:rFonts w:ascii="Times New Roman" w:hAnsi="Times New Roman" w:eastAsia="黑体"/>
          <w:b w:val="0"/>
          <w:color w:val="auto"/>
          <w:sz w:val="21"/>
          <w:szCs w:val="21"/>
          <w:highlight w:val="none"/>
        </w:rPr>
        <w:t>.3 隐蔽工程检查</w:t>
      </w:r>
      <w:bookmarkEnd w:id="922"/>
    </w:p>
    <w:bookmarkEnd w:id="923"/>
    <w:p w14:paraId="27557B88">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5.3.1承包人自检</w:t>
      </w:r>
    </w:p>
    <w:p w14:paraId="145E704B">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承包人应当对工程隐蔽部位进行自检，并经自检确认是否具备覆盖条件。</w:t>
      </w:r>
    </w:p>
    <w:p w14:paraId="7D98BE24">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5.3.2检查程序</w:t>
      </w:r>
    </w:p>
    <w:p w14:paraId="229E8D1A">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除专用合同条款另有约定外，工程隐蔽部位经承包人自检确认具备覆盖条件的，承包人应在</w:t>
      </w:r>
      <w:r>
        <w:rPr>
          <w:rFonts w:hint="eastAsia" w:ascii="Times New Roman" w:hAnsi="Times New Roman" w:eastAsia="仿宋_GB2312"/>
          <w:color w:val="auto"/>
          <w:kern w:val="0"/>
          <w:sz w:val="21"/>
          <w:szCs w:val="21"/>
          <w:highlight w:val="none"/>
        </w:rPr>
        <w:t>共同</w:t>
      </w:r>
      <w:r>
        <w:rPr>
          <w:rFonts w:ascii="Times New Roman" w:hAnsi="Times New Roman" w:eastAsia="仿宋_GB2312"/>
          <w:color w:val="auto"/>
          <w:kern w:val="0"/>
          <w:sz w:val="21"/>
          <w:szCs w:val="21"/>
          <w:highlight w:val="none"/>
        </w:rPr>
        <w:t>检查前48小时书面通知监理人检查，通知中应载明隐蔽检查的内容、时间和地点，并应附有自检记录和必要的检查资料。</w:t>
      </w:r>
    </w:p>
    <w:p w14:paraId="64A8CCAF">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14:paraId="69970239">
      <w:pPr>
        <w:pageBreakBefore w:val="0"/>
        <w:widowControl w:val="0"/>
        <w:kinsoku/>
        <w:wordWrap/>
        <w:overflowPunct/>
        <w:topLinePunct w:val="0"/>
        <w:bidi w:val="0"/>
        <w:adjustRightInd w:val="0"/>
        <w:snapToGrid w:val="0"/>
        <w:spacing w:line="360" w:lineRule="auto"/>
        <w:ind w:firstLine="420" w:firstLineChars="200"/>
        <w:jc w:val="left"/>
        <w:textAlignment w:val="auto"/>
        <w:rPr>
          <w:rFonts w:hint="eastAsia"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除专用合同条款另有约定外，监理人不能按时进行检查的，应在检查前24小时向承包人提交书面延期要求，但延期不能超过48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重新检查</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的约定重新检查。</w:t>
      </w:r>
    </w:p>
    <w:p w14:paraId="34FF5772">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5.3.3 重新检查</w:t>
      </w:r>
    </w:p>
    <w:p w14:paraId="3A817C96">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14:paraId="355E2A1F">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5.3.4 承包人私自覆盖</w:t>
      </w:r>
    </w:p>
    <w:p w14:paraId="1FA65CBD">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kern w:val="0"/>
          <w:sz w:val="21"/>
          <w:szCs w:val="21"/>
          <w:highlight w:val="none"/>
        </w:rPr>
        <w:t>承包人未通知监理人到场检查，私自将工程隐蔽部位覆盖的，监理人有权指示承包人钻孔探测或揭开检查，无论工程隐蔽部位质量是否合格，由此增加的费用和（或）延误的工期均由承包人承担。</w:t>
      </w:r>
    </w:p>
    <w:p w14:paraId="495B4C3F">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outlineLvl w:val="4"/>
        <w:rPr>
          <w:rFonts w:ascii="Times New Roman" w:hAnsi="Times New Roman" w:eastAsia="黑体"/>
          <w:b w:val="0"/>
          <w:color w:val="auto"/>
          <w:sz w:val="21"/>
          <w:szCs w:val="21"/>
          <w:highlight w:val="none"/>
        </w:rPr>
      </w:pPr>
      <w:bookmarkStart w:id="924" w:name="_Toc351203536"/>
      <w:r>
        <w:rPr>
          <w:rFonts w:ascii="Times New Roman" w:hAnsi="Times New Roman" w:eastAsia="黑体"/>
          <w:b w:val="0"/>
          <w:color w:val="auto"/>
          <w:sz w:val="21"/>
          <w:szCs w:val="21"/>
          <w:highlight w:val="none"/>
        </w:rPr>
        <w:t>5</w:t>
      </w:r>
      <w:bookmarkStart w:id="925" w:name="_Toc337558762"/>
      <w:r>
        <w:rPr>
          <w:rFonts w:ascii="Times New Roman" w:hAnsi="Times New Roman" w:eastAsia="黑体"/>
          <w:b w:val="0"/>
          <w:color w:val="auto"/>
          <w:sz w:val="21"/>
          <w:szCs w:val="21"/>
          <w:highlight w:val="none"/>
        </w:rPr>
        <w:t>.4不合格工程的处理</w:t>
      </w:r>
      <w:bookmarkEnd w:id="924"/>
    </w:p>
    <w:bookmarkEnd w:id="925"/>
    <w:p w14:paraId="12EE8788">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5.4.1 因承包人原因造成工程不合格的，发包人有权随时要求承包人采取补救措施，直至达到合同要求的质量标准，由此增加的费用和（或）延误的工期由承包人承担。无法补救的，按照第13.2.4项</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拒绝接收全部或部分工程</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 xml:space="preserve">约定执行。 </w:t>
      </w:r>
    </w:p>
    <w:p w14:paraId="05AEAB4E">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5.4.2 因发包人原因造成工程不合格的，由此增加的费用和（或）延误的工期由发包人承担，并支付承包人合理的利润。</w:t>
      </w:r>
    </w:p>
    <w:p w14:paraId="7D03A692">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outlineLvl w:val="4"/>
        <w:rPr>
          <w:rFonts w:ascii="Times New Roman" w:hAnsi="Times New Roman" w:eastAsia="黑体"/>
          <w:b w:val="0"/>
          <w:color w:val="auto"/>
          <w:sz w:val="21"/>
          <w:szCs w:val="21"/>
          <w:highlight w:val="none"/>
        </w:rPr>
      </w:pPr>
      <w:bookmarkStart w:id="926" w:name="_Toc351203537"/>
      <w:r>
        <w:rPr>
          <w:rFonts w:ascii="Times New Roman" w:hAnsi="Times New Roman" w:eastAsia="黑体"/>
          <w:b w:val="0"/>
          <w:color w:val="auto"/>
          <w:sz w:val="21"/>
          <w:szCs w:val="21"/>
          <w:highlight w:val="none"/>
        </w:rPr>
        <w:t>5.5 质量争议检测</w:t>
      </w:r>
      <w:bookmarkEnd w:id="926"/>
    </w:p>
    <w:p w14:paraId="6D72B1D8">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合同当事人对工程质量有争议的，由双方协商确定的工程质量检测机构鉴定，由此产生的费用及因此造成的损失，由责任方承担。</w:t>
      </w:r>
    </w:p>
    <w:p w14:paraId="5CAB7CFA">
      <w:pPr>
        <w:pageBreakBefore w:val="0"/>
        <w:widowControl w:val="0"/>
        <w:kinsoku/>
        <w:wordWrap/>
        <w:overflowPunct/>
        <w:topLinePunct w:val="0"/>
        <w:autoSpaceDE w:val="0"/>
        <w:autoSpaceDN w:val="0"/>
        <w:bidi w:val="0"/>
        <w:adjustRightInd w:val="0"/>
        <w:snapToGrid w:val="0"/>
        <w:spacing w:line="360" w:lineRule="auto"/>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合同当事人均有责任的，由双方根据其责任分别承担。合同当事人无法达成一致的，按照第4.4款</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商定或确定</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执行。</w:t>
      </w:r>
    </w:p>
    <w:p w14:paraId="1421843F">
      <w:pPr>
        <w:pStyle w:val="5"/>
        <w:pageBreakBefore w:val="0"/>
        <w:widowControl w:val="0"/>
        <w:kinsoku/>
        <w:wordWrap/>
        <w:overflowPunct/>
        <w:topLinePunct w:val="0"/>
        <w:bidi w:val="0"/>
        <w:adjustRightInd w:val="0"/>
        <w:snapToGrid w:val="0"/>
        <w:spacing w:before="0" w:after="0" w:line="360" w:lineRule="auto"/>
        <w:textAlignment w:val="auto"/>
        <w:outlineLvl w:val="3"/>
        <w:rPr>
          <w:rFonts w:eastAsia="黑体"/>
          <w:bCs/>
          <w:color w:val="auto"/>
          <w:sz w:val="21"/>
          <w:szCs w:val="21"/>
          <w:highlight w:val="none"/>
        </w:rPr>
      </w:pPr>
      <w:bookmarkStart w:id="927" w:name="_Toc13681"/>
      <w:bookmarkStart w:id="928" w:name="_Toc351203538"/>
      <w:bookmarkStart w:id="929" w:name="_Toc14916"/>
      <w:r>
        <w:rPr>
          <w:rFonts w:eastAsia="黑体"/>
          <w:bCs/>
          <w:color w:val="auto"/>
          <w:sz w:val="21"/>
          <w:szCs w:val="21"/>
          <w:highlight w:val="none"/>
        </w:rPr>
        <w:t>6</w:t>
      </w:r>
      <w:bookmarkStart w:id="930" w:name="_Toc337558763"/>
      <w:r>
        <w:rPr>
          <w:rFonts w:eastAsia="黑体"/>
          <w:bCs/>
          <w:color w:val="auto"/>
          <w:sz w:val="21"/>
          <w:szCs w:val="21"/>
          <w:highlight w:val="none"/>
        </w:rPr>
        <w:t>. 安全文明施工与环境保护</w:t>
      </w:r>
      <w:bookmarkEnd w:id="927"/>
      <w:bookmarkEnd w:id="928"/>
      <w:bookmarkEnd w:id="929"/>
    </w:p>
    <w:bookmarkEnd w:id="930"/>
    <w:p w14:paraId="064B643E">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931" w:name="_Toc351203539"/>
      <w:r>
        <w:rPr>
          <w:rFonts w:ascii="Times New Roman" w:hAnsi="Times New Roman" w:eastAsia="黑体"/>
          <w:b w:val="0"/>
          <w:color w:val="auto"/>
          <w:sz w:val="21"/>
          <w:szCs w:val="21"/>
          <w:highlight w:val="none"/>
        </w:rPr>
        <w:t>6</w:t>
      </w:r>
      <w:bookmarkStart w:id="932" w:name="_Toc337558764"/>
      <w:r>
        <w:rPr>
          <w:rFonts w:ascii="Times New Roman" w:hAnsi="Times New Roman" w:eastAsia="黑体"/>
          <w:b w:val="0"/>
          <w:color w:val="auto"/>
          <w:sz w:val="21"/>
          <w:szCs w:val="21"/>
          <w:highlight w:val="none"/>
        </w:rPr>
        <w:t>.1安全文明施工</w:t>
      </w:r>
      <w:bookmarkEnd w:id="931"/>
    </w:p>
    <w:bookmarkEnd w:id="932"/>
    <w:p w14:paraId="281D6222">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6.1.1安全生产要求</w:t>
      </w:r>
    </w:p>
    <w:p w14:paraId="1124A335">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14:paraId="2799FE9E">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在施工过程中，如遇到突发的地质变动、事先未知的地下施工障碍等影响施工安全的紧急情况，</w:t>
      </w:r>
      <w:r>
        <w:rPr>
          <w:rFonts w:hint="eastAsia" w:ascii="Times New Roman" w:hAnsi="Times New Roman" w:eastAsia="仿宋_GB2312"/>
          <w:color w:val="auto"/>
          <w:sz w:val="21"/>
          <w:szCs w:val="21"/>
          <w:highlight w:val="none"/>
        </w:rPr>
        <w:t>承包人应及时报告监理人和发包人，</w:t>
      </w:r>
      <w:r>
        <w:rPr>
          <w:rFonts w:ascii="Times New Roman" w:hAnsi="Times New Roman" w:eastAsia="仿宋_GB2312"/>
          <w:color w:val="auto"/>
          <w:sz w:val="21"/>
          <w:szCs w:val="21"/>
          <w:highlight w:val="none"/>
        </w:rPr>
        <w:t>发包人应当及时下令停工并报</w:t>
      </w:r>
      <w:r>
        <w:rPr>
          <w:rFonts w:ascii="Times New Roman" w:hAnsi="Times New Roman" w:eastAsia="仿宋_GB2312"/>
          <w:color w:val="auto"/>
          <w:kern w:val="0"/>
          <w:sz w:val="21"/>
          <w:szCs w:val="21"/>
          <w:highlight w:val="none"/>
        </w:rPr>
        <w:t>政府有关行政管理部门</w:t>
      </w:r>
      <w:r>
        <w:rPr>
          <w:rFonts w:ascii="Times New Roman" w:hAnsi="Times New Roman" w:eastAsia="仿宋_GB2312"/>
          <w:color w:val="auto"/>
          <w:sz w:val="21"/>
          <w:szCs w:val="21"/>
          <w:highlight w:val="none"/>
        </w:rPr>
        <w:t>采取应急措施。</w:t>
      </w:r>
    </w:p>
    <w:p w14:paraId="0ECCB659">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因安全生产需要暂停施工的，按照第7.8款</w:t>
      </w:r>
      <w:r>
        <w:rPr>
          <w:rFonts w:hint="eastAsia" w:ascii="Times New Roman" w:hAnsi="Times New Roman" w:eastAsia="仿宋_GB2312"/>
          <w:color w:val="auto"/>
          <w:sz w:val="21"/>
          <w:szCs w:val="21"/>
          <w:highlight w:val="none"/>
        </w:rPr>
        <w:t>〔</w:t>
      </w:r>
      <w:r>
        <w:rPr>
          <w:rFonts w:ascii="Times New Roman" w:hAnsi="Times New Roman" w:eastAsia="仿宋_GB2312"/>
          <w:color w:val="auto"/>
          <w:sz w:val="21"/>
          <w:szCs w:val="21"/>
          <w:highlight w:val="none"/>
        </w:rPr>
        <w:t>暂停施工</w:t>
      </w:r>
      <w:r>
        <w:rPr>
          <w:rFonts w:hint="eastAsia" w:ascii="Times New Roman" w:hAnsi="Times New Roman" w:eastAsia="仿宋_GB2312"/>
          <w:color w:val="auto"/>
          <w:sz w:val="21"/>
          <w:szCs w:val="21"/>
          <w:highlight w:val="none"/>
        </w:rPr>
        <w:t>〕</w:t>
      </w:r>
      <w:r>
        <w:rPr>
          <w:rFonts w:ascii="Times New Roman" w:hAnsi="Times New Roman" w:eastAsia="仿宋_GB2312"/>
          <w:color w:val="auto"/>
          <w:sz w:val="21"/>
          <w:szCs w:val="21"/>
          <w:highlight w:val="none"/>
        </w:rPr>
        <w:t>的约定执行。</w:t>
      </w:r>
    </w:p>
    <w:p w14:paraId="72683718">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6.1.2 安全生产保证措施</w:t>
      </w:r>
    </w:p>
    <w:p w14:paraId="57DA4C3F">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Times New Roman" w:hAnsi="Times New Roman" w:eastAsia="仿宋_GB2312"/>
          <w:color w:val="auto"/>
          <w:kern w:val="0"/>
          <w:sz w:val="21"/>
          <w:szCs w:val="21"/>
          <w:highlight w:val="none"/>
        </w:rPr>
      </w:pPr>
      <w:r>
        <w:rPr>
          <w:rFonts w:ascii="Times New Roman" w:hAnsi="Times New Roman" w:eastAsia="仿宋_GB2312"/>
          <w:color w:val="auto"/>
          <w:sz w:val="21"/>
          <w:szCs w:val="21"/>
          <w:highlight w:val="none"/>
        </w:rPr>
        <w:t>承包人应当按照有关</w:t>
      </w:r>
      <w:r>
        <w:rPr>
          <w:rFonts w:ascii="Times New Roman" w:hAnsi="Times New Roman" w:eastAsia="仿宋_GB2312"/>
          <w:color w:val="auto"/>
          <w:kern w:val="0"/>
          <w:sz w:val="21"/>
          <w:szCs w:val="21"/>
          <w:highlight w:val="none"/>
        </w:rPr>
        <w:t>规定编制安全技术措施或者专项施工方案，</w:t>
      </w:r>
      <w:r>
        <w:rPr>
          <w:rFonts w:ascii="Times New Roman" w:hAnsi="Times New Roman" w:eastAsia="仿宋_GB2312"/>
          <w:color w:val="auto"/>
          <w:sz w:val="21"/>
          <w:szCs w:val="21"/>
          <w:highlight w:val="none"/>
        </w:rPr>
        <w:t>建立安全生产责任制度、治安保卫制度及安全生产教育培训制度，并</w:t>
      </w:r>
      <w:r>
        <w:rPr>
          <w:rFonts w:ascii="Times New Roman" w:hAnsi="Times New Roman" w:eastAsia="仿宋_GB2312"/>
          <w:color w:val="auto"/>
          <w:kern w:val="0"/>
          <w:sz w:val="21"/>
          <w:szCs w:val="21"/>
          <w:highlight w:val="none"/>
        </w:rPr>
        <w:t>按安全生产法律规定及合同约定履行安全职责，</w:t>
      </w:r>
      <w:r>
        <w:rPr>
          <w:rFonts w:hint="eastAsia" w:ascii="Times New Roman" w:hAnsi="Times New Roman" w:eastAsia="仿宋_GB2312"/>
          <w:color w:val="auto"/>
          <w:kern w:val="0"/>
          <w:sz w:val="21"/>
          <w:szCs w:val="21"/>
          <w:highlight w:val="none"/>
        </w:rPr>
        <w:t>如实</w:t>
      </w:r>
      <w:r>
        <w:rPr>
          <w:rFonts w:ascii="Times New Roman" w:hAnsi="Times New Roman" w:eastAsia="仿宋_GB2312"/>
          <w:color w:val="auto"/>
          <w:sz w:val="21"/>
          <w:szCs w:val="21"/>
          <w:highlight w:val="none"/>
        </w:rPr>
        <w:t>编制工程安全生产的有关记录，</w:t>
      </w:r>
      <w:r>
        <w:rPr>
          <w:rFonts w:ascii="Times New Roman" w:hAnsi="Times New Roman" w:eastAsia="仿宋_GB2312"/>
          <w:color w:val="auto"/>
          <w:kern w:val="0"/>
          <w:sz w:val="21"/>
          <w:szCs w:val="21"/>
          <w:highlight w:val="none"/>
        </w:rPr>
        <w:t>接受发包人、监理人及政府安全监督部门的检查与监督。</w:t>
      </w:r>
    </w:p>
    <w:p w14:paraId="16808E20">
      <w:pPr>
        <w:pageBreakBefore w:val="0"/>
        <w:widowControl w:val="0"/>
        <w:kinsoku/>
        <w:wordWrap/>
        <w:overflowPunct/>
        <w:topLinePunct w:val="0"/>
        <w:bidi w:val="0"/>
        <w:adjustRightInd w:val="0"/>
        <w:snapToGrid w:val="0"/>
        <w:spacing w:line="360" w:lineRule="auto"/>
        <w:ind w:firstLine="420" w:firstLineChars="200"/>
        <w:textAlignment w:val="auto"/>
        <w:rPr>
          <w:rFonts w:hint="eastAsia"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6.1.3特别安全生产事项</w:t>
      </w:r>
    </w:p>
    <w:p w14:paraId="6316E6AA">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4E84AF7D">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 xml:space="preserve">承包人在动力设备、输电线路、地下管道、密封防震车间、易燃易爆地段以及临街交通要道附近施工时，施工开始前应向发包人和监理人提出安全防护措施，经发包人认可后实施。 </w:t>
      </w:r>
    </w:p>
    <w:p w14:paraId="18532F2D">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实施爆破作业，在放射、毒害性环境中施工（含储存、运输、使用）及使用毒害性、腐蚀性物品施工时，承包人应在施工前7天以书面通知发包人和监理人，并报送相应的安全防护措施，经发包人认可后实施。</w:t>
      </w:r>
    </w:p>
    <w:p w14:paraId="3309F8CA">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需单独编制危险性较大分部分项专项工程施工方案的，及要求进行专家论证的超过一定规模的危险性较大的分部分项工程，承包人应及时编制和组织论证。</w:t>
      </w:r>
    </w:p>
    <w:p w14:paraId="4E85B793">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6.1.4 治安保卫</w:t>
      </w:r>
    </w:p>
    <w:p w14:paraId="7E5B761F">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除专用合同条款另有约定外，发包人应与当地公安部门协商，在现场建立治安管理机构或联防组织，统一管理施工场地的治安保卫事项，履行合同工程的治安保卫职责。</w:t>
      </w:r>
    </w:p>
    <w:p w14:paraId="30FBA035">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发包人和承包人除应协助现场治安管理机构或联防组织维护施工场地的社会治安外，还应做好包括生活区在内的各自管辖区的治安保卫工作。</w:t>
      </w:r>
    </w:p>
    <w:p w14:paraId="1D19CF14">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w:t>
      </w:r>
      <w:r>
        <w:rPr>
          <w:rFonts w:hint="eastAsia" w:ascii="Times New Roman" w:hAnsi="Times New Roman" w:eastAsia="仿宋_GB2312"/>
          <w:color w:val="auto"/>
          <w:sz w:val="21"/>
          <w:szCs w:val="21"/>
          <w:highlight w:val="none"/>
        </w:rPr>
        <w:t>和</w:t>
      </w:r>
      <w:r>
        <w:rPr>
          <w:rFonts w:ascii="Times New Roman" w:hAnsi="Times New Roman" w:eastAsia="仿宋_GB2312"/>
          <w:color w:val="auto"/>
          <w:sz w:val="21"/>
          <w:szCs w:val="21"/>
          <w:highlight w:val="none"/>
        </w:rPr>
        <w:t>财产损失。</w:t>
      </w:r>
    </w:p>
    <w:p w14:paraId="6B6EC9A6">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sz w:val="21"/>
          <w:szCs w:val="21"/>
          <w:highlight w:val="none"/>
        </w:rPr>
        <w:t>6.1.5 文明施工</w:t>
      </w:r>
    </w:p>
    <w:p w14:paraId="042D23BA">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承包人在工程施工期间，应当采取措施保持施工现场平整，物料堆放整齐。工程所在地有关政府行政管理部门有特殊要求的，按照其要求执行。</w:t>
      </w:r>
      <w:r>
        <w:rPr>
          <w:rFonts w:hint="eastAsia" w:ascii="Times New Roman" w:hAnsi="Times New Roman" w:eastAsia="仿宋_GB2312"/>
          <w:color w:val="auto"/>
          <w:kern w:val="0"/>
          <w:sz w:val="21"/>
          <w:szCs w:val="21"/>
          <w:highlight w:val="none"/>
        </w:rPr>
        <w:t>合同当事人对文明施工有其他要求的，可以在专用合同条款中明确。</w:t>
      </w:r>
    </w:p>
    <w:p w14:paraId="5AD0F343">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5041E1D0">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6.1.6 安全文明施工费</w:t>
      </w:r>
    </w:p>
    <w:p w14:paraId="480526DA">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安全文明施工费由发包人承担，发包人不得以任何形式扣减该部分费用。因基准日期后合同所适用的法律或政府有关规定发生变化，增加的安全文明施工费由发包人承担。</w:t>
      </w:r>
    </w:p>
    <w:p w14:paraId="72FA200D">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14:paraId="175AE750">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除专用合同条款另有约定外，发包人应在开工后28天内预付安全文明施工费总额的50%，其余部分与进度款同期支付。发包人逾期支付安全文明施工费超过7天的，承包人有权向发包人发出要求预付的催告通知，发包人收到通知后7天内仍未支付的，承包人有权暂停施工，并按第16.1.1项</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发包人违约的情形</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执行。</w:t>
      </w:r>
    </w:p>
    <w:p w14:paraId="44531A23">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14:paraId="51D1B10A">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6.1.7 紧急情况</w:t>
      </w:r>
      <w:r>
        <w:rPr>
          <w:rFonts w:hint="eastAsia" w:ascii="Times New Roman" w:hAnsi="Times New Roman" w:eastAsia="仿宋_GB2312"/>
          <w:color w:val="auto"/>
          <w:kern w:val="0"/>
          <w:sz w:val="21"/>
          <w:szCs w:val="21"/>
          <w:highlight w:val="none"/>
        </w:rPr>
        <w:t>处理</w:t>
      </w:r>
    </w:p>
    <w:p w14:paraId="2B34E566">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14:paraId="40A9667F">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6.1.8 事故处理</w:t>
      </w:r>
    </w:p>
    <w:p w14:paraId="79CBCB4C">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73D8C3A4">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6.1.9 安全生产责任</w:t>
      </w:r>
    </w:p>
    <w:p w14:paraId="5F583F07">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6.1.9.1 发包人的安全责任</w:t>
      </w:r>
    </w:p>
    <w:p w14:paraId="710E469D">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发包人应负责赔偿以下各种情况造成</w:t>
      </w:r>
      <w:r>
        <w:rPr>
          <w:rFonts w:hint="eastAsia" w:ascii="Times New Roman" w:hAnsi="Times New Roman" w:eastAsia="仿宋_GB2312"/>
          <w:color w:val="auto"/>
          <w:sz w:val="21"/>
          <w:szCs w:val="21"/>
          <w:highlight w:val="none"/>
        </w:rPr>
        <w:t>的</w:t>
      </w:r>
      <w:r>
        <w:rPr>
          <w:rFonts w:ascii="Times New Roman" w:hAnsi="Times New Roman" w:eastAsia="仿宋_GB2312"/>
          <w:color w:val="auto"/>
          <w:sz w:val="21"/>
          <w:szCs w:val="21"/>
          <w:highlight w:val="none"/>
        </w:rPr>
        <w:t>损失：</w:t>
      </w:r>
    </w:p>
    <w:p w14:paraId="432A45E9">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（1）工程或工程的任何部分对土地的占用所造成的第三者财产损失；</w:t>
      </w:r>
    </w:p>
    <w:p w14:paraId="154362A1">
      <w:pPr>
        <w:pageBreakBefore w:val="0"/>
        <w:widowControl w:val="0"/>
        <w:kinsoku/>
        <w:wordWrap/>
        <w:overflowPunct/>
        <w:topLinePunct w:val="0"/>
        <w:bidi w:val="0"/>
        <w:adjustRightInd w:val="0"/>
        <w:snapToGrid w:val="0"/>
        <w:spacing w:line="360" w:lineRule="auto"/>
        <w:ind w:firstLine="420" w:firstLineChars="200"/>
        <w:textAlignment w:val="auto"/>
        <w:rPr>
          <w:rFonts w:hint="eastAsia"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（2）由于发包人原因在施工场地及其毗邻地带造成的第三者人身伤亡和财产损失</w:t>
      </w:r>
      <w:r>
        <w:rPr>
          <w:rFonts w:hint="eastAsia" w:ascii="Times New Roman" w:hAnsi="Times New Roman" w:eastAsia="仿宋_GB2312"/>
          <w:color w:val="auto"/>
          <w:sz w:val="21"/>
          <w:szCs w:val="21"/>
          <w:highlight w:val="none"/>
        </w:rPr>
        <w:t>；</w:t>
      </w:r>
    </w:p>
    <w:p w14:paraId="04880D4A">
      <w:pPr>
        <w:pageBreakBefore w:val="0"/>
        <w:widowControl w:val="0"/>
        <w:kinsoku/>
        <w:wordWrap/>
        <w:overflowPunct/>
        <w:topLinePunct w:val="0"/>
        <w:bidi w:val="0"/>
        <w:adjustRightInd w:val="0"/>
        <w:snapToGrid w:val="0"/>
        <w:spacing w:line="360" w:lineRule="auto"/>
        <w:ind w:firstLine="420" w:firstLineChars="200"/>
        <w:textAlignment w:val="auto"/>
        <w:rPr>
          <w:rFonts w:hint="eastAsia" w:ascii="Times New Roman" w:hAnsi="Times New Roman" w:eastAsia="仿宋_GB2312"/>
          <w:color w:val="auto"/>
          <w:sz w:val="21"/>
          <w:szCs w:val="21"/>
          <w:highlight w:val="none"/>
        </w:rPr>
      </w:pPr>
      <w:r>
        <w:rPr>
          <w:rFonts w:hint="eastAsia" w:ascii="Times New Roman" w:hAnsi="Times New Roman" w:eastAsia="仿宋_GB2312"/>
          <w:color w:val="auto"/>
          <w:sz w:val="21"/>
          <w:szCs w:val="21"/>
          <w:highlight w:val="none"/>
        </w:rPr>
        <w:t>（3）由于发包人原因对承包人、监理人造成的人员人身伤亡和财产损失；</w:t>
      </w:r>
    </w:p>
    <w:p w14:paraId="139B4BA0">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hint="eastAsia" w:ascii="Times New Roman" w:hAnsi="Times New Roman" w:eastAsia="仿宋_GB2312"/>
          <w:color w:val="auto"/>
          <w:sz w:val="21"/>
          <w:szCs w:val="21"/>
          <w:highlight w:val="none"/>
        </w:rPr>
        <w:t>（4）由于发包人原因造成的发包人自身人员的人身伤害以及财产损失。</w:t>
      </w:r>
    </w:p>
    <w:p w14:paraId="617BEE5B">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6.1.9.2 承包人的安全责任</w:t>
      </w:r>
    </w:p>
    <w:p w14:paraId="297DD29D">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sz w:val="21"/>
          <w:szCs w:val="21"/>
          <w:highlight w:val="none"/>
        </w:rPr>
        <w:t>由于承包人原因在施工场地内及其毗邻地带造成的</w:t>
      </w:r>
      <w:r>
        <w:rPr>
          <w:rFonts w:hint="eastAsia" w:ascii="Times New Roman" w:hAnsi="Times New Roman" w:eastAsia="仿宋_GB2312"/>
          <w:color w:val="auto"/>
          <w:sz w:val="21"/>
          <w:szCs w:val="21"/>
          <w:highlight w:val="none"/>
        </w:rPr>
        <w:t>发包人、监理人以及</w:t>
      </w:r>
      <w:r>
        <w:rPr>
          <w:rFonts w:ascii="Times New Roman" w:hAnsi="Times New Roman" w:eastAsia="仿宋_GB2312"/>
          <w:color w:val="auto"/>
          <w:sz w:val="21"/>
          <w:szCs w:val="21"/>
          <w:highlight w:val="none"/>
        </w:rPr>
        <w:t>第三者人员伤亡和财产损失，由承包人负责赔偿。</w:t>
      </w:r>
    </w:p>
    <w:p w14:paraId="3FCAF6BA">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933" w:name="_Toc351203540"/>
      <w:r>
        <w:rPr>
          <w:rFonts w:ascii="Times New Roman" w:hAnsi="Times New Roman" w:eastAsia="黑体"/>
          <w:b w:val="0"/>
          <w:color w:val="auto"/>
          <w:sz w:val="21"/>
          <w:szCs w:val="21"/>
          <w:highlight w:val="none"/>
        </w:rPr>
        <w:t>6</w:t>
      </w:r>
      <w:bookmarkStart w:id="934" w:name="_Toc337558765"/>
      <w:r>
        <w:rPr>
          <w:rFonts w:ascii="Times New Roman" w:hAnsi="Times New Roman" w:eastAsia="黑体"/>
          <w:b w:val="0"/>
          <w:color w:val="auto"/>
          <w:sz w:val="21"/>
          <w:szCs w:val="21"/>
          <w:highlight w:val="none"/>
        </w:rPr>
        <w:t>.2 职业健康</w:t>
      </w:r>
      <w:bookmarkEnd w:id="933"/>
    </w:p>
    <w:bookmarkEnd w:id="934"/>
    <w:p w14:paraId="4E2A0564">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6.2.1 劳动保护</w:t>
      </w:r>
    </w:p>
    <w:p w14:paraId="45E21BDF">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15FC6138">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承包人应按照法律规定保障现场施工人员的劳动安全，并提供劳动保护</w:t>
      </w:r>
      <w:r>
        <w:rPr>
          <w:rFonts w:hint="eastAsia" w:eastAsia="仿宋_GB2312"/>
          <w:color w:val="auto"/>
          <w:kern w:val="0"/>
          <w:sz w:val="21"/>
          <w:szCs w:val="21"/>
          <w:highlight w:val="none"/>
          <w:lang w:eastAsia="zh-CN"/>
        </w:rPr>
        <w:t>，</w:t>
      </w:r>
      <w:r>
        <w:rPr>
          <w:rFonts w:ascii="Times New Roman" w:hAnsi="Times New Roman" w:eastAsia="仿宋_GB2312"/>
          <w:color w:val="auto"/>
          <w:kern w:val="0"/>
          <w:sz w:val="21"/>
          <w:szCs w:val="21"/>
          <w:highlight w:val="none"/>
        </w:rPr>
        <w:t>并应按国家有关劳动保护的规定，采取有效的防止粉尘、降低噪声、控制有害气体和保障高温、高寒、高空作业安全等劳动保护措施。承包人雇佣人员在施工中受到伤害的，承包人应立即采取有效措施进行抢救和治疗。</w:t>
      </w:r>
    </w:p>
    <w:p w14:paraId="4180280E">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承包人应按</w:t>
      </w:r>
      <w:r>
        <w:rPr>
          <w:rFonts w:hint="eastAsia" w:ascii="Times New Roman" w:hAnsi="Times New Roman" w:eastAsia="仿宋_GB2312"/>
          <w:color w:val="auto"/>
          <w:kern w:val="0"/>
          <w:sz w:val="21"/>
          <w:szCs w:val="21"/>
          <w:highlight w:val="none"/>
        </w:rPr>
        <w:t>法律</w:t>
      </w:r>
      <w:r>
        <w:rPr>
          <w:rFonts w:ascii="Times New Roman" w:hAnsi="Times New Roman" w:eastAsia="仿宋_GB2312"/>
          <w:color w:val="auto"/>
          <w:kern w:val="0"/>
          <w:sz w:val="21"/>
          <w:szCs w:val="21"/>
          <w:highlight w:val="none"/>
        </w:rPr>
        <w:t>规定安排工作时间，保证其雇佣人员享有休息和休假的权利。因工程施工的特殊需要占用休假日或延长工作时间的，应不超过法律规定的限度，并按法律规定给予补休或付酬。</w:t>
      </w:r>
    </w:p>
    <w:p w14:paraId="248724ED">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6.2.2 生活条件</w:t>
      </w:r>
    </w:p>
    <w:p w14:paraId="19882D2F">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承包人应为其履行合同所雇用的人员提供必要的膳宿条件和生活环境；承包人应采取有效措施预防传染病，保证施工人员的健康，并定期对施工现场、施工人员生活基地和工程进行防疫和卫生的专业检查和处理</w:t>
      </w:r>
      <w:r>
        <w:rPr>
          <w:rFonts w:hint="eastAsia" w:eastAsia="仿宋_GB2312"/>
          <w:color w:val="auto"/>
          <w:kern w:val="0"/>
          <w:sz w:val="21"/>
          <w:szCs w:val="21"/>
          <w:highlight w:val="none"/>
          <w:lang w:eastAsia="zh-CN"/>
        </w:rPr>
        <w:t>，</w:t>
      </w:r>
      <w:r>
        <w:rPr>
          <w:rFonts w:ascii="Times New Roman" w:hAnsi="Times New Roman" w:eastAsia="仿宋_GB2312"/>
          <w:color w:val="auto"/>
          <w:kern w:val="0"/>
          <w:sz w:val="21"/>
          <w:szCs w:val="21"/>
          <w:highlight w:val="none"/>
        </w:rPr>
        <w:t xml:space="preserve"> 在远离城镇的施工场地，还应配备必要的伤病防治和急救的医务人员与医疗设施。</w:t>
      </w:r>
    </w:p>
    <w:p w14:paraId="1C8F74F6">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935" w:name="_Toc351203541"/>
      <w:r>
        <w:rPr>
          <w:rFonts w:ascii="Times New Roman" w:hAnsi="Times New Roman" w:eastAsia="黑体"/>
          <w:b w:val="0"/>
          <w:color w:val="auto"/>
          <w:sz w:val="21"/>
          <w:szCs w:val="21"/>
          <w:highlight w:val="none"/>
        </w:rPr>
        <w:t>6</w:t>
      </w:r>
      <w:bookmarkStart w:id="936" w:name="_Toc337558766"/>
      <w:r>
        <w:rPr>
          <w:rFonts w:ascii="Times New Roman" w:hAnsi="Times New Roman" w:eastAsia="黑体"/>
          <w:b w:val="0"/>
          <w:color w:val="auto"/>
          <w:sz w:val="21"/>
          <w:szCs w:val="21"/>
          <w:highlight w:val="none"/>
        </w:rPr>
        <w:t>.3 环境保护</w:t>
      </w:r>
      <w:bookmarkEnd w:id="935"/>
    </w:p>
    <w:bookmarkEnd w:id="936"/>
    <w:p w14:paraId="36FBA04D">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承包人应在施工组织设计中列明环境保护的具体措施。在合同履行期间，承包人应采取合理措施保护施工现场环境。对施工作业过程中可能引起的大气、水、噪音以及固体废物污染采取具体可行的防范措施。</w:t>
      </w:r>
    </w:p>
    <w:p w14:paraId="0C222266">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承包人应当承担因其原因引起的环境污染侵权损害赔偿责任，因上述环境污染引起纠纷而导致暂停施工的，由此增加的费用和（或）延误的工期由承包人承担。</w:t>
      </w:r>
    </w:p>
    <w:p w14:paraId="42DA5A23">
      <w:pPr>
        <w:pStyle w:val="5"/>
        <w:pageBreakBefore w:val="0"/>
        <w:widowControl w:val="0"/>
        <w:kinsoku/>
        <w:wordWrap/>
        <w:overflowPunct/>
        <w:topLinePunct w:val="0"/>
        <w:bidi w:val="0"/>
        <w:adjustRightInd w:val="0"/>
        <w:snapToGrid w:val="0"/>
        <w:spacing w:before="0" w:after="0" w:line="360" w:lineRule="auto"/>
        <w:textAlignment w:val="auto"/>
        <w:outlineLvl w:val="3"/>
        <w:rPr>
          <w:rFonts w:eastAsia="黑体"/>
          <w:bCs/>
          <w:color w:val="auto"/>
          <w:sz w:val="21"/>
          <w:szCs w:val="21"/>
          <w:highlight w:val="none"/>
        </w:rPr>
      </w:pPr>
      <w:bookmarkStart w:id="937" w:name="_Toc22444"/>
      <w:bookmarkStart w:id="938" w:name="_Toc351203542"/>
      <w:bookmarkStart w:id="939" w:name="_Toc2252"/>
      <w:r>
        <w:rPr>
          <w:rFonts w:eastAsia="黑体"/>
          <w:bCs/>
          <w:color w:val="auto"/>
          <w:sz w:val="21"/>
          <w:szCs w:val="21"/>
          <w:highlight w:val="none"/>
        </w:rPr>
        <w:t>7</w:t>
      </w:r>
      <w:bookmarkStart w:id="940" w:name="_Toc337558767"/>
      <w:r>
        <w:rPr>
          <w:rFonts w:eastAsia="黑体"/>
          <w:bCs/>
          <w:color w:val="auto"/>
          <w:sz w:val="21"/>
          <w:szCs w:val="21"/>
          <w:highlight w:val="none"/>
        </w:rPr>
        <w:t>. 工期和进度</w:t>
      </w:r>
      <w:bookmarkEnd w:id="937"/>
      <w:bookmarkEnd w:id="938"/>
      <w:bookmarkEnd w:id="939"/>
    </w:p>
    <w:bookmarkEnd w:id="940"/>
    <w:p w14:paraId="531F55DC">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941" w:name="_Toc351203543"/>
      <w:r>
        <w:rPr>
          <w:rFonts w:ascii="Times New Roman" w:hAnsi="Times New Roman" w:eastAsia="黑体"/>
          <w:b w:val="0"/>
          <w:color w:val="auto"/>
          <w:sz w:val="21"/>
          <w:szCs w:val="21"/>
          <w:highlight w:val="none"/>
        </w:rPr>
        <w:t>7</w:t>
      </w:r>
      <w:bookmarkStart w:id="942" w:name="_Toc337558768"/>
      <w:bookmarkStart w:id="943" w:name="_Toc296346567"/>
      <w:bookmarkStart w:id="944" w:name="_Toc296503066"/>
      <w:r>
        <w:rPr>
          <w:rFonts w:ascii="Times New Roman" w:hAnsi="Times New Roman" w:eastAsia="黑体"/>
          <w:b w:val="0"/>
          <w:color w:val="auto"/>
          <w:sz w:val="21"/>
          <w:szCs w:val="21"/>
          <w:highlight w:val="none"/>
        </w:rPr>
        <w:t>.1施工组织设计</w:t>
      </w:r>
      <w:bookmarkEnd w:id="941"/>
    </w:p>
    <w:bookmarkEnd w:id="942"/>
    <w:p w14:paraId="58607047">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sz w:val="21"/>
          <w:szCs w:val="21"/>
          <w:highlight w:val="none"/>
        </w:rPr>
        <w:t xml:space="preserve">7.1.1 </w:t>
      </w:r>
      <w:r>
        <w:rPr>
          <w:rFonts w:ascii="Times New Roman" w:hAnsi="Times New Roman" w:eastAsia="仿宋_GB2312"/>
          <w:color w:val="auto"/>
          <w:kern w:val="0"/>
          <w:sz w:val="21"/>
          <w:szCs w:val="21"/>
          <w:highlight w:val="none"/>
        </w:rPr>
        <w:t>施工组织设计的内容</w:t>
      </w:r>
    </w:p>
    <w:p w14:paraId="3AA00EF3">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施工组织设计应包含以下内容：</w:t>
      </w:r>
    </w:p>
    <w:p w14:paraId="10E5581A">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 xml:space="preserve">（1）施工方案； </w:t>
      </w:r>
    </w:p>
    <w:p w14:paraId="75D6D4AD">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（2）施工现场平面布置图；</w:t>
      </w:r>
    </w:p>
    <w:p w14:paraId="4A36D4DE">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 xml:space="preserve">（3）施工进度计划和保证措施； </w:t>
      </w:r>
    </w:p>
    <w:p w14:paraId="510E448A">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（4）劳动力及材料供应计划；</w:t>
      </w:r>
    </w:p>
    <w:p w14:paraId="0C21A55E">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（5）施工机械设备的选用；</w:t>
      </w:r>
    </w:p>
    <w:p w14:paraId="75A495D4">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（6）质量保证体系及措施；</w:t>
      </w:r>
    </w:p>
    <w:p w14:paraId="6F6CA8D0">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（7）安全生产、文明施工措施；</w:t>
      </w:r>
    </w:p>
    <w:p w14:paraId="4C02618D">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（8）环境保护、成本控制措施</w:t>
      </w:r>
      <w:r>
        <w:rPr>
          <w:rFonts w:hint="eastAsia" w:ascii="Times New Roman" w:hAnsi="Times New Roman" w:eastAsia="仿宋_GB2312"/>
          <w:color w:val="auto"/>
          <w:kern w:val="0"/>
          <w:sz w:val="21"/>
          <w:szCs w:val="21"/>
          <w:highlight w:val="none"/>
        </w:rPr>
        <w:t>；</w:t>
      </w:r>
    </w:p>
    <w:p w14:paraId="7840D103">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hint="eastAsia" w:ascii="Times New Roman" w:hAnsi="Times New Roman" w:eastAsia="仿宋_GB2312"/>
          <w:color w:val="auto"/>
          <w:kern w:val="0"/>
          <w:sz w:val="21"/>
          <w:szCs w:val="21"/>
          <w:highlight w:val="none"/>
        </w:rPr>
        <w:t>（9）合同当事人约定的其他内容</w:t>
      </w:r>
      <w:r>
        <w:rPr>
          <w:rFonts w:ascii="Times New Roman" w:hAnsi="Times New Roman" w:eastAsia="仿宋_GB2312"/>
          <w:color w:val="auto"/>
          <w:kern w:val="0"/>
          <w:sz w:val="21"/>
          <w:szCs w:val="21"/>
          <w:highlight w:val="none"/>
        </w:rPr>
        <w:t>。</w:t>
      </w:r>
    </w:p>
    <w:p w14:paraId="4F29A826">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sz w:val="21"/>
          <w:szCs w:val="21"/>
          <w:highlight w:val="none"/>
        </w:rPr>
        <w:t xml:space="preserve">7.1.2 </w:t>
      </w:r>
      <w:r>
        <w:rPr>
          <w:rFonts w:ascii="Times New Roman" w:hAnsi="Times New Roman" w:eastAsia="仿宋_GB2312"/>
          <w:color w:val="auto"/>
          <w:kern w:val="0"/>
          <w:sz w:val="21"/>
          <w:szCs w:val="21"/>
          <w:highlight w:val="none"/>
        </w:rPr>
        <w:t>施工组织设计的提交和修改</w:t>
      </w:r>
    </w:p>
    <w:p w14:paraId="6EFA0B51">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除专用合同条款另有约定外，承包人应在合同签订后14天内，但至迟不得晚于第7.3.2项</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开工通知</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载明的开工日期前7天，向监理人提交详细的施工组织设计，并由监理人报送发包人。</w:t>
      </w:r>
      <w:r>
        <w:rPr>
          <w:rFonts w:hint="eastAsia" w:ascii="Times New Roman" w:hAnsi="Times New Roman" w:eastAsia="仿宋_GB2312"/>
          <w:color w:val="auto"/>
          <w:kern w:val="0"/>
          <w:sz w:val="21"/>
          <w:szCs w:val="21"/>
          <w:highlight w:val="none"/>
        </w:rPr>
        <w:t>除专用合同条款另有约定外，发包人和监理人应在监理人收到施工组织设计后7天内确认或提出修改意见</w:t>
      </w:r>
      <w:r>
        <w:rPr>
          <w:rFonts w:ascii="Times New Roman" w:hAnsi="Times New Roman" w:eastAsia="仿宋_GB2312"/>
          <w:color w:val="auto"/>
          <w:kern w:val="0"/>
          <w:sz w:val="21"/>
          <w:szCs w:val="21"/>
          <w:highlight w:val="none"/>
        </w:rPr>
        <w:t>。对发包人和监理人提出的合理意见和要求，承包人应自费修改完善。根据工程实际情况需要修改施工组织设计的，承包人应向发包人和监理人提交修改后的施工组织设计。</w:t>
      </w:r>
    </w:p>
    <w:p w14:paraId="7317D4C6">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施工进度计划的编制和修改按照第7.2款</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施工进度计划</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执行。</w:t>
      </w:r>
    </w:p>
    <w:p w14:paraId="297E7AC3">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945" w:name="_Toc351203544"/>
      <w:r>
        <w:rPr>
          <w:rFonts w:ascii="Times New Roman" w:hAnsi="Times New Roman" w:eastAsia="黑体"/>
          <w:b w:val="0"/>
          <w:color w:val="auto"/>
          <w:sz w:val="21"/>
          <w:szCs w:val="21"/>
          <w:highlight w:val="none"/>
        </w:rPr>
        <w:t>7</w:t>
      </w:r>
      <w:bookmarkStart w:id="946" w:name="_Toc337558769"/>
      <w:r>
        <w:rPr>
          <w:rFonts w:ascii="Times New Roman" w:hAnsi="Times New Roman" w:eastAsia="黑体"/>
          <w:b w:val="0"/>
          <w:color w:val="auto"/>
          <w:sz w:val="21"/>
          <w:szCs w:val="21"/>
          <w:highlight w:val="none"/>
        </w:rPr>
        <w:t>.2 施工进度计划</w:t>
      </w:r>
      <w:bookmarkEnd w:id="945"/>
    </w:p>
    <w:bookmarkEnd w:id="946"/>
    <w:p w14:paraId="52E81D58">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7.2.1 施工进度计划的编制</w:t>
      </w:r>
    </w:p>
    <w:p w14:paraId="13050948">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承包人应按照第7.1款</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施工组织设计</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14:paraId="29CDA4DB">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sz w:val="21"/>
          <w:szCs w:val="21"/>
          <w:highlight w:val="none"/>
        </w:rPr>
        <w:t>7.2.2 施工进度计划的修订</w:t>
      </w:r>
    </w:p>
    <w:p w14:paraId="253CEE3A">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7天内完成审核和批准或提出修改意见。发包人和监理人对承包人提交的施工进度计划的确认，不能减轻或免除承包人根据法律规定和合同约定应承担的任何责任或义务。</w:t>
      </w:r>
    </w:p>
    <w:p w14:paraId="3294576F">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947" w:name="_Toc351203545"/>
      <w:r>
        <w:rPr>
          <w:rFonts w:ascii="Times New Roman" w:hAnsi="Times New Roman" w:eastAsia="黑体"/>
          <w:b w:val="0"/>
          <w:color w:val="auto"/>
          <w:sz w:val="21"/>
          <w:szCs w:val="21"/>
          <w:highlight w:val="none"/>
        </w:rPr>
        <w:t>7</w:t>
      </w:r>
      <w:bookmarkStart w:id="948" w:name="_Toc337558770"/>
      <w:r>
        <w:rPr>
          <w:rFonts w:ascii="Times New Roman" w:hAnsi="Times New Roman" w:eastAsia="黑体"/>
          <w:b w:val="0"/>
          <w:color w:val="auto"/>
          <w:sz w:val="21"/>
          <w:szCs w:val="21"/>
          <w:highlight w:val="none"/>
        </w:rPr>
        <w:t>.3 开工</w:t>
      </w:r>
      <w:bookmarkEnd w:id="947"/>
    </w:p>
    <w:p w14:paraId="38F161DE">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kern w:val="0"/>
          <w:sz w:val="21"/>
          <w:szCs w:val="21"/>
          <w:highlight w:val="none"/>
        </w:rPr>
        <w:t>7.3.1 开工准备</w:t>
      </w:r>
    </w:p>
    <w:p w14:paraId="2AE02C61">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除专用合同条款另有约定外，承包人应按照第7.1款</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施工组织设计</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14:paraId="34DC827D">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除专用合同条款另有约定外，合同当事人应按约定完成开工准备工作。</w:t>
      </w:r>
    </w:p>
    <w:p w14:paraId="5D8DAA6C">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7.3.2 开工通知</w:t>
      </w:r>
    </w:p>
    <w:bookmarkEnd w:id="948"/>
    <w:p w14:paraId="3980D6E7">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发包人应按照法律规定获得工程施工所需的许可。经发包人同意后，监理人发出的开工通知应符合法律规定。监理人应在计划开工日期7天前向承包人发出开工通知，工期自开工通知中载明的开工日期起算。</w:t>
      </w:r>
    </w:p>
    <w:p w14:paraId="3FCD3D04">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除专用合同条款另有约定外，因发包人原因造成监理人未能在计划开工日期之日起90天内发出开工通知的，承包人有权提出价格调整要求，或者解除合同。发包人应当承担由此增加的费用和（或）延误的工期，并向承包人支付合理利润。</w:t>
      </w:r>
    </w:p>
    <w:p w14:paraId="38C86F53">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949" w:name="_Toc351203546"/>
      <w:r>
        <w:rPr>
          <w:rFonts w:ascii="Times New Roman" w:hAnsi="Times New Roman" w:eastAsia="黑体"/>
          <w:b w:val="0"/>
          <w:color w:val="auto"/>
          <w:sz w:val="21"/>
          <w:szCs w:val="21"/>
          <w:highlight w:val="none"/>
        </w:rPr>
        <w:t>7.4测量放线</w:t>
      </w:r>
      <w:bookmarkEnd w:id="949"/>
    </w:p>
    <w:p w14:paraId="35A8D35C">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7.4.1 除专用合同条款另有约定外，发包人应在至迟不得晚于第7.3.2项</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开工通知</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载明的开工日期前7天通过监理人向承包人提供测量基准点、基准线和水准点及其书面资料。发包人应对其提供的测量基准点、基准线和水准点及其书面资料的真实性、准确性和完整性负责。</w:t>
      </w:r>
    </w:p>
    <w:p w14:paraId="3540F554">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14:paraId="7A014C6D">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7.4.2 承包人负责施工过程中的全部施工测量放线工作，并配置具有相应资质的人员、合格的仪器、设备和其他物品。承包人应矫正工程的位置、标高、尺寸或准线中出现的任何差错，并对工程各部分的定位负责。</w:t>
      </w:r>
    </w:p>
    <w:p w14:paraId="25A4C7FB">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施工过程中对施工现场内水准点等测量标志物的保护工作由承包人负责。</w:t>
      </w:r>
      <w:bookmarkStart w:id="950" w:name="_Toc351203547"/>
    </w:p>
    <w:p w14:paraId="7C405A01">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r>
        <w:rPr>
          <w:rFonts w:ascii="Times New Roman" w:hAnsi="Times New Roman" w:eastAsia="黑体"/>
          <w:b w:val="0"/>
          <w:color w:val="auto"/>
          <w:sz w:val="21"/>
          <w:szCs w:val="21"/>
          <w:highlight w:val="none"/>
        </w:rPr>
        <w:t>7</w:t>
      </w:r>
      <w:bookmarkEnd w:id="943"/>
      <w:bookmarkEnd w:id="944"/>
      <w:bookmarkStart w:id="951" w:name="_Toc296346574"/>
      <w:bookmarkStart w:id="952" w:name="_Toc296503073"/>
      <w:bookmarkStart w:id="953" w:name="_Toc337558772"/>
      <w:r>
        <w:rPr>
          <w:rFonts w:ascii="Times New Roman" w:hAnsi="Times New Roman" w:eastAsia="黑体"/>
          <w:b w:val="0"/>
          <w:color w:val="auto"/>
          <w:sz w:val="21"/>
          <w:szCs w:val="21"/>
          <w:highlight w:val="none"/>
        </w:rPr>
        <w:t>.5</w:t>
      </w:r>
      <w:r>
        <w:rPr>
          <w:rFonts w:hint="eastAsia" w:ascii="Times New Roman" w:hAnsi="Times New Roman" w:eastAsia="黑体"/>
          <w:b w:val="0"/>
          <w:color w:val="auto"/>
          <w:sz w:val="21"/>
          <w:szCs w:val="21"/>
          <w:highlight w:val="none"/>
        </w:rPr>
        <w:t xml:space="preserve"> </w:t>
      </w:r>
      <w:r>
        <w:rPr>
          <w:rFonts w:ascii="Times New Roman" w:hAnsi="Times New Roman" w:eastAsia="黑体"/>
          <w:b w:val="0"/>
          <w:color w:val="auto"/>
          <w:sz w:val="21"/>
          <w:szCs w:val="21"/>
          <w:highlight w:val="none"/>
        </w:rPr>
        <w:t>工期延误</w:t>
      </w:r>
      <w:bookmarkEnd w:id="950"/>
    </w:p>
    <w:bookmarkEnd w:id="951"/>
    <w:bookmarkEnd w:id="952"/>
    <w:bookmarkEnd w:id="953"/>
    <w:p w14:paraId="7328430C">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7.5.1 因发包人原因导致工期延误</w:t>
      </w:r>
    </w:p>
    <w:p w14:paraId="42CDAF99">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 xml:space="preserve">在合同履行过程中，因下列情况导致工期延误和（或）费用增加的，由发包人承担由此延误的工期和（或）增加的费用，且发包人应支付承包人合理的利润： </w:t>
      </w:r>
    </w:p>
    <w:p w14:paraId="40482151">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（1）发包人未能按合同约定提供图纸或所提供图纸不符合合同约定的；</w:t>
      </w:r>
    </w:p>
    <w:p w14:paraId="60BBBF58">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（2）发包人未能按合同约定提供施工现场、施工条件、基础资料、许可、批准等开工条件的；</w:t>
      </w:r>
    </w:p>
    <w:p w14:paraId="13B8D8E2">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（3）发包人提供的测量基准点、基准线和水准点及其书面资料存在错误或疏漏的；</w:t>
      </w:r>
    </w:p>
    <w:p w14:paraId="178D3ED5">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（4）发包人未能在计划开工日期之日起7天内同意下达开工通知的；</w:t>
      </w:r>
    </w:p>
    <w:p w14:paraId="27459075">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（5）发包人未能按合同约定日期支付工程预付款、进度款或竣工结算款的；</w:t>
      </w:r>
    </w:p>
    <w:p w14:paraId="4A385466">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（6）监理人未按合同约定发出指示、批准等文件的；</w:t>
      </w:r>
    </w:p>
    <w:p w14:paraId="3F46F94C">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（7）专用合同条款中约定的其他情形。</w:t>
      </w:r>
    </w:p>
    <w:p w14:paraId="158E3427">
      <w:pPr>
        <w:pageBreakBefore w:val="0"/>
        <w:widowControl w:val="0"/>
        <w:kinsoku/>
        <w:wordWrap/>
        <w:overflowPunct/>
        <w:topLinePunct w:val="0"/>
        <w:bidi w:val="0"/>
        <w:adjustRightInd w:val="0"/>
        <w:snapToGrid w:val="0"/>
        <w:spacing w:line="360" w:lineRule="auto"/>
        <w:ind w:firstLine="420" w:firstLineChars="200"/>
        <w:jc w:val="left"/>
        <w:textAlignment w:val="auto"/>
        <w:rPr>
          <w:rFonts w:hint="eastAsia"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因发包人原因未按计划开工日期开工的，发包人应按实际开工日期顺延竣工日期，确保实际工期不低于合同约定的工期总日历天数。因发包人原因导致工期延误需要修订施工进度计划的，按照第7.2.2项</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施工进度计划的修订</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执行。</w:t>
      </w:r>
    </w:p>
    <w:p w14:paraId="72628661">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kern w:val="0"/>
          <w:sz w:val="21"/>
          <w:szCs w:val="21"/>
          <w:highlight w:val="none"/>
        </w:rPr>
        <w:t>7.5.2 因承包人原因导致工期延误</w:t>
      </w:r>
    </w:p>
    <w:p w14:paraId="621AA060">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bookmarkStart w:id="954" w:name="_Toc296346577"/>
      <w:bookmarkStart w:id="955" w:name="_Toc296503076"/>
      <w:r>
        <w:rPr>
          <w:rFonts w:ascii="Times New Roman" w:hAnsi="Times New Roman" w:eastAsia="仿宋_GB2312"/>
          <w:color w:val="auto"/>
          <w:kern w:val="0"/>
          <w:sz w:val="21"/>
          <w:szCs w:val="21"/>
          <w:highlight w:val="none"/>
        </w:rPr>
        <w:t>因</w:t>
      </w:r>
      <w:bookmarkEnd w:id="954"/>
      <w:bookmarkEnd w:id="955"/>
      <w:r>
        <w:rPr>
          <w:rFonts w:ascii="Times New Roman" w:hAnsi="Times New Roman" w:eastAsia="仿宋_GB2312"/>
          <w:color w:val="auto"/>
          <w:kern w:val="0"/>
          <w:sz w:val="21"/>
          <w:szCs w:val="21"/>
          <w:highlight w:val="none"/>
        </w:rPr>
        <w:t>承包人原因造成工期延误的，可以在专用合同条款中约定逾期竣工违约金的计算方法和逾期竣工违约金的上限。承包人支付逾期竣工违约金后，不免除承包人继续完成工程及修补缺陷的义务。</w:t>
      </w:r>
    </w:p>
    <w:p w14:paraId="3DA4696D">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956" w:name="_Toc351203548"/>
      <w:r>
        <w:rPr>
          <w:rFonts w:ascii="Times New Roman" w:hAnsi="Times New Roman" w:eastAsia="黑体"/>
          <w:b w:val="0"/>
          <w:color w:val="auto"/>
          <w:sz w:val="21"/>
          <w:szCs w:val="21"/>
          <w:highlight w:val="none"/>
        </w:rPr>
        <w:t>7</w:t>
      </w:r>
      <w:bookmarkStart w:id="957" w:name="_Toc337558773"/>
      <w:bookmarkStart w:id="958" w:name="_Toc296346575"/>
      <w:bookmarkStart w:id="959" w:name="_Toc296503074"/>
      <w:bookmarkStart w:id="960" w:name="_Toc296346578"/>
      <w:bookmarkStart w:id="961" w:name="_Toc296503077"/>
      <w:r>
        <w:rPr>
          <w:rFonts w:ascii="Times New Roman" w:hAnsi="Times New Roman" w:eastAsia="黑体"/>
          <w:b w:val="0"/>
          <w:color w:val="auto"/>
          <w:sz w:val="21"/>
          <w:szCs w:val="21"/>
          <w:highlight w:val="none"/>
        </w:rPr>
        <w:t>.6 不利物质条件</w:t>
      </w:r>
      <w:bookmarkEnd w:id="956"/>
    </w:p>
    <w:bookmarkEnd w:id="957"/>
    <w:bookmarkEnd w:id="958"/>
    <w:bookmarkEnd w:id="959"/>
    <w:p w14:paraId="1B18A3F9">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不利物质条件是指有经验的承包人在施工现场遇到的不可预见的自然物质条件、非自然的物质障碍和污染物，包括地表以下物质条件和水文条件以及专用合同条款约定的其他情形，但不包括气候条件。</w:t>
      </w:r>
    </w:p>
    <w:p w14:paraId="227CFF8B">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10条</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变更</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约定执行。承包人因采取合理措施而增加的费用和（或）延误的工期由发包人承担。</w:t>
      </w:r>
    </w:p>
    <w:p w14:paraId="3FAA3AE7">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962" w:name="_Toc351203549"/>
      <w:r>
        <w:rPr>
          <w:rFonts w:ascii="Times New Roman" w:hAnsi="Times New Roman" w:eastAsia="黑体"/>
          <w:b w:val="0"/>
          <w:color w:val="auto"/>
          <w:sz w:val="21"/>
          <w:szCs w:val="21"/>
          <w:highlight w:val="none"/>
        </w:rPr>
        <w:t>7</w:t>
      </w:r>
      <w:bookmarkStart w:id="963" w:name="_Toc296503075"/>
      <w:bookmarkStart w:id="964" w:name="_Toc296346576"/>
      <w:bookmarkStart w:id="965" w:name="_Toc337558774"/>
      <w:r>
        <w:rPr>
          <w:rFonts w:ascii="Times New Roman" w:hAnsi="Times New Roman" w:eastAsia="黑体"/>
          <w:b w:val="0"/>
          <w:color w:val="auto"/>
          <w:sz w:val="21"/>
          <w:szCs w:val="21"/>
          <w:highlight w:val="none"/>
        </w:rPr>
        <w:t>.7</w:t>
      </w:r>
      <w:r>
        <w:rPr>
          <w:rFonts w:hint="eastAsia" w:ascii="Times New Roman" w:hAnsi="Times New Roman" w:eastAsia="黑体"/>
          <w:b w:val="0"/>
          <w:color w:val="auto"/>
          <w:sz w:val="21"/>
          <w:szCs w:val="21"/>
          <w:highlight w:val="none"/>
        </w:rPr>
        <w:t xml:space="preserve"> </w:t>
      </w:r>
      <w:r>
        <w:rPr>
          <w:rFonts w:ascii="Times New Roman" w:hAnsi="Times New Roman" w:eastAsia="黑体"/>
          <w:b w:val="0"/>
          <w:color w:val="auto"/>
          <w:sz w:val="21"/>
          <w:szCs w:val="21"/>
          <w:highlight w:val="none"/>
        </w:rPr>
        <w:t>异常恶劣的气候条件</w:t>
      </w:r>
      <w:bookmarkEnd w:id="962"/>
    </w:p>
    <w:bookmarkEnd w:id="963"/>
    <w:bookmarkEnd w:id="964"/>
    <w:bookmarkEnd w:id="965"/>
    <w:p w14:paraId="54D2D01E">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14:paraId="6B2E610C">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承包人应采取克服异常恶劣的气候条件的合理措施继续施工，并及时通知发包人和监理人。监理人经发包人同意后应当及时发出指示，指示构成变更的，按第10条</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变更</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约定办理。承包人因采取合理措施而增加的费用和（或）延误的工期由发包人承担。</w:t>
      </w:r>
      <w:bookmarkStart w:id="966" w:name="_Toc351203550"/>
    </w:p>
    <w:p w14:paraId="41502E7E">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outlineLvl w:val="4"/>
        <w:rPr>
          <w:rFonts w:ascii="Times New Roman" w:hAnsi="Times New Roman" w:eastAsia="黑体"/>
          <w:bCs/>
          <w:color w:val="auto"/>
          <w:sz w:val="21"/>
          <w:szCs w:val="21"/>
          <w:highlight w:val="none"/>
        </w:rPr>
      </w:pPr>
      <w:bookmarkStart w:id="967" w:name="_Toc24427"/>
      <w:r>
        <w:rPr>
          <w:rFonts w:ascii="Times New Roman" w:hAnsi="Times New Roman" w:eastAsia="黑体"/>
          <w:bCs/>
          <w:color w:val="auto"/>
          <w:sz w:val="21"/>
          <w:szCs w:val="21"/>
          <w:highlight w:val="none"/>
        </w:rPr>
        <w:t>7</w:t>
      </w:r>
      <w:bookmarkStart w:id="968" w:name="_Toc337558775"/>
      <w:r>
        <w:rPr>
          <w:rFonts w:ascii="Times New Roman" w:hAnsi="Times New Roman" w:eastAsia="黑体"/>
          <w:bCs/>
          <w:color w:val="auto"/>
          <w:sz w:val="21"/>
          <w:szCs w:val="21"/>
          <w:highlight w:val="none"/>
        </w:rPr>
        <w:t>.8</w:t>
      </w:r>
      <w:r>
        <w:rPr>
          <w:rFonts w:hint="eastAsia" w:ascii="Times New Roman" w:hAnsi="Times New Roman" w:eastAsia="黑体"/>
          <w:bCs/>
          <w:color w:val="auto"/>
          <w:sz w:val="21"/>
          <w:szCs w:val="21"/>
          <w:highlight w:val="none"/>
        </w:rPr>
        <w:t xml:space="preserve"> </w:t>
      </w:r>
      <w:r>
        <w:rPr>
          <w:rFonts w:ascii="Times New Roman" w:hAnsi="Times New Roman" w:eastAsia="黑体"/>
          <w:bCs/>
          <w:color w:val="auto"/>
          <w:sz w:val="21"/>
          <w:szCs w:val="21"/>
          <w:highlight w:val="none"/>
        </w:rPr>
        <w:t>暂停施工</w:t>
      </w:r>
      <w:bookmarkEnd w:id="966"/>
      <w:bookmarkEnd w:id="967"/>
    </w:p>
    <w:bookmarkEnd w:id="960"/>
    <w:bookmarkEnd w:id="961"/>
    <w:bookmarkEnd w:id="968"/>
    <w:p w14:paraId="0CFFC68C">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7.8.1发包人原因引起的暂停施工</w:t>
      </w:r>
    </w:p>
    <w:p w14:paraId="36AB2EB9">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因发包人原因引起暂停施工的，监理人经发包人同意后，应及时下达暂停施工指示。情况紧急且监理人未及时下达暂停施工指示的，按照第7.8.4项</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紧急情况下的暂停施工</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执行。</w:t>
      </w:r>
    </w:p>
    <w:p w14:paraId="7D836C2A">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因发包人原因引起的暂停施工，发包人应承担由此增加的费用和（或）延误的工期，并支付承包人合理的利润。</w:t>
      </w:r>
    </w:p>
    <w:p w14:paraId="5B3D4804">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7.8.2 承包人原因引起的暂停施工</w:t>
      </w:r>
    </w:p>
    <w:p w14:paraId="32AADE02">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因承包人原因引起的暂停施工，承包人应承担由此增加的费用和（或）延误的工期，且承包人在收到监理人复工指示后</w:t>
      </w:r>
      <w:r>
        <w:rPr>
          <w:rFonts w:hint="eastAsia" w:ascii="Times New Roman" w:hAnsi="Times New Roman" w:eastAsia="仿宋_GB2312"/>
          <w:color w:val="auto"/>
          <w:kern w:val="0"/>
          <w:sz w:val="21"/>
          <w:szCs w:val="21"/>
          <w:highlight w:val="none"/>
        </w:rPr>
        <w:t>84</w:t>
      </w:r>
      <w:r>
        <w:rPr>
          <w:rFonts w:ascii="Times New Roman" w:hAnsi="Times New Roman" w:eastAsia="仿宋_GB2312"/>
          <w:color w:val="auto"/>
          <w:kern w:val="0"/>
          <w:sz w:val="21"/>
          <w:szCs w:val="21"/>
          <w:highlight w:val="none"/>
        </w:rPr>
        <w:t>天内仍未复工的，视为第16.2.1项</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承包人违约的情形</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第（7）目约定的承包人无法继续履行合同的情形。</w:t>
      </w:r>
    </w:p>
    <w:p w14:paraId="71878CD2">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7.8.3 指示暂停施工</w:t>
      </w:r>
    </w:p>
    <w:p w14:paraId="5993330D">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监理人认为有必要时，并经发包人批准后，可向承包人作出暂停施工的指示，承包人应按监理人指示暂停施工。</w:t>
      </w:r>
    </w:p>
    <w:p w14:paraId="4DE40EB6">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7.8.4 紧急情况下的暂停施工</w:t>
      </w:r>
    </w:p>
    <w:p w14:paraId="641024B0">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因紧急情况需暂停施工，且监理人未及时下达暂停施工指示的，承包人可先暂停施工，并及时通知监理人。监理人应在接到通知后24小时内发出指示，逾期未发出指示，视为同意承包人暂停施工。监理人不同意承包人暂停施工的，应说明理由，承包人对监理人的答复有异议，按照第20条</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争议解决</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约定处理。</w:t>
      </w:r>
    </w:p>
    <w:p w14:paraId="753D312D">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7.8.5 暂停施工后的复工</w:t>
      </w:r>
    </w:p>
    <w:p w14:paraId="47B93B41">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14:paraId="4EF8DE0E">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承包人无故拖延和拒绝复工的，承包人承担由此增加的费用和（或）延误的工期；因发包人原因无法按时复工的，按照第7.5.1项</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因发包人原因导致工期延误</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约定办理。</w:t>
      </w:r>
    </w:p>
    <w:p w14:paraId="1427F830">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7.8.6 暂停施工持续56天以上</w:t>
      </w:r>
    </w:p>
    <w:p w14:paraId="646E288C">
      <w:pPr>
        <w:pageBreakBefore w:val="0"/>
        <w:widowControl w:val="0"/>
        <w:kinsoku/>
        <w:wordWrap/>
        <w:overflowPunct/>
        <w:topLinePunct w:val="0"/>
        <w:bidi w:val="0"/>
        <w:adjustRightInd w:val="0"/>
        <w:snapToGrid w:val="0"/>
        <w:spacing w:line="360" w:lineRule="auto"/>
        <w:ind w:firstLine="409" w:firstLineChars="195"/>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监理人发出暂停施工指示后56天内未向承包人发出复工通知，除该项停工属于第7.8.2项</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承包人原因引起的暂停施工</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及第17条</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不可抗力</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约定的情形外，承包人可向发包人提交书面通知，要求发包人在收到书面通知后28天内准许已暂停施工的部分或全部工程继续施工。发包人逾期不予批准的，则承包人可以通知发包人，将工程受影响的部分视为按第10.1款</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变更的范围</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第（2）项的可取消工作。</w:t>
      </w:r>
    </w:p>
    <w:p w14:paraId="739521BF">
      <w:pPr>
        <w:pageBreakBefore w:val="0"/>
        <w:widowControl w:val="0"/>
        <w:kinsoku/>
        <w:wordWrap/>
        <w:overflowPunct/>
        <w:topLinePunct w:val="0"/>
        <w:bidi w:val="0"/>
        <w:adjustRightInd w:val="0"/>
        <w:snapToGrid w:val="0"/>
        <w:spacing w:line="360" w:lineRule="auto"/>
        <w:ind w:firstLine="409" w:firstLineChars="195"/>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暂停施工持续</w:t>
      </w:r>
      <w:r>
        <w:rPr>
          <w:rFonts w:hint="eastAsia" w:ascii="Times New Roman" w:hAnsi="Times New Roman" w:eastAsia="仿宋_GB2312"/>
          <w:color w:val="auto"/>
          <w:kern w:val="0"/>
          <w:sz w:val="21"/>
          <w:szCs w:val="21"/>
          <w:highlight w:val="none"/>
        </w:rPr>
        <w:t>84</w:t>
      </w:r>
      <w:r>
        <w:rPr>
          <w:rFonts w:ascii="Times New Roman" w:hAnsi="Times New Roman" w:eastAsia="仿宋_GB2312"/>
          <w:color w:val="auto"/>
          <w:kern w:val="0"/>
          <w:sz w:val="21"/>
          <w:szCs w:val="21"/>
          <w:highlight w:val="none"/>
        </w:rPr>
        <w:t>天以上不复工的，且不属于第7.8.2项</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承包人原因引起的暂停施工</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及第17条</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不可抗力</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约定的情形，并影响到整个工程以及合同目的实现的，承包人有权提出价格调整要求，或者解除合同。解除合同的，按照第16.1.3项</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因发包人违约解除合同</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执行。</w:t>
      </w:r>
    </w:p>
    <w:p w14:paraId="30328D94">
      <w:pPr>
        <w:pageBreakBefore w:val="0"/>
        <w:widowControl w:val="0"/>
        <w:kinsoku/>
        <w:wordWrap/>
        <w:overflowPunct/>
        <w:topLinePunct w:val="0"/>
        <w:bidi w:val="0"/>
        <w:adjustRightInd w:val="0"/>
        <w:snapToGrid w:val="0"/>
        <w:spacing w:line="360" w:lineRule="auto"/>
        <w:ind w:left="16" w:firstLine="409" w:firstLineChars="195"/>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7.8.7 暂停施工期间的工程照管</w:t>
      </w:r>
    </w:p>
    <w:p w14:paraId="50F6624C">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暂停施工期间，承包人应负责妥善照管工程并提供安全保障，由此增加的费用由责任方承担。</w:t>
      </w:r>
    </w:p>
    <w:p w14:paraId="324ED98B">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7.8.8 暂停施工的措施</w:t>
      </w:r>
    </w:p>
    <w:p w14:paraId="310D6482">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暂停施工期间，发包人和承包人均应采取必要的措施确保工程质量及安全，防止因暂停施工扩大损失。</w:t>
      </w:r>
    </w:p>
    <w:p w14:paraId="34BE8E54">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outlineLvl w:val="4"/>
        <w:rPr>
          <w:rFonts w:ascii="Times New Roman" w:hAnsi="Times New Roman"/>
          <w:b w:val="0"/>
          <w:color w:val="auto"/>
          <w:sz w:val="21"/>
          <w:szCs w:val="21"/>
          <w:highlight w:val="none"/>
        </w:rPr>
      </w:pPr>
      <w:bookmarkStart w:id="969" w:name="_Toc351203551"/>
      <w:bookmarkStart w:id="970" w:name="_Toc14549"/>
      <w:r>
        <w:rPr>
          <w:rFonts w:ascii="Times New Roman" w:hAnsi="Times New Roman"/>
          <w:b w:val="0"/>
          <w:color w:val="auto"/>
          <w:sz w:val="21"/>
          <w:szCs w:val="21"/>
          <w:highlight w:val="none"/>
        </w:rPr>
        <w:t>7.9提前竣工</w:t>
      </w:r>
      <w:bookmarkEnd w:id="969"/>
      <w:bookmarkEnd w:id="970"/>
    </w:p>
    <w:p w14:paraId="6A605451">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7.9.1 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w:t>
      </w:r>
      <w:r>
        <w:rPr>
          <w:rFonts w:hint="eastAsia" w:ascii="Times New Roman" w:hAnsi="Times New Roman" w:eastAsia="仿宋_GB2312"/>
          <w:color w:val="auto"/>
          <w:kern w:val="0"/>
          <w:sz w:val="21"/>
          <w:szCs w:val="21"/>
          <w:highlight w:val="none"/>
        </w:rPr>
        <w:t>承包人认为提前竣工指示无法执行的，应向监理人和发包人提出书面异议，发包人和监理人应在收到异议后7天内予以答复。任何情况下，发包人不得压缩合理工期。</w:t>
      </w:r>
    </w:p>
    <w:p w14:paraId="60A955AA">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7.9.2 发包人要求承包人提前竣工，或承包人提出提前竣工的建议能够给发包人带来效益的，合同当事人可以在专用合同条款中约定提前竣工的奖励。</w:t>
      </w:r>
    </w:p>
    <w:p w14:paraId="5B085BF0">
      <w:pPr>
        <w:pStyle w:val="5"/>
        <w:pageBreakBefore w:val="0"/>
        <w:widowControl w:val="0"/>
        <w:kinsoku/>
        <w:wordWrap/>
        <w:overflowPunct/>
        <w:topLinePunct w:val="0"/>
        <w:bidi w:val="0"/>
        <w:adjustRightInd w:val="0"/>
        <w:snapToGrid w:val="0"/>
        <w:spacing w:before="0" w:after="0" w:line="360" w:lineRule="auto"/>
        <w:textAlignment w:val="auto"/>
        <w:outlineLvl w:val="3"/>
        <w:rPr>
          <w:rFonts w:eastAsia="黑体"/>
          <w:bCs/>
          <w:color w:val="auto"/>
          <w:sz w:val="21"/>
          <w:szCs w:val="21"/>
          <w:highlight w:val="none"/>
        </w:rPr>
      </w:pPr>
      <w:bookmarkStart w:id="971" w:name="_Toc351203552"/>
      <w:bookmarkStart w:id="972" w:name="_Toc26866"/>
      <w:bookmarkStart w:id="973" w:name="_Toc4809"/>
      <w:r>
        <w:rPr>
          <w:rFonts w:eastAsia="黑体"/>
          <w:bCs/>
          <w:color w:val="auto"/>
          <w:sz w:val="21"/>
          <w:szCs w:val="21"/>
          <w:highlight w:val="none"/>
        </w:rPr>
        <w:t>8</w:t>
      </w:r>
      <w:bookmarkStart w:id="974" w:name="_Toc296503058"/>
      <w:bookmarkStart w:id="975" w:name="_Toc337558776"/>
      <w:bookmarkStart w:id="976" w:name="_Toc296346559"/>
      <w:r>
        <w:rPr>
          <w:rFonts w:eastAsia="黑体"/>
          <w:bCs/>
          <w:color w:val="auto"/>
          <w:sz w:val="21"/>
          <w:szCs w:val="21"/>
          <w:highlight w:val="none"/>
        </w:rPr>
        <w:t>. 材料与设备</w:t>
      </w:r>
      <w:bookmarkEnd w:id="971"/>
      <w:bookmarkEnd w:id="972"/>
      <w:bookmarkEnd w:id="973"/>
    </w:p>
    <w:bookmarkEnd w:id="974"/>
    <w:bookmarkEnd w:id="975"/>
    <w:bookmarkEnd w:id="976"/>
    <w:p w14:paraId="44253A7B">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977" w:name="_Toc351203553"/>
      <w:r>
        <w:rPr>
          <w:rFonts w:ascii="Times New Roman" w:hAnsi="Times New Roman" w:eastAsia="黑体"/>
          <w:b w:val="0"/>
          <w:color w:val="auto"/>
          <w:sz w:val="21"/>
          <w:szCs w:val="21"/>
          <w:highlight w:val="none"/>
        </w:rPr>
        <w:t>8</w:t>
      </w:r>
      <w:bookmarkStart w:id="978" w:name="_Toc337558777"/>
      <w:bookmarkStart w:id="979" w:name="_Toc296503059"/>
      <w:bookmarkStart w:id="980" w:name="_Toc296346560"/>
      <w:bookmarkStart w:id="981" w:name="_Toc468936960"/>
      <w:r>
        <w:rPr>
          <w:rFonts w:ascii="Times New Roman" w:hAnsi="Times New Roman" w:eastAsia="黑体"/>
          <w:b w:val="0"/>
          <w:color w:val="auto"/>
          <w:sz w:val="21"/>
          <w:szCs w:val="21"/>
          <w:highlight w:val="none"/>
        </w:rPr>
        <w:t>.1发包人供应材料与工程设备</w:t>
      </w:r>
      <w:bookmarkEnd w:id="977"/>
    </w:p>
    <w:bookmarkEnd w:id="978"/>
    <w:bookmarkEnd w:id="979"/>
    <w:bookmarkEnd w:id="980"/>
    <w:p w14:paraId="3A441523">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发包人自行供应材料、工程设备的，应在签订合同时在专用合同条款的附件《发包人供应材料设备一览表》中明确材料、工程设备的品种、规格、型号、数量、单价、质量等级和送达地点。</w:t>
      </w:r>
    </w:p>
    <w:p w14:paraId="3A607099">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承包人应提前30天通过监理人以书面形式通知发包人供应材料与工程设备进场。承包人按照第7.2.2项</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施工进度计划的修订</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约定修订施工进度计划时，需同时提交经修订后的发包人供应材料与工程设备的进场计划。</w:t>
      </w:r>
    </w:p>
    <w:p w14:paraId="4768800A">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仿宋_GB2312"/>
          <w:color w:val="auto"/>
          <w:sz w:val="21"/>
          <w:szCs w:val="21"/>
          <w:highlight w:val="none"/>
        </w:rPr>
      </w:pPr>
      <w:bookmarkStart w:id="982" w:name="_Toc351203554"/>
      <w:r>
        <w:rPr>
          <w:rFonts w:ascii="Times New Roman" w:hAnsi="Times New Roman" w:eastAsia="黑体"/>
          <w:b w:val="0"/>
          <w:color w:val="auto"/>
          <w:sz w:val="21"/>
          <w:szCs w:val="21"/>
          <w:highlight w:val="none"/>
        </w:rPr>
        <w:t>8</w:t>
      </w:r>
      <w:bookmarkStart w:id="983" w:name="_Toc337558778"/>
      <w:bookmarkStart w:id="984" w:name="_Toc296503060"/>
      <w:bookmarkStart w:id="985" w:name="_Toc296346561"/>
      <w:r>
        <w:rPr>
          <w:rFonts w:ascii="Times New Roman" w:hAnsi="Times New Roman" w:eastAsia="黑体"/>
          <w:b w:val="0"/>
          <w:color w:val="auto"/>
          <w:sz w:val="21"/>
          <w:szCs w:val="21"/>
          <w:highlight w:val="none"/>
        </w:rPr>
        <w:t>.2承包人采购材料与工程设备</w:t>
      </w:r>
      <w:bookmarkEnd w:id="982"/>
    </w:p>
    <w:bookmarkEnd w:id="983"/>
    <w:bookmarkEnd w:id="984"/>
    <w:bookmarkEnd w:id="985"/>
    <w:p w14:paraId="1A21B3B0">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承包人负责采购材料、工程设备的，应按照设计和有关标准要求采购，并提供产品合格证明及出厂证明，对材料、工程设备质量负责。合同约定由承包人采购的材料、工程设备，发包人不得指定生产厂家或</w:t>
      </w:r>
      <w:r>
        <w:rPr>
          <w:rFonts w:hint="eastAsia" w:eastAsia="仿宋_GB2312"/>
          <w:color w:val="auto"/>
          <w:kern w:val="0"/>
          <w:sz w:val="21"/>
          <w:szCs w:val="21"/>
          <w:highlight w:val="none"/>
          <w:lang w:eastAsia="zh-CN"/>
        </w:rPr>
        <w:t>投标单位</w:t>
      </w:r>
      <w:r>
        <w:rPr>
          <w:rFonts w:ascii="Times New Roman" w:hAnsi="Times New Roman" w:eastAsia="仿宋_GB2312"/>
          <w:color w:val="auto"/>
          <w:kern w:val="0"/>
          <w:sz w:val="21"/>
          <w:szCs w:val="21"/>
          <w:highlight w:val="none"/>
        </w:rPr>
        <w:t>，发包人违反本款约定指定生产厂家或</w:t>
      </w:r>
      <w:r>
        <w:rPr>
          <w:rFonts w:hint="eastAsia" w:eastAsia="仿宋_GB2312"/>
          <w:color w:val="auto"/>
          <w:kern w:val="0"/>
          <w:sz w:val="21"/>
          <w:szCs w:val="21"/>
          <w:highlight w:val="none"/>
          <w:lang w:eastAsia="zh-CN"/>
        </w:rPr>
        <w:t>投标单位</w:t>
      </w:r>
      <w:r>
        <w:rPr>
          <w:rFonts w:ascii="Times New Roman" w:hAnsi="Times New Roman" w:eastAsia="仿宋_GB2312"/>
          <w:color w:val="auto"/>
          <w:kern w:val="0"/>
          <w:sz w:val="21"/>
          <w:szCs w:val="21"/>
          <w:highlight w:val="none"/>
        </w:rPr>
        <w:t>的，承包人有权拒绝，并由发包人承担</w:t>
      </w:r>
      <w:r>
        <w:rPr>
          <w:rFonts w:hint="eastAsia" w:ascii="Times New Roman" w:hAnsi="Times New Roman" w:eastAsia="仿宋_GB2312"/>
          <w:color w:val="auto"/>
          <w:kern w:val="0"/>
          <w:sz w:val="21"/>
          <w:szCs w:val="21"/>
          <w:highlight w:val="none"/>
        </w:rPr>
        <w:t>相应责任</w:t>
      </w:r>
      <w:r>
        <w:rPr>
          <w:rFonts w:ascii="Times New Roman" w:hAnsi="Times New Roman" w:eastAsia="仿宋_GB2312"/>
          <w:color w:val="auto"/>
          <w:kern w:val="0"/>
          <w:sz w:val="21"/>
          <w:szCs w:val="21"/>
          <w:highlight w:val="none"/>
        </w:rPr>
        <w:t>。</w:t>
      </w:r>
    </w:p>
    <w:p w14:paraId="2D82229D">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986" w:name="_Toc351203555"/>
      <w:r>
        <w:rPr>
          <w:rFonts w:ascii="Times New Roman" w:hAnsi="Times New Roman" w:eastAsia="黑体"/>
          <w:b w:val="0"/>
          <w:color w:val="auto"/>
          <w:sz w:val="21"/>
          <w:szCs w:val="21"/>
          <w:highlight w:val="none"/>
        </w:rPr>
        <w:t>8</w:t>
      </w:r>
      <w:bookmarkStart w:id="987" w:name="_Toc296503061"/>
      <w:bookmarkStart w:id="988" w:name="_Toc296346562"/>
      <w:bookmarkStart w:id="989" w:name="_Toc337558779"/>
      <w:r>
        <w:rPr>
          <w:rFonts w:ascii="Times New Roman" w:hAnsi="Times New Roman" w:eastAsia="黑体"/>
          <w:b w:val="0"/>
          <w:color w:val="auto"/>
          <w:sz w:val="21"/>
          <w:szCs w:val="21"/>
          <w:highlight w:val="none"/>
        </w:rPr>
        <w:t>.3材料与工程设备的接收与拒收</w:t>
      </w:r>
      <w:bookmarkEnd w:id="986"/>
    </w:p>
    <w:bookmarkEnd w:id="987"/>
    <w:bookmarkEnd w:id="988"/>
    <w:bookmarkEnd w:id="989"/>
    <w:p w14:paraId="4B448F66">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8.3.1 发包人应按《发包人供应材料设备一览表》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14:paraId="11E8ACDD">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发包人提供的材料和工程设备的规格、数量或质量不符合合同约定的，或因发包人原因导致交货日期延误或交货地点变更等情况的，按照第16.1款</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发包人违约</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约定办理。</w:t>
      </w:r>
    </w:p>
    <w:p w14:paraId="59E74B39">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8.3.2 承包人采购的材料和工程设备，应保证产品质量合格，承包人应在材料和工程设备到货前24小时通知监理人检验。承</w:t>
      </w:r>
      <w:bookmarkStart w:id="990" w:name="_Toc250655469"/>
      <w:r>
        <w:rPr>
          <w:rFonts w:ascii="Times New Roman" w:hAnsi="Times New Roman" w:eastAsia="仿宋_GB2312"/>
          <w:color w:val="auto"/>
          <w:kern w:val="0"/>
          <w:sz w:val="21"/>
          <w:szCs w:val="21"/>
          <w:highlight w:val="none"/>
        </w:rPr>
        <w:t>包人进行永久设备、材料的制造和生产的，应符合相关质量标准，并向监理人提交材料的样本以及有关资料，并应在使用该材料或工程设备之前获得监理人同意。</w:t>
      </w:r>
    </w:p>
    <w:bookmarkEnd w:id="990"/>
    <w:p w14:paraId="79ACD520">
      <w:pPr>
        <w:pageBreakBefore w:val="0"/>
        <w:widowControl w:val="0"/>
        <w:kinsoku/>
        <w:wordWrap/>
        <w:overflowPunct/>
        <w:topLinePunct w:val="0"/>
        <w:autoSpaceDE w:val="0"/>
        <w:autoSpaceDN w:val="0"/>
        <w:bidi w:val="0"/>
        <w:adjustRightInd w:val="0"/>
        <w:snapToGrid w:val="0"/>
        <w:spacing w:line="360" w:lineRule="auto"/>
        <w:ind w:firstLine="315" w:firstLineChars="15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 xml:space="preserve"> 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14:paraId="1D917CF3">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991" w:name="_Toc351203556"/>
      <w:r>
        <w:rPr>
          <w:rFonts w:ascii="Times New Roman" w:hAnsi="Times New Roman" w:eastAsia="黑体"/>
          <w:b w:val="0"/>
          <w:color w:val="auto"/>
          <w:sz w:val="21"/>
          <w:szCs w:val="21"/>
          <w:highlight w:val="none"/>
        </w:rPr>
        <w:t>8</w:t>
      </w:r>
      <w:bookmarkStart w:id="992" w:name="_Toc337558780"/>
      <w:bookmarkStart w:id="993" w:name="_Toc296503062"/>
      <w:bookmarkStart w:id="994" w:name="_Toc296346563"/>
      <w:r>
        <w:rPr>
          <w:rFonts w:ascii="Times New Roman" w:hAnsi="Times New Roman" w:eastAsia="黑体"/>
          <w:b w:val="0"/>
          <w:color w:val="auto"/>
          <w:sz w:val="21"/>
          <w:szCs w:val="21"/>
          <w:highlight w:val="none"/>
        </w:rPr>
        <w:t>.4材料与工程设备的保管与使用</w:t>
      </w:r>
      <w:bookmarkEnd w:id="991"/>
    </w:p>
    <w:bookmarkEnd w:id="992"/>
    <w:bookmarkEnd w:id="993"/>
    <w:bookmarkEnd w:id="994"/>
    <w:p w14:paraId="1DBF8D00">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8.4.1 发包人供应</w:t>
      </w:r>
      <w:r>
        <w:rPr>
          <w:rFonts w:ascii="Times New Roman" w:hAnsi="Times New Roman" w:eastAsia="仿宋_GB2312"/>
          <w:color w:val="auto"/>
          <w:sz w:val="21"/>
          <w:szCs w:val="21"/>
          <w:highlight w:val="none"/>
        </w:rPr>
        <w:t>材料与</w:t>
      </w:r>
      <w:r>
        <w:rPr>
          <w:rFonts w:ascii="Times New Roman" w:hAnsi="Times New Roman" w:eastAsia="仿宋_GB2312"/>
          <w:color w:val="auto"/>
          <w:kern w:val="0"/>
          <w:sz w:val="21"/>
          <w:szCs w:val="21"/>
          <w:highlight w:val="none"/>
        </w:rPr>
        <w:t>工程</w:t>
      </w:r>
      <w:r>
        <w:rPr>
          <w:rFonts w:ascii="Times New Roman" w:hAnsi="Times New Roman" w:eastAsia="仿宋_GB2312"/>
          <w:color w:val="auto"/>
          <w:sz w:val="21"/>
          <w:szCs w:val="21"/>
          <w:highlight w:val="none"/>
        </w:rPr>
        <w:t>设备的保管与使用</w:t>
      </w:r>
    </w:p>
    <w:p w14:paraId="54DBAB1A">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14:paraId="7E53D40E">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发包人供应的材料和工程设备使用前，由承包人负责检验，检验费用由发包人承担，不合格的不得使用。</w:t>
      </w:r>
    </w:p>
    <w:p w14:paraId="20155A59">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8.4.2 承包人采购</w:t>
      </w:r>
      <w:r>
        <w:rPr>
          <w:rFonts w:ascii="Times New Roman" w:hAnsi="Times New Roman" w:eastAsia="仿宋_GB2312"/>
          <w:color w:val="auto"/>
          <w:sz w:val="21"/>
          <w:szCs w:val="21"/>
          <w:highlight w:val="none"/>
        </w:rPr>
        <w:t>材料与</w:t>
      </w:r>
      <w:r>
        <w:rPr>
          <w:rFonts w:ascii="Times New Roman" w:hAnsi="Times New Roman" w:eastAsia="仿宋_GB2312"/>
          <w:color w:val="auto"/>
          <w:kern w:val="0"/>
          <w:sz w:val="21"/>
          <w:szCs w:val="21"/>
          <w:highlight w:val="none"/>
        </w:rPr>
        <w:t>工程</w:t>
      </w:r>
      <w:r>
        <w:rPr>
          <w:rFonts w:ascii="Times New Roman" w:hAnsi="Times New Roman" w:eastAsia="仿宋_GB2312"/>
          <w:color w:val="auto"/>
          <w:sz w:val="21"/>
          <w:szCs w:val="21"/>
          <w:highlight w:val="none"/>
        </w:rPr>
        <w:t>设备的保管与使用</w:t>
      </w:r>
    </w:p>
    <w:p w14:paraId="68ADD4AF">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14:paraId="11C55E69">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发包人或监理人发现承包人使用不符合设计或有关标准要求的材料和工程设备时，有权要求承包人进行修复、拆除或重新采购，由此增加的费用和（或）延误的工期，由承包人承担。</w:t>
      </w:r>
    </w:p>
    <w:p w14:paraId="200BF25C">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995" w:name="_Toc351203557"/>
      <w:r>
        <w:rPr>
          <w:rFonts w:ascii="Times New Roman" w:hAnsi="Times New Roman" w:eastAsia="黑体"/>
          <w:b w:val="0"/>
          <w:color w:val="auto"/>
          <w:sz w:val="21"/>
          <w:szCs w:val="21"/>
          <w:highlight w:val="none"/>
        </w:rPr>
        <w:t>8.5禁止使用不合格的材料和工程设备</w:t>
      </w:r>
      <w:bookmarkEnd w:id="995"/>
    </w:p>
    <w:p w14:paraId="256658B4">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8.5.1 监理人有权拒绝承包人提供的不合格材料或工程设备，并要求承包人立即进行更换。监理人应在更换后再次进行检查和检验，由此增加的费用和（或）延误的工期由承包人承担。</w:t>
      </w:r>
    </w:p>
    <w:p w14:paraId="52C28ACD">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8.5.2 监理人发现承包人使用了不合格的材料和工程设备，承包人应按照监理人的指示立即改正，并禁止在工程中继续使用不合格的材料和工程设备。</w:t>
      </w:r>
    </w:p>
    <w:p w14:paraId="6445B011">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8.5.3 发包人提供的材料或工程设备不符合合同要求的，承包人有权拒绝，并可要求发包人更换，由此增加的费用和（或）延误的工期由发包人承担</w:t>
      </w:r>
      <w:r>
        <w:rPr>
          <w:rFonts w:hint="eastAsia" w:ascii="Times New Roman" w:hAnsi="Times New Roman" w:eastAsia="仿宋_GB2312"/>
          <w:color w:val="auto"/>
          <w:kern w:val="0"/>
          <w:sz w:val="21"/>
          <w:szCs w:val="21"/>
          <w:highlight w:val="none"/>
        </w:rPr>
        <w:t>，并支付承包人合理的利润</w:t>
      </w:r>
      <w:r>
        <w:rPr>
          <w:rFonts w:ascii="Times New Roman" w:hAnsi="Times New Roman" w:eastAsia="仿宋_GB2312"/>
          <w:color w:val="auto"/>
          <w:kern w:val="0"/>
          <w:sz w:val="21"/>
          <w:szCs w:val="21"/>
          <w:highlight w:val="none"/>
        </w:rPr>
        <w:t>。</w:t>
      </w:r>
    </w:p>
    <w:p w14:paraId="500166E6">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996" w:name="_Toc351203558"/>
      <w:r>
        <w:rPr>
          <w:rFonts w:ascii="Times New Roman" w:hAnsi="Times New Roman" w:eastAsia="黑体"/>
          <w:b w:val="0"/>
          <w:color w:val="auto"/>
          <w:sz w:val="21"/>
          <w:szCs w:val="21"/>
          <w:highlight w:val="none"/>
        </w:rPr>
        <w:t>8.6 样品</w:t>
      </w:r>
      <w:bookmarkEnd w:id="996"/>
    </w:p>
    <w:p w14:paraId="31D932DA">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8.6.1</w:t>
      </w:r>
      <w:r>
        <w:rPr>
          <w:rFonts w:ascii="Times New Roman" w:hAnsi="Times New Roman" w:eastAsia="仿宋_GB2312"/>
          <w:color w:val="auto"/>
          <w:kern w:val="0"/>
          <w:sz w:val="21"/>
          <w:szCs w:val="21"/>
          <w:highlight w:val="none"/>
        </w:rPr>
        <w:tab/>
      </w:r>
      <w:r>
        <w:rPr>
          <w:rFonts w:ascii="Times New Roman" w:hAnsi="Times New Roman" w:eastAsia="仿宋_GB2312"/>
          <w:color w:val="auto"/>
          <w:kern w:val="0"/>
          <w:sz w:val="21"/>
          <w:szCs w:val="21"/>
          <w:highlight w:val="none"/>
        </w:rPr>
        <w:t>样品的报送</w:t>
      </w:r>
      <w:r>
        <w:rPr>
          <w:rFonts w:hint="eastAsia" w:ascii="Times New Roman" w:hAnsi="Times New Roman" w:eastAsia="仿宋_GB2312"/>
          <w:color w:val="auto"/>
          <w:kern w:val="0"/>
          <w:sz w:val="21"/>
          <w:szCs w:val="21"/>
          <w:highlight w:val="none"/>
        </w:rPr>
        <w:t>与封存</w:t>
      </w:r>
    </w:p>
    <w:p w14:paraId="2845EE5E">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需要承包人报送样品的材料或工程设备，样品的种类、名称、规格、数量等要求均应在专用合同条款中约定。样品的报送程序如下：</w:t>
      </w:r>
    </w:p>
    <w:p w14:paraId="621A59A3">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承包人应在计划采购前28天向监理人报送样品。承包人报送的样品均应来自供应材料的实际生产地，且提供的样品的规格、数量足以表明材料或工程设备的质量、型号、颜色、表面处理、质地、误差和其他要求的特征。</w:t>
      </w:r>
    </w:p>
    <w:p w14:paraId="46F74275">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承包人每次报送样品时应随附申报单，申报单应载明报送样品的相关数据和资料，并标明每件样品对应的图纸号，预留监理人批复意见栏。监理人应在收到承包人报送的样品后7天向承包人回复经发包人签认的样品审批意见。</w:t>
      </w:r>
    </w:p>
    <w:p w14:paraId="51447B96">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（3）经发包人和监理人审批确认的样品</w:t>
      </w:r>
      <w:r>
        <w:rPr>
          <w:rFonts w:hint="eastAsia" w:ascii="Times New Roman" w:hAnsi="Times New Roman" w:eastAsia="仿宋_GB2312"/>
          <w:color w:val="auto"/>
          <w:kern w:val="0"/>
          <w:sz w:val="21"/>
          <w:szCs w:val="21"/>
          <w:highlight w:val="none"/>
        </w:rPr>
        <w:t>应按约定的方法封样，封存的样品</w:t>
      </w:r>
      <w:r>
        <w:rPr>
          <w:rFonts w:ascii="Times New Roman" w:hAnsi="Times New Roman" w:eastAsia="仿宋_GB2312"/>
          <w:color w:val="auto"/>
          <w:kern w:val="0"/>
          <w:sz w:val="21"/>
          <w:szCs w:val="21"/>
          <w:highlight w:val="none"/>
        </w:rPr>
        <w:t>作为检验工程相关部分的标准之一。承包人在施工过程中不得使用与样品不符的材料或工程设备。</w:t>
      </w:r>
    </w:p>
    <w:p w14:paraId="3488FEFD">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（4）发包人和监理人对样品的审批确认仅为确认相关材料或工程设备的特征或用途，不得被理解为对合同的修改或改变，也并不减轻或免除承包人任何的责任和义务。</w:t>
      </w:r>
      <w:r>
        <w:rPr>
          <w:rFonts w:hint="eastAsia" w:ascii="Times New Roman" w:hAnsi="Times New Roman" w:eastAsia="仿宋_GB2312"/>
          <w:color w:val="auto"/>
          <w:kern w:val="0"/>
          <w:sz w:val="21"/>
          <w:szCs w:val="21"/>
          <w:highlight w:val="none"/>
        </w:rPr>
        <w:t>如果封存的样品修改或改变了合同约定，合同当事人应当以书面协议予以确认。</w:t>
      </w:r>
    </w:p>
    <w:p w14:paraId="7E10D1D7">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8.6.2 样品的保管</w:t>
      </w:r>
    </w:p>
    <w:p w14:paraId="7C0F0AC9">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经批准的样品应由监理人负责封存于现场，承包人应在现场为保存样品提供适当和固定的场所并保持适当和良好的存储环境条件。</w:t>
      </w:r>
    </w:p>
    <w:p w14:paraId="13A5425C">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997" w:name="_Toc351203559"/>
      <w:r>
        <w:rPr>
          <w:rFonts w:ascii="Times New Roman" w:hAnsi="Times New Roman" w:eastAsia="黑体"/>
          <w:b w:val="0"/>
          <w:color w:val="auto"/>
          <w:sz w:val="21"/>
          <w:szCs w:val="21"/>
          <w:highlight w:val="none"/>
        </w:rPr>
        <w:t>8.7材料与工程设备的替代</w:t>
      </w:r>
      <w:bookmarkEnd w:id="997"/>
    </w:p>
    <w:p w14:paraId="7B1801F2">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8.7.1 出现下列情况需要使用替代材料和工程设备的，承包人应按照第8.7.2项约定的程序执行：</w:t>
      </w:r>
    </w:p>
    <w:p w14:paraId="20298292">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（1）基准日</w:t>
      </w:r>
      <w:r>
        <w:rPr>
          <w:rFonts w:hint="eastAsia" w:ascii="Times New Roman" w:hAnsi="Times New Roman" w:eastAsia="仿宋_GB2312"/>
          <w:color w:val="auto"/>
          <w:kern w:val="0"/>
          <w:sz w:val="21"/>
          <w:szCs w:val="21"/>
          <w:highlight w:val="none"/>
        </w:rPr>
        <w:t>期</w:t>
      </w:r>
      <w:r>
        <w:rPr>
          <w:rFonts w:ascii="Times New Roman" w:hAnsi="Times New Roman" w:eastAsia="仿宋_GB2312"/>
          <w:color w:val="auto"/>
          <w:kern w:val="0"/>
          <w:sz w:val="21"/>
          <w:szCs w:val="21"/>
          <w:highlight w:val="none"/>
        </w:rPr>
        <w:t>后生效的法律规定禁止使用的；</w:t>
      </w:r>
    </w:p>
    <w:p w14:paraId="15164650">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（2）发包人要求使用替代品的；</w:t>
      </w:r>
    </w:p>
    <w:p w14:paraId="0B746389">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（3）因其他原因必须使用替代品的。</w:t>
      </w:r>
    </w:p>
    <w:p w14:paraId="77DA500A">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8.7.2 承包人应在使用替代材料和工程设备28天前书面通知监理人，并附下列文件：</w:t>
      </w:r>
    </w:p>
    <w:p w14:paraId="2F112B88">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（1）被替代的材料和工程设备的名称、数量、规格、型号、品牌、性能、价格及其他相关资料；</w:t>
      </w:r>
    </w:p>
    <w:p w14:paraId="06B1E3B8">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（2）替代品的名称、数量、规格、型号、品牌、性能、价格及其他相关资料；</w:t>
      </w:r>
    </w:p>
    <w:p w14:paraId="72F1CCBD">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（3）替代品与被替代产品之间的差异以及使用替代品可能对工程产生的影响；</w:t>
      </w:r>
    </w:p>
    <w:p w14:paraId="22351C9C">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（4）替代品与被替代产品的价格差异；</w:t>
      </w:r>
    </w:p>
    <w:p w14:paraId="39DBF338">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（5）使用替代品的理由和原因说明；</w:t>
      </w:r>
    </w:p>
    <w:p w14:paraId="35144CD3">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（6）监理人要求的其他文件。</w:t>
      </w:r>
    </w:p>
    <w:p w14:paraId="59D7C741">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监理人应在收到通知后14天内向承包人发出经发包人签认的书面指示；监理人逾期发出书面指示的，视为发包人和监理人同意使用替代品。</w:t>
      </w:r>
    </w:p>
    <w:p w14:paraId="574B583A">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8.7.3 发包人认可使用替代材料和工程设备的，替代材料和工程设备的价格，按照已标价工程量清单或预算书相同项目的价格认定；无相同项目的，参考相似项目价格认定；</w:t>
      </w:r>
      <w:r>
        <w:rPr>
          <w:rFonts w:hint="eastAsia" w:ascii="Times New Roman" w:hAnsi="Times New Roman" w:eastAsia="仿宋_GB2312"/>
          <w:color w:val="auto"/>
          <w:kern w:val="0"/>
          <w:sz w:val="21"/>
          <w:szCs w:val="21"/>
          <w:highlight w:val="none"/>
        </w:rPr>
        <w:t>既无</w:t>
      </w:r>
      <w:r>
        <w:rPr>
          <w:rFonts w:ascii="Times New Roman" w:hAnsi="Times New Roman" w:eastAsia="仿宋_GB2312"/>
          <w:color w:val="auto"/>
          <w:kern w:val="0"/>
          <w:sz w:val="21"/>
          <w:szCs w:val="21"/>
          <w:highlight w:val="none"/>
        </w:rPr>
        <w:t>相同项目</w:t>
      </w:r>
      <w:r>
        <w:rPr>
          <w:rFonts w:hint="eastAsia" w:ascii="Times New Roman" w:hAnsi="Times New Roman" w:eastAsia="仿宋_GB2312"/>
          <w:color w:val="auto"/>
          <w:kern w:val="0"/>
          <w:sz w:val="21"/>
          <w:szCs w:val="21"/>
          <w:highlight w:val="none"/>
        </w:rPr>
        <w:t>也</w:t>
      </w:r>
      <w:r>
        <w:rPr>
          <w:rFonts w:ascii="Times New Roman" w:hAnsi="Times New Roman" w:eastAsia="仿宋_GB2312"/>
          <w:color w:val="auto"/>
          <w:kern w:val="0"/>
          <w:sz w:val="21"/>
          <w:szCs w:val="21"/>
          <w:highlight w:val="none"/>
        </w:rPr>
        <w:t>无相似项目的，</w:t>
      </w:r>
      <w:r>
        <w:rPr>
          <w:rFonts w:hint="eastAsia" w:ascii="Times New Roman" w:hAnsi="Times New Roman" w:eastAsia="仿宋_GB2312"/>
          <w:color w:val="auto"/>
          <w:kern w:val="0"/>
          <w:sz w:val="21"/>
          <w:szCs w:val="21"/>
          <w:highlight w:val="none"/>
        </w:rPr>
        <w:t>按照合理的成本与利润构成的原则，</w:t>
      </w:r>
      <w:r>
        <w:rPr>
          <w:rFonts w:ascii="Times New Roman" w:hAnsi="Times New Roman" w:eastAsia="仿宋_GB2312"/>
          <w:color w:val="auto"/>
          <w:kern w:val="0"/>
          <w:sz w:val="21"/>
          <w:szCs w:val="21"/>
          <w:highlight w:val="none"/>
        </w:rPr>
        <w:t>由合同当事人按照第4.4款</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商定或确定</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确定价格。</w:t>
      </w:r>
    </w:p>
    <w:p w14:paraId="27C7823A">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998" w:name="_Toc351203560"/>
      <w:r>
        <w:rPr>
          <w:rFonts w:ascii="Times New Roman" w:hAnsi="Times New Roman" w:eastAsia="黑体"/>
          <w:b w:val="0"/>
          <w:color w:val="auto"/>
          <w:sz w:val="21"/>
          <w:szCs w:val="21"/>
          <w:highlight w:val="none"/>
        </w:rPr>
        <w:t>8.8施工设备和临时设施</w:t>
      </w:r>
      <w:bookmarkEnd w:id="998"/>
    </w:p>
    <w:p w14:paraId="7B5CF80A">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8.8.1 承包人提供的施工设备和临时设施</w:t>
      </w:r>
    </w:p>
    <w:p w14:paraId="0DB54B35">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承包人应按合同进度计划的要求，及时配置施工设备和修建临时设施。进入施工场地的承包人设备需经监理人核查后才能投入使用。承包人更换合同约定的承包人设备的，应报监理人批准。</w:t>
      </w:r>
    </w:p>
    <w:p w14:paraId="352C756B">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除专用合同条款另有约定外，承包人应自行承担修建临时设施的费用，需要临时占地的，应由发包人办理申请手续并承担相应费用。</w:t>
      </w:r>
    </w:p>
    <w:p w14:paraId="6F6E019F">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8.8.2发包人提供的施工设备和临时设施</w:t>
      </w:r>
    </w:p>
    <w:p w14:paraId="13614EBE">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发包人提供的施工设备或临时设施在专用合同条款中约定。</w:t>
      </w:r>
    </w:p>
    <w:p w14:paraId="16A6EA34">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8.8.3要求承包人增加或更换施工设备</w:t>
      </w:r>
    </w:p>
    <w:p w14:paraId="1875F2B0">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承包人使用的施工设备不能满足合同进度计划和（或）质量要求时，监理人有权要求承包人增加或更换施工设备，承包人应及时增加或更换，由此增加的费用和（或）延误的工期由承包人承担。</w:t>
      </w:r>
    </w:p>
    <w:p w14:paraId="7F33AFD6">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999" w:name="_Toc351203561"/>
      <w:r>
        <w:rPr>
          <w:rFonts w:ascii="Times New Roman" w:hAnsi="Times New Roman" w:eastAsia="黑体"/>
          <w:b w:val="0"/>
          <w:color w:val="auto"/>
          <w:sz w:val="21"/>
          <w:szCs w:val="21"/>
          <w:highlight w:val="none"/>
        </w:rPr>
        <w:t>8</w:t>
      </w:r>
      <w:bookmarkStart w:id="1000" w:name="_Toc337558781"/>
      <w:bookmarkStart w:id="1001" w:name="_Toc296346564"/>
      <w:bookmarkStart w:id="1002" w:name="_Toc296503063"/>
      <w:r>
        <w:rPr>
          <w:rFonts w:ascii="Times New Roman" w:hAnsi="Times New Roman" w:eastAsia="黑体"/>
          <w:b w:val="0"/>
          <w:color w:val="auto"/>
          <w:sz w:val="21"/>
          <w:szCs w:val="21"/>
          <w:highlight w:val="none"/>
        </w:rPr>
        <w:t>.9材料与设备专用</w:t>
      </w:r>
      <w:bookmarkEnd w:id="999"/>
      <w:r>
        <w:rPr>
          <w:rFonts w:hint="eastAsia" w:ascii="Times New Roman" w:hAnsi="Times New Roman" w:eastAsia="黑体"/>
          <w:b w:val="0"/>
          <w:color w:val="auto"/>
          <w:sz w:val="21"/>
          <w:szCs w:val="21"/>
          <w:highlight w:val="none"/>
        </w:rPr>
        <w:t>要求</w:t>
      </w:r>
    </w:p>
    <w:bookmarkEnd w:id="1000"/>
    <w:bookmarkEnd w:id="1001"/>
    <w:bookmarkEnd w:id="1002"/>
    <w:p w14:paraId="271A9D4D">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承包人运入施工现场的材料、工程设备、施工设备以及在施工场地建设的临时设施，包括备品备件、安装工具与资料，必须专用于工程。未经发包人批准，承包人不得运出施工现场或挪作他用；</w:t>
      </w:r>
      <w:bookmarkEnd w:id="981"/>
      <w:r>
        <w:rPr>
          <w:rFonts w:ascii="Times New Roman" w:hAnsi="Times New Roman" w:eastAsia="仿宋_GB2312"/>
          <w:color w:val="auto"/>
          <w:kern w:val="0"/>
          <w:sz w:val="21"/>
          <w:szCs w:val="21"/>
          <w:highlight w:val="none"/>
        </w:rPr>
        <w:t>经发包人批准，承包人可以根据施工进度计划撤走闲置的施工设备和其他物品。</w:t>
      </w:r>
    </w:p>
    <w:p w14:paraId="4757EF6D">
      <w:pPr>
        <w:pStyle w:val="5"/>
        <w:pageBreakBefore w:val="0"/>
        <w:widowControl w:val="0"/>
        <w:kinsoku/>
        <w:wordWrap/>
        <w:overflowPunct/>
        <w:topLinePunct w:val="0"/>
        <w:bidi w:val="0"/>
        <w:adjustRightInd w:val="0"/>
        <w:snapToGrid w:val="0"/>
        <w:spacing w:before="0" w:after="0" w:line="360" w:lineRule="auto"/>
        <w:textAlignment w:val="auto"/>
        <w:outlineLvl w:val="3"/>
        <w:rPr>
          <w:rFonts w:eastAsia="黑体"/>
          <w:bCs/>
          <w:color w:val="auto"/>
          <w:sz w:val="21"/>
          <w:szCs w:val="21"/>
          <w:highlight w:val="none"/>
        </w:rPr>
      </w:pPr>
      <w:bookmarkStart w:id="1003" w:name="_Toc26365"/>
      <w:bookmarkStart w:id="1004" w:name="_Toc23353"/>
      <w:bookmarkStart w:id="1005" w:name="_Toc351203562"/>
      <w:r>
        <w:rPr>
          <w:rFonts w:eastAsia="黑体"/>
          <w:bCs/>
          <w:color w:val="auto"/>
          <w:sz w:val="21"/>
          <w:szCs w:val="21"/>
          <w:highlight w:val="none"/>
        </w:rPr>
        <w:t>9</w:t>
      </w:r>
      <w:bookmarkStart w:id="1006" w:name="_Toc337558782"/>
      <w:bookmarkStart w:id="1007" w:name="_Toc296503083"/>
      <w:bookmarkStart w:id="1008" w:name="_Toc296346584"/>
      <w:r>
        <w:rPr>
          <w:rFonts w:eastAsia="黑体"/>
          <w:bCs/>
          <w:color w:val="auto"/>
          <w:sz w:val="21"/>
          <w:szCs w:val="21"/>
          <w:highlight w:val="none"/>
        </w:rPr>
        <w:t>. 试验与检验</w:t>
      </w:r>
      <w:bookmarkEnd w:id="1003"/>
      <w:bookmarkEnd w:id="1004"/>
      <w:bookmarkEnd w:id="1005"/>
    </w:p>
    <w:bookmarkEnd w:id="1006"/>
    <w:p w14:paraId="6CE6DE4E">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009" w:name="_Toc351203563"/>
      <w:r>
        <w:rPr>
          <w:rFonts w:ascii="Times New Roman" w:hAnsi="Times New Roman" w:eastAsia="黑体"/>
          <w:b w:val="0"/>
          <w:color w:val="auto"/>
          <w:sz w:val="21"/>
          <w:szCs w:val="21"/>
          <w:highlight w:val="none"/>
        </w:rPr>
        <w:t>9</w:t>
      </w:r>
      <w:bookmarkStart w:id="1010" w:name="_Toc337558783"/>
      <w:r>
        <w:rPr>
          <w:rFonts w:ascii="Times New Roman" w:hAnsi="Times New Roman" w:eastAsia="黑体"/>
          <w:b w:val="0"/>
          <w:color w:val="auto"/>
          <w:sz w:val="21"/>
          <w:szCs w:val="21"/>
          <w:highlight w:val="none"/>
        </w:rPr>
        <w:t>.1试验设备与试验人员</w:t>
      </w:r>
      <w:bookmarkEnd w:id="1009"/>
    </w:p>
    <w:bookmarkEnd w:id="1010"/>
    <w:p w14:paraId="0C0D2F06">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9.1.1 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14:paraId="421CE6E8">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9.1.2 承包人应按专用合同条款的约定提供试验设备、取样装置、试验场所和试验条件，并向监理人提交相应进场计划表。</w:t>
      </w:r>
    </w:p>
    <w:p w14:paraId="64102C94">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承包人配置的试验设备要符合相应试验规程的要求并经过具有资质的检测单位检测，且在正式使用该试验设备前，需要经过监理人与承包人共同校定。</w:t>
      </w:r>
    </w:p>
    <w:p w14:paraId="6B9B0792">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9.1.3 承包人应向监理人提交试验人员的名单及其岗位、资格等证明资料，试验人员必须能够熟练进行相应的检测试验，承包人对试验人员的试验程序和试验结果的正确性负责。</w:t>
      </w:r>
    </w:p>
    <w:p w14:paraId="28AA9E2C">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011" w:name="_Toc351203564"/>
      <w:r>
        <w:rPr>
          <w:rFonts w:ascii="Times New Roman" w:hAnsi="Times New Roman" w:eastAsia="黑体"/>
          <w:b w:val="0"/>
          <w:color w:val="auto"/>
          <w:sz w:val="21"/>
          <w:szCs w:val="21"/>
          <w:highlight w:val="none"/>
        </w:rPr>
        <w:t>9</w:t>
      </w:r>
      <w:bookmarkStart w:id="1012" w:name="_Toc337558784"/>
      <w:r>
        <w:rPr>
          <w:rFonts w:ascii="Times New Roman" w:hAnsi="Times New Roman" w:eastAsia="黑体"/>
          <w:b w:val="0"/>
          <w:color w:val="auto"/>
          <w:sz w:val="21"/>
          <w:szCs w:val="21"/>
          <w:highlight w:val="none"/>
        </w:rPr>
        <w:t>.2取样</w:t>
      </w:r>
      <w:bookmarkEnd w:id="1011"/>
    </w:p>
    <w:bookmarkEnd w:id="1012"/>
    <w:p w14:paraId="3EE076C0">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试验属于自检性质的，承包人可以单独取样。试验属于监理人抽检性质的，可由监理人取样，也可由承包人的试验人员在监理人的监督下取样。</w:t>
      </w:r>
    </w:p>
    <w:p w14:paraId="21A0504F">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013" w:name="_Toc351203565"/>
      <w:r>
        <w:rPr>
          <w:rFonts w:ascii="Times New Roman" w:hAnsi="Times New Roman" w:eastAsia="黑体"/>
          <w:b w:val="0"/>
          <w:color w:val="auto"/>
          <w:sz w:val="21"/>
          <w:szCs w:val="21"/>
          <w:highlight w:val="none"/>
        </w:rPr>
        <w:t>9</w:t>
      </w:r>
      <w:bookmarkStart w:id="1014" w:name="_Toc337558785"/>
      <w:r>
        <w:rPr>
          <w:rFonts w:ascii="Times New Roman" w:hAnsi="Times New Roman" w:eastAsia="黑体"/>
          <w:b w:val="0"/>
          <w:color w:val="auto"/>
          <w:sz w:val="21"/>
          <w:szCs w:val="21"/>
          <w:highlight w:val="none"/>
        </w:rPr>
        <w:t>.3材料、工程设备和工程的试验和检验</w:t>
      </w:r>
      <w:bookmarkEnd w:id="1013"/>
    </w:p>
    <w:bookmarkEnd w:id="1014"/>
    <w:p w14:paraId="5178B163">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9.3.1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6B973F6F">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9.3.2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14:paraId="395A7839">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9.3.3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14:paraId="09E7580A">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015" w:name="_Toc351203566"/>
      <w:r>
        <w:rPr>
          <w:rFonts w:ascii="Times New Roman" w:hAnsi="Times New Roman" w:eastAsia="黑体"/>
          <w:b w:val="0"/>
          <w:color w:val="auto"/>
          <w:sz w:val="21"/>
          <w:szCs w:val="21"/>
          <w:highlight w:val="none"/>
        </w:rPr>
        <w:t>9</w:t>
      </w:r>
      <w:bookmarkStart w:id="1016" w:name="_Toc337558786"/>
      <w:r>
        <w:rPr>
          <w:rFonts w:ascii="Times New Roman" w:hAnsi="Times New Roman" w:eastAsia="黑体"/>
          <w:b w:val="0"/>
          <w:color w:val="auto"/>
          <w:sz w:val="21"/>
          <w:szCs w:val="21"/>
          <w:highlight w:val="none"/>
        </w:rPr>
        <w:t>.4现场工艺试验</w:t>
      </w:r>
      <w:bookmarkEnd w:id="1015"/>
    </w:p>
    <w:bookmarkEnd w:id="1016"/>
    <w:p w14:paraId="485FC002">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承包人应按合同约定或监理人指示进行现场工艺试验。对大型的现场工艺试验，监理人认为必要时，承包人应根据监理人提出的工艺试验要求，编制工艺试验措施计划，报送监理人审查。</w:t>
      </w:r>
    </w:p>
    <w:p w14:paraId="2C6292D9">
      <w:pPr>
        <w:pStyle w:val="5"/>
        <w:pageBreakBefore w:val="0"/>
        <w:widowControl w:val="0"/>
        <w:kinsoku/>
        <w:wordWrap/>
        <w:overflowPunct/>
        <w:topLinePunct w:val="0"/>
        <w:bidi w:val="0"/>
        <w:adjustRightInd w:val="0"/>
        <w:snapToGrid w:val="0"/>
        <w:spacing w:before="0" w:after="0" w:line="360" w:lineRule="auto"/>
        <w:textAlignment w:val="auto"/>
        <w:outlineLvl w:val="3"/>
        <w:rPr>
          <w:rFonts w:eastAsia="黑体"/>
          <w:bCs/>
          <w:color w:val="auto"/>
          <w:sz w:val="21"/>
          <w:szCs w:val="21"/>
          <w:highlight w:val="none"/>
        </w:rPr>
      </w:pPr>
      <w:bookmarkStart w:id="1017" w:name="_Toc14183"/>
      <w:bookmarkStart w:id="1018" w:name="_Toc14087"/>
      <w:bookmarkStart w:id="1019" w:name="_Toc351203567"/>
      <w:r>
        <w:rPr>
          <w:rFonts w:eastAsia="黑体"/>
          <w:bCs/>
          <w:color w:val="auto"/>
          <w:sz w:val="21"/>
          <w:szCs w:val="21"/>
          <w:highlight w:val="none"/>
        </w:rPr>
        <w:t>1</w:t>
      </w:r>
      <w:bookmarkStart w:id="1020" w:name="_Toc337558787"/>
      <w:r>
        <w:rPr>
          <w:rFonts w:eastAsia="黑体"/>
          <w:bCs/>
          <w:color w:val="auto"/>
          <w:sz w:val="21"/>
          <w:szCs w:val="21"/>
          <w:highlight w:val="none"/>
        </w:rPr>
        <w:t>0. 变更</w:t>
      </w:r>
      <w:bookmarkEnd w:id="1007"/>
      <w:bookmarkEnd w:id="1008"/>
      <w:bookmarkEnd w:id="1017"/>
      <w:bookmarkEnd w:id="1018"/>
      <w:bookmarkEnd w:id="1019"/>
    </w:p>
    <w:bookmarkEnd w:id="1020"/>
    <w:p w14:paraId="1417940C">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021" w:name="_Toc351203568"/>
      <w:r>
        <w:rPr>
          <w:rFonts w:ascii="Times New Roman" w:hAnsi="Times New Roman" w:eastAsia="黑体"/>
          <w:b w:val="0"/>
          <w:color w:val="auto"/>
          <w:sz w:val="21"/>
          <w:szCs w:val="21"/>
          <w:highlight w:val="none"/>
        </w:rPr>
        <w:t>1</w:t>
      </w:r>
      <w:bookmarkStart w:id="1022" w:name="_Toc296503084"/>
      <w:bookmarkStart w:id="1023" w:name="_Toc337558788"/>
      <w:bookmarkStart w:id="1024" w:name="_Toc296346585"/>
      <w:r>
        <w:rPr>
          <w:rFonts w:ascii="Times New Roman" w:hAnsi="Times New Roman" w:eastAsia="黑体"/>
          <w:b w:val="0"/>
          <w:color w:val="auto"/>
          <w:sz w:val="21"/>
          <w:szCs w:val="21"/>
          <w:highlight w:val="none"/>
        </w:rPr>
        <w:t>0.1变更的范围</w:t>
      </w:r>
      <w:bookmarkEnd w:id="1021"/>
    </w:p>
    <w:bookmarkEnd w:id="1022"/>
    <w:bookmarkEnd w:id="1023"/>
    <w:bookmarkEnd w:id="1024"/>
    <w:p w14:paraId="4BE6C7E1">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除专用合同条款另有约定外，合同履行过程中发生以下情形的，应按照本条约定进行变更：</w:t>
      </w:r>
    </w:p>
    <w:p w14:paraId="5B8A03A9">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（1）增加或减少合同中任何工作，或追加额外的工作；</w:t>
      </w:r>
    </w:p>
    <w:p w14:paraId="744E4418">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（2）取消合同中任何工作，但转由他人实施的工作除外；</w:t>
      </w:r>
    </w:p>
    <w:p w14:paraId="3C55A53F">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（3）改变合同中任何工作的质量标准或其他特性；</w:t>
      </w:r>
    </w:p>
    <w:p w14:paraId="1934F825">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（4）改变工程的基线、标高、位置和尺寸；</w:t>
      </w:r>
    </w:p>
    <w:p w14:paraId="17F85A82">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（5）改变工程的时间安排或实施顺序。</w:t>
      </w:r>
    </w:p>
    <w:p w14:paraId="3D572F0B">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025" w:name="_Toc351203569"/>
      <w:r>
        <w:rPr>
          <w:rFonts w:ascii="Times New Roman" w:hAnsi="Times New Roman" w:eastAsia="黑体"/>
          <w:b w:val="0"/>
          <w:color w:val="auto"/>
          <w:sz w:val="21"/>
          <w:szCs w:val="21"/>
          <w:highlight w:val="none"/>
        </w:rPr>
        <w:t>1</w:t>
      </w:r>
      <w:bookmarkStart w:id="1026" w:name="_Toc296503085"/>
      <w:bookmarkStart w:id="1027" w:name="_Toc337558789"/>
      <w:bookmarkStart w:id="1028" w:name="_Toc296346586"/>
      <w:r>
        <w:rPr>
          <w:rFonts w:ascii="Times New Roman" w:hAnsi="Times New Roman" w:eastAsia="黑体"/>
          <w:b w:val="0"/>
          <w:color w:val="auto"/>
          <w:sz w:val="21"/>
          <w:szCs w:val="21"/>
          <w:highlight w:val="none"/>
        </w:rPr>
        <w:t>0.2变更权</w:t>
      </w:r>
      <w:bookmarkEnd w:id="1025"/>
    </w:p>
    <w:bookmarkEnd w:id="1026"/>
    <w:bookmarkEnd w:id="1027"/>
    <w:bookmarkEnd w:id="1028"/>
    <w:p w14:paraId="64CAB41B">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14:paraId="426FB621">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涉及设计变更的，应由设计人提供变更后的图纸和说明。如变更超过原设计标准或批准的建设规模时，发包人应及时办理规划、设计变更</w:t>
      </w:r>
      <w:r>
        <w:rPr>
          <w:rFonts w:hint="eastAsia" w:ascii="Times New Roman" w:hAnsi="Times New Roman" w:eastAsia="仿宋_GB2312"/>
          <w:color w:val="auto"/>
          <w:kern w:val="0"/>
          <w:sz w:val="21"/>
          <w:szCs w:val="21"/>
          <w:highlight w:val="none"/>
        </w:rPr>
        <w:t>等</w:t>
      </w:r>
      <w:r>
        <w:rPr>
          <w:rFonts w:ascii="Times New Roman" w:hAnsi="Times New Roman" w:eastAsia="仿宋_GB2312"/>
          <w:color w:val="auto"/>
          <w:kern w:val="0"/>
          <w:sz w:val="21"/>
          <w:szCs w:val="21"/>
          <w:highlight w:val="none"/>
        </w:rPr>
        <w:t>审批手续。</w:t>
      </w:r>
    </w:p>
    <w:p w14:paraId="2932174D">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029" w:name="_Toc351203570"/>
      <w:r>
        <w:rPr>
          <w:rFonts w:ascii="Times New Roman" w:hAnsi="Times New Roman" w:eastAsia="黑体"/>
          <w:b w:val="0"/>
          <w:color w:val="auto"/>
          <w:sz w:val="21"/>
          <w:szCs w:val="21"/>
          <w:highlight w:val="none"/>
        </w:rPr>
        <w:t>1</w:t>
      </w:r>
      <w:bookmarkStart w:id="1030" w:name="_Toc337558790"/>
      <w:bookmarkStart w:id="1031" w:name="_Toc296503086"/>
      <w:bookmarkStart w:id="1032" w:name="_Toc296346587"/>
      <w:r>
        <w:rPr>
          <w:rFonts w:ascii="Times New Roman" w:hAnsi="Times New Roman" w:eastAsia="黑体"/>
          <w:b w:val="0"/>
          <w:color w:val="auto"/>
          <w:sz w:val="21"/>
          <w:szCs w:val="21"/>
          <w:highlight w:val="none"/>
        </w:rPr>
        <w:t>0.3变更程序</w:t>
      </w:r>
      <w:bookmarkEnd w:id="1029"/>
    </w:p>
    <w:bookmarkEnd w:id="1030"/>
    <w:bookmarkEnd w:id="1031"/>
    <w:bookmarkEnd w:id="1032"/>
    <w:p w14:paraId="176F3318">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sz w:val="21"/>
          <w:szCs w:val="21"/>
          <w:highlight w:val="none"/>
        </w:rPr>
        <w:t>10</w:t>
      </w:r>
      <w:r>
        <w:rPr>
          <w:rFonts w:ascii="Times New Roman" w:hAnsi="Times New Roman" w:eastAsia="仿宋_GB2312"/>
          <w:color w:val="auto"/>
          <w:kern w:val="0"/>
          <w:sz w:val="21"/>
          <w:szCs w:val="21"/>
          <w:highlight w:val="none"/>
        </w:rPr>
        <w:t>.3.1 发包人提出变更</w:t>
      </w:r>
    </w:p>
    <w:p w14:paraId="787AFEAD">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发包人提出变更的，应通过监理人向承包人发出变更指示，变更指示应说明计划变更的工程范围和变更的内容。</w:t>
      </w:r>
    </w:p>
    <w:p w14:paraId="7F3B36B6">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sz w:val="21"/>
          <w:szCs w:val="21"/>
          <w:highlight w:val="none"/>
        </w:rPr>
        <w:t>10</w:t>
      </w:r>
      <w:r>
        <w:rPr>
          <w:rFonts w:ascii="Times New Roman" w:hAnsi="Times New Roman" w:eastAsia="仿宋_GB2312"/>
          <w:color w:val="auto"/>
          <w:kern w:val="0"/>
          <w:sz w:val="21"/>
          <w:szCs w:val="21"/>
          <w:highlight w:val="none"/>
        </w:rPr>
        <w:t>.3.2 监理人提出变更建议</w:t>
      </w:r>
    </w:p>
    <w:p w14:paraId="25614ADD">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14:paraId="371621CB">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Times New Roman" w:hAnsi="Times New Roman" w:eastAsia="仿宋_GB2312"/>
          <w:color w:val="auto"/>
          <w:sz w:val="21"/>
          <w:szCs w:val="21"/>
          <w:highlight w:val="none"/>
        </w:rPr>
      </w:pPr>
      <w:r>
        <w:rPr>
          <w:rFonts w:hint="eastAsia" w:ascii="Times New Roman" w:hAnsi="Times New Roman" w:eastAsia="仿宋_GB2312"/>
          <w:color w:val="auto"/>
          <w:sz w:val="21"/>
          <w:szCs w:val="21"/>
          <w:highlight w:val="none"/>
        </w:rPr>
        <w:t>10.3.3 变更执行</w:t>
      </w:r>
    </w:p>
    <w:p w14:paraId="3F75E388">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承包人收到监理人下达的变更指示后，</w:t>
      </w:r>
      <w:r>
        <w:rPr>
          <w:rFonts w:hint="eastAsia" w:ascii="Times New Roman" w:hAnsi="Times New Roman" w:eastAsia="仿宋_GB2312"/>
          <w:color w:val="auto"/>
          <w:kern w:val="0"/>
          <w:sz w:val="21"/>
          <w:szCs w:val="21"/>
          <w:highlight w:val="none"/>
        </w:rPr>
        <w:t>认为不能执行，应立即</w:t>
      </w:r>
      <w:r>
        <w:rPr>
          <w:rFonts w:ascii="Times New Roman" w:hAnsi="Times New Roman" w:eastAsia="仿宋_GB2312"/>
          <w:color w:val="auto"/>
          <w:kern w:val="0"/>
          <w:sz w:val="21"/>
          <w:szCs w:val="21"/>
          <w:highlight w:val="none"/>
        </w:rPr>
        <w:t>提出不能执行该变更指示的理由。承包人</w:t>
      </w:r>
      <w:r>
        <w:rPr>
          <w:rFonts w:hint="eastAsia" w:ascii="Times New Roman" w:hAnsi="Times New Roman" w:eastAsia="仿宋_GB2312"/>
          <w:color w:val="auto"/>
          <w:kern w:val="0"/>
          <w:sz w:val="21"/>
          <w:szCs w:val="21"/>
          <w:highlight w:val="none"/>
        </w:rPr>
        <w:t>认为可以</w:t>
      </w:r>
      <w:r>
        <w:rPr>
          <w:rFonts w:ascii="Times New Roman" w:hAnsi="Times New Roman" w:eastAsia="仿宋_GB2312"/>
          <w:color w:val="auto"/>
          <w:kern w:val="0"/>
          <w:sz w:val="21"/>
          <w:szCs w:val="21"/>
          <w:highlight w:val="none"/>
        </w:rPr>
        <w:t>执行变更的，</w:t>
      </w:r>
      <w:r>
        <w:rPr>
          <w:rFonts w:hint="eastAsia" w:ascii="Times New Roman" w:hAnsi="Times New Roman" w:eastAsia="仿宋_GB2312"/>
          <w:color w:val="auto"/>
          <w:kern w:val="0"/>
          <w:sz w:val="21"/>
          <w:szCs w:val="21"/>
          <w:highlight w:val="none"/>
        </w:rPr>
        <w:t>应当书面说明实施该变更指示对合同价格和工期的影响，且合同当事人应当按照第10.4款〔变更估价〕约定确定变更估价</w:t>
      </w:r>
      <w:r>
        <w:rPr>
          <w:rFonts w:ascii="Times New Roman" w:hAnsi="Times New Roman" w:eastAsia="仿宋_GB2312"/>
          <w:color w:val="auto"/>
          <w:kern w:val="0"/>
          <w:sz w:val="21"/>
          <w:szCs w:val="21"/>
          <w:highlight w:val="none"/>
        </w:rPr>
        <w:t>。</w:t>
      </w:r>
    </w:p>
    <w:p w14:paraId="6AB935BE">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033" w:name="_Toc351203571"/>
      <w:r>
        <w:rPr>
          <w:rFonts w:ascii="Times New Roman" w:hAnsi="Times New Roman" w:eastAsia="黑体"/>
          <w:b w:val="0"/>
          <w:color w:val="auto"/>
          <w:sz w:val="21"/>
          <w:szCs w:val="21"/>
          <w:highlight w:val="none"/>
        </w:rPr>
        <w:t>1</w:t>
      </w:r>
      <w:bookmarkStart w:id="1034" w:name="_Toc296503087"/>
      <w:bookmarkStart w:id="1035" w:name="_Toc337558791"/>
      <w:bookmarkStart w:id="1036" w:name="_Toc296346588"/>
      <w:r>
        <w:rPr>
          <w:rFonts w:ascii="Times New Roman" w:hAnsi="Times New Roman" w:eastAsia="黑体"/>
          <w:b w:val="0"/>
          <w:color w:val="auto"/>
          <w:sz w:val="21"/>
          <w:szCs w:val="21"/>
          <w:highlight w:val="none"/>
        </w:rPr>
        <w:t>0.4变更估价</w:t>
      </w:r>
      <w:bookmarkEnd w:id="1033"/>
    </w:p>
    <w:bookmarkEnd w:id="1034"/>
    <w:bookmarkEnd w:id="1035"/>
    <w:bookmarkEnd w:id="1036"/>
    <w:p w14:paraId="49527330">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Times New Roman" w:hAnsi="Times New Roman" w:eastAsia="仿宋_GB2312"/>
          <w:color w:val="auto"/>
          <w:kern w:val="0"/>
          <w:sz w:val="21"/>
          <w:szCs w:val="21"/>
          <w:highlight w:val="none"/>
        </w:rPr>
      </w:pPr>
      <w:r>
        <w:rPr>
          <w:rFonts w:hint="eastAsia" w:ascii="Times New Roman" w:hAnsi="Times New Roman" w:eastAsia="仿宋_GB2312"/>
          <w:color w:val="auto"/>
          <w:kern w:val="0"/>
          <w:sz w:val="21"/>
          <w:szCs w:val="21"/>
          <w:highlight w:val="none"/>
        </w:rPr>
        <w:t>10.4.1 变更估价原则</w:t>
      </w:r>
    </w:p>
    <w:p w14:paraId="141DBE61">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除专用合同条款另有约定外，变更估价按照本款约定处理：</w:t>
      </w:r>
    </w:p>
    <w:p w14:paraId="5EB8E95C">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（1）已标价工程量清单或预算书有相同项目的，按照相同项目单价认定；</w:t>
      </w:r>
    </w:p>
    <w:p w14:paraId="7CE5ADFC">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（2）已标价工程量清单或预算书中无相同项目，但有类似项目的，参照类似项目的单价认定；</w:t>
      </w:r>
    </w:p>
    <w:p w14:paraId="06DEB94C">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商定或确定</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确定变更工作的单价。</w:t>
      </w:r>
    </w:p>
    <w:p w14:paraId="62AD404B">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Times New Roman" w:hAnsi="Times New Roman" w:eastAsia="仿宋_GB2312"/>
          <w:color w:val="auto"/>
          <w:kern w:val="0"/>
          <w:sz w:val="21"/>
          <w:szCs w:val="21"/>
          <w:highlight w:val="none"/>
        </w:rPr>
      </w:pPr>
      <w:r>
        <w:rPr>
          <w:rFonts w:hint="eastAsia" w:ascii="Times New Roman" w:hAnsi="Times New Roman" w:eastAsia="仿宋_GB2312"/>
          <w:color w:val="auto"/>
          <w:kern w:val="0"/>
          <w:sz w:val="21"/>
          <w:szCs w:val="21"/>
          <w:highlight w:val="none"/>
        </w:rPr>
        <w:t>10.4.2 变更估价程序</w:t>
      </w:r>
    </w:p>
    <w:p w14:paraId="6D23FED8">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Times New Roman" w:hAnsi="Times New Roman" w:eastAsia="仿宋_GB2312"/>
          <w:color w:val="auto"/>
          <w:kern w:val="0"/>
          <w:sz w:val="21"/>
          <w:szCs w:val="21"/>
          <w:highlight w:val="none"/>
        </w:rPr>
      </w:pPr>
      <w:r>
        <w:rPr>
          <w:rFonts w:hint="eastAsia" w:ascii="Times New Roman" w:hAnsi="Times New Roman" w:eastAsia="仿宋_GB2312"/>
          <w:color w:val="auto"/>
          <w:kern w:val="0"/>
          <w:sz w:val="21"/>
          <w:szCs w:val="21"/>
          <w:highlight w:val="none"/>
        </w:rPr>
        <w:t>承包人应在收到变更指示后14天内，向监理人提交变更估价申请。监理人应在收到承包人提交的变更估价申请后7天内审查完毕并报送发包人，监理人对变更估价申请有异议</w:t>
      </w:r>
      <w:r>
        <w:rPr>
          <w:rFonts w:ascii="Times New Roman" w:hAnsi="Times New Roman" w:eastAsia="仿宋_GB2312"/>
          <w:color w:val="auto"/>
          <w:kern w:val="0"/>
          <w:sz w:val="21"/>
          <w:szCs w:val="21"/>
          <w:highlight w:val="none"/>
        </w:rPr>
        <w:t>，通知承包人</w:t>
      </w:r>
      <w:r>
        <w:rPr>
          <w:rFonts w:hint="eastAsia" w:ascii="Times New Roman" w:hAnsi="Times New Roman" w:eastAsia="仿宋_GB2312"/>
          <w:color w:val="auto"/>
          <w:kern w:val="0"/>
          <w:sz w:val="21"/>
          <w:szCs w:val="21"/>
          <w:highlight w:val="none"/>
        </w:rPr>
        <w:t>修</w:t>
      </w:r>
      <w:r>
        <w:rPr>
          <w:rFonts w:ascii="Times New Roman" w:hAnsi="Times New Roman" w:eastAsia="仿宋_GB2312"/>
          <w:color w:val="auto"/>
          <w:kern w:val="0"/>
          <w:sz w:val="21"/>
          <w:szCs w:val="21"/>
          <w:highlight w:val="none"/>
        </w:rPr>
        <w:t>改</w:t>
      </w:r>
      <w:r>
        <w:rPr>
          <w:rFonts w:hint="eastAsia" w:ascii="Times New Roman" w:hAnsi="Times New Roman" w:eastAsia="仿宋_GB2312"/>
          <w:color w:val="auto"/>
          <w:kern w:val="0"/>
          <w:sz w:val="21"/>
          <w:szCs w:val="21"/>
          <w:highlight w:val="none"/>
        </w:rPr>
        <w:t>后重新提交</w:t>
      </w:r>
      <w:r>
        <w:rPr>
          <w:rFonts w:ascii="Times New Roman" w:hAnsi="Times New Roman" w:eastAsia="仿宋_GB2312"/>
          <w:color w:val="auto"/>
          <w:kern w:val="0"/>
          <w:sz w:val="21"/>
          <w:szCs w:val="21"/>
          <w:highlight w:val="none"/>
        </w:rPr>
        <w:t>。发包人应在</w:t>
      </w:r>
      <w:r>
        <w:rPr>
          <w:rFonts w:hint="eastAsia" w:ascii="Times New Roman" w:hAnsi="Times New Roman" w:eastAsia="仿宋_GB2312"/>
          <w:color w:val="auto"/>
          <w:kern w:val="0"/>
          <w:sz w:val="21"/>
          <w:szCs w:val="21"/>
          <w:highlight w:val="none"/>
        </w:rPr>
        <w:t>承包人提交变更估价申请</w:t>
      </w:r>
      <w:r>
        <w:rPr>
          <w:rFonts w:ascii="Times New Roman" w:hAnsi="Times New Roman" w:eastAsia="仿宋_GB2312"/>
          <w:color w:val="auto"/>
          <w:kern w:val="0"/>
          <w:sz w:val="21"/>
          <w:szCs w:val="21"/>
          <w:highlight w:val="none"/>
        </w:rPr>
        <w:t>后</w:t>
      </w:r>
      <w:r>
        <w:rPr>
          <w:rFonts w:hint="eastAsia" w:ascii="Times New Roman" w:hAnsi="Times New Roman" w:eastAsia="仿宋_GB2312"/>
          <w:color w:val="auto"/>
          <w:kern w:val="0"/>
          <w:sz w:val="21"/>
          <w:szCs w:val="21"/>
          <w:highlight w:val="none"/>
        </w:rPr>
        <w:t>14</w:t>
      </w:r>
      <w:r>
        <w:rPr>
          <w:rFonts w:ascii="Times New Roman" w:hAnsi="Times New Roman" w:eastAsia="仿宋_GB2312"/>
          <w:color w:val="auto"/>
          <w:kern w:val="0"/>
          <w:sz w:val="21"/>
          <w:szCs w:val="21"/>
          <w:highlight w:val="none"/>
        </w:rPr>
        <w:t>天内审批完毕。</w:t>
      </w:r>
      <w:r>
        <w:rPr>
          <w:rFonts w:hint="eastAsia" w:ascii="Times New Roman" w:hAnsi="Times New Roman" w:eastAsia="仿宋_GB2312"/>
          <w:color w:val="auto"/>
          <w:kern w:val="0"/>
          <w:sz w:val="21"/>
          <w:szCs w:val="21"/>
          <w:highlight w:val="none"/>
        </w:rPr>
        <w:t>发包人逾期未完成审批或未提出异议的，视为认可承包人提交的变更估价申请。</w:t>
      </w:r>
    </w:p>
    <w:p w14:paraId="2D3CFC42">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因变更引起的价格调整应计入最近一期的进度款中支付。</w:t>
      </w:r>
    </w:p>
    <w:p w14:paraId="37B752AF">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037" w:name="_Toc351203572"/>
      <w:r>
        <w:rPr>
          <w:rFonts w:ascii="Times New Roman" w:hAnsi="Times New Roman" w:eastAsia="黑体"/>
          <w:b w:val="0"/>
          <w:color w:val="auto"/>
          <w:sz w:val="21"/>
          <w:szCs w:val="21"/>
          <w:highlight w:val="none"/>
        </w:rPr>
        <w:t>1</w:t>
      </w:r>
      <w:bookmarkStart w:id="1038" w:name="_Toc296346595"/>
      <w:bookmarkStart w:id="1039" w:name="_Toc337558792"/>
      <w:bookmarkStart w:id="1040" w:name="_Toc296503094"/>
      <w:r>
        <w:rPr>
          <w:rFonts w:ascii="Times New Roman" w:hAnsi="Times New Roman" w:eastAsia="黑体"/>
          <w:b w:val="0"/>
          <w:color w:val="auto"/>
          <w:sz w:val="21"/>
          <w:szCs w:val="21"/>
          <w:highlight w:val="none"/>
        </w:rPr>
        <w:t>0.5承包人的合理化建议</w:t>
      </w:r>
      <w:bookmarkEnd w:id="1037"/>
    </w:p>
    <w:bookmarkEnd w:id="1038"/>
    <w:bookmarkEnd w:id="1039"/>
    <w:bookmarkEnd w:id="1040"/>
    <w:p w14:paraId="70D0D948">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承包人提出合理化建议的，应向监理人提交合理化建议说明，说明建议的内容和理由，以及实施该建议对合同价格和工期的影响。</w:t>
      </w:r>
    </w:p>
    <w:p w14:paraId="544FC1F4">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除专用合同条款另有约定外，监理人应在收到承包人提交的合理化建议后7天内审查完毕并报送发包人，发现其中存在技术上的缺陷，应通知承包人修改。发包人应在收到监理人报送的合理化建议后7天内审批完毕。合理化建议经发包人批准的，监理人应及时发出变更指示，由此引起的合同价格调整按照第10.4款</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变更估价</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约定执行。发包人不同意变更的，监理人应书面通知承包人。</w:t>
      </w:r>
    </w:p>
    <w:p w14:paraId="5D113BA9">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合理化建议降低了合同价格或者提高了工程经济效益的，发包人可对承包人给予奖励，奖励的方法和金额在专用合同条款中约定。</w:t>
      </w:r>
    </w:p>
    <w:p w14:paraId="4114CE98">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仿宋_GB2312"/>
          <w:color w:val="auto"/>
          <w:sz w:val="21"/>
          <w:szCs w:val="21"/>
          <w:highlight w:val="none"/>
        </w:rPr>
      </w:pPr>
      <w:bookmarkStart w:id="1041" w:name="_Toc351203573"/>
      <w:r>
        <w:rPr>
          <w:rFonts w:ascii="Times New Roman" w:hAnsi="Times New Roman" w:eastAsia="黑体"/>
          <w:b w:val="0"/>
          <w:color w:val="auto"/>
          <w:sz w:val="21"/>
          <w:szCs w:val="21"/>
          <w:highlight w:val="none"/>
        </w:rPr>
        <w:t>1</w:t>
      </w:r>
      <w:bookmarkStart w:id="1042" w:name="_Toc337558793"/>
      <w:r>
        <w:rPr>
          <w:rFonts w:ascii="Times New Roman" w:hAnsi="Times New Roman" w:eastAsia="黑体"/>
          <w:b w:val="0"/>
          <w:color w:val="auto"/>
          <w:sz w:val="21"/>
          <w:szCs w:val="21"/>
          <w:highlight w:val="none"/>
        </w:rPr>
        <w:t>0.6变更引起的工期调整</w:t>
      </w:r>
      <w:bookmarkEnd w:id="1041"/>
      <w:r>
        <w:rPr>
          <w:rFonts w:ascii="Times New Roman" w:hAnsi="Times New Roman" w:eastAsia="黑体"/>
          <w:b w:val="0"/>
          <w:color w:val="auto"/>
          <w:sz w:val="21"/>
          <w:szCs w:val="21"/>
          <w:highlight w:val="none"/>
        </w:rPr>
        <w:t xml:space="preserve"> </w:t>
      </w:r>
      <w:bookmarkEnd w:id="1042"/>
      <w:r>
        <w:rPr>
          <w:rFonts w:ascii="Times New Roman" w:hAnsi="Times New Roman" w:eastAsia="黑体"/>
          <w:b w:val="0"/>
          <w:color w:val="auto"/>
          <w:sz w:val="21"/>
          <w:szCs w:val="21"/>
          <w:highlight w:val="none"/>
        </w:rPr>
        <w:t xml:space="preserve"> </w:t>
      </w:r>
      <w:r>
        <w:rPr>
          <w:rFonts w:ascii="Times New Roman" w:hAnsi="Times New Roman" w:eastAsia="仿宋_GB2312"/>
          <w:color w:val="auto"/>
          <w:sz w:val="21"/>
          <w:szCs w:val="21"/>
          <w:highlight w:val="none"/>
        </w:rPr>
        <w:t xml:space="preserve"> </w:t>
      </w:r>
    </w:p>
    <w:p w14:paraId="7CEBE3FF">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因变更引起工期变化的，合同当事人均可要求调整合同工期，由合同当事人按照第4.4款</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商定或确定</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并参考工程所在地的工期定额标准确定增减工期天数。</w:t>
      </w:r>
    </w:p>
    <w:p w14:paraId="561DD3B6">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043" w:name="_Toc351203574"/>
      <w:r>
        <w:rPr>
          <w:rFonts w:ascii="Times New Roman" w:hAnsi="Times New Roman" w:eastAsia="黑体"/>
          <w:b w:val="0"/>
          <w:color w:val="auto"/>
          <w:sz w:val="21"/>
          <w:szCs w:val="21"/>
          <w:highlight w:val="none"/>
        </w:rPr>
        <w:t>10.7暂估价</w:t>
      </w:r>
      <w:bookmarkEnd w:id="1043"/>
    </w:p>
    <w:p w14:paraId="09FCAEAA">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暂估价专业分包工程、</w:t>
      </w:r>
      <w:r>
        <w:rPr>
          <w:rFonts w:hint="eastAsia" w:ascii="Times New Roman" w:hAnsi="Times New Roman" w:eastAsia="仿宋_GB2312"/>
          <w:color w:val="auto"/>
          <w:kern w:val="0"/>
          <w:sz w:val="21"/>
          <w:szCs w:val="21"/>
          <w:highlight w:val="none"/>
        </w:rPr>
        <w:t>服务、</w:t>
      </w:r>
      <w:r>
        <w:rPr>
          <w:rFonts w:ascii="Times New Roman" w:hAnsi="Times New Roman" w:eastAsia="仿宋_GB2312"/>
          <w:color w:val="auto"/>
          <w:kern w:val="0"/>
          <w:sz w:val="21"/>
          <w:szCs w:val="21"/>
          <w:highlight w:val="none"/>
        </w:rPr>
        <w:t>材料和工程设备的明细由合同当事人在专用合同条款中约定。</w:t>
      </w:r>
    </w:p>
    <w:p w14:paraId="26F85D9E">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sz w:val="21"/>
          <w:szCs w:val="21"/>
          <w:highlight w:val="none"/>
        </w:rPr>
        <w:t>10.7.1</w:t>
      </w:r>
      <w:r>
        <w:rPr>
          <w:rFonts w:ascii="Times New Roman" w:hAnsi="Times New Roman" w:eastAsia="仿宋_GB2312"/>
          <w:color w:val="auto"/>
          <w:kern w:val="0"/>
          <w:sz w:val="21"/>
          <w:szCs w:val="21"/>
          <w:highlight w:val="none"/>
        </w:rPr>
        <w:t xml:space="preserve"> 依法必须招标的暂估价项目</w:t>
      </w:r>
    </w:p>
    <w:p w14:paraId="4D18014D">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对于依法必须招标的暂估价项目，采取以下第1种方式确定</w:t>
      </w:r>
      <w:r>
        <w:rPr>
          <w:rFonts w:hint="eastAsia" w:ascii="Times New Roman" w:hAnsi="Times New Roman" w:eastAsia="仿宋_GB2312"/>
          <w:color w:val="auto"/>
          <w:kern w:val="0"/>
          <w:sz w:val="21"/>
          <w:szCs w:val="21"/>
          <w:highlight w:val="none"/>
        </w:rPr>
        <w:t>。合同当事人也可以在</w:t>
      </w:r>
      <w:r>
        <w:rPr>
          <w:rFonts w:ascii="Times New Roman" w:hAnsi="Times New Roman" w:eastAsia="仿宋_GB2312"/>
          <w:color w:val="auto"/>
          <w:kern w:val="0"/>
          <w:sz w:val="21"/>
          <w:szCs w:val="21"/>
          <w:highlight w:val="none"/>
        </w:rPr>
        <w:t>专用合同条款</w:t>
      </w:r>
      <w:r>
        <w:rPr>
          <w:rFonts w:hint="eastAsia" w:ascii="Times New Roman" w:hAnsi="Times New Roman" w:eastAsia="仿宋_GB2312"/>
          <w:color w:val="auto"/>
          <w:kern w:val="0"/>
          <w:sz w:val="21"/>
          <w:szCs w:val="21"/>
          <w:highlight w:val="none"/>
        </w:rPr>
        <w:t>中选择其他招标方式。</w:t>
      </w:r>
    </w:p>
    <w:p w14:paraId="779D017B">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第1种方式：对于依法必须招标的暂估价项目，由承包人招标，对该暂估价项目的确认和批准按照以下约定执行：</w:t>
      </w:r>
    </w:p>
    <w:p w14:paraId="1A335E54">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571D61CB">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（2）承包人应当根据施工进度计划，提前14天将招标文件通过监理人报送发包人审批，发包人应当在收到承包人报送的相关文件后7天内完成审批或提出修改意见；发包人有权确定招标控制价</w:t>
      </w:r>
      <w:r>
        <w:rPr>
          <w:rFonts w:hint="eastAsia" w:ascii="Times New Roman" w:hAnsi="Times New Roman" w:eastAsia="仿宋_GB2312"/>
          <w:color w:val="auto"/>
          <w:kern w:val="0"/>
          <w:sz w:val="21"/>
          <w:szCs w:val="21"/>
          <w:highlight w:val="none"/>
        </w:rPr>
        <w:t>并按照法律规定参加评标</w:t>
      </w:r>
      <w:r>
        <w:rPr>
          <w:rFonts w:ascii="Times New Roman" w:hAnsi="Times New Roman" w:eastAsia="仿宋_GB2312"/>
          <w:color w:val="auto"/>
          <w:kern w:val="0"/>
          <w:sz w:val="21"/>
          <w:szCs w:val="21"/>
          <w:highlight w:val="none"/>
        </w:rPr>
        <w:t>；</w:t>
      </w:r>
    </w:p>
    <w:p w14:paraId="4D3D1921">
      <w:pPr>
        <w:pageBreakBefore w:val="0"/>
        <w:widowControl w:val="0"/>
        <w:kinsoku/>
        <w:wordWrap/>
        <w:overflowPunct/>
        <w:topLinePunct w:val="0"/>
        <w:bidi w:val="0"/>
        <w:adjustRightInd w:val="0"/>
        <w:snapToGrid w:val="0"/>
        <w:spacing w:line="360" w:lineRule="auto"/>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 xml:space="preserve">    （3）承包人与</w:t>
      </w:r>
      <w:r>
        <w:rPr>
          <w:rFonts w:hint="eastAsia" w:eastAsia="仿宋_GB2312"/>
          <w:color w:val="auto"/>
          <w:kern w:val="0"/>
          <w:sz w:val="21"/>
          <w:szCs w:val="21"/>
          <w:highlight w:val="none"/>
          <w:lang w:eastAsia="zh-CN"/>
        </w:rPr>
        <w:t>投标单位</w:t>
      </w:r>
      <w:r>
        <w:rPr>
          <w:rFonts w:ascii="Times New Roman" w:hAnsi="Times New Roman" w:eastAsia="仿宋_GB2312"/>
          <w:color w:val="auto"/>
          <w:kern w:val="0"/>
          <w:sz w:val="21"/>
          <w:szCs w:val="21"/>
          <w:highlight w:val="none"/>
        </w:rPr>
        <w:t>、分包人在签订暂估价合同前，应当提前7天将确定的中标候选</w:t>
      </w:r>
      <w:r>
        <w:rPr>
          <w:rFonts w:hint="eastAsia" w:eastAsia="仿宋_GB2312"/>
          <w:color w:val="auto"/>
          <w:kern w:val="0"/>
          <w:sz w:val="21"/>
          <w:szCs w:val="21"/>
          <w:highlight w:val="none"/>
          <w:lang w:eastAsia="zh-CN"/>
        </w:rPr>
        <w:t>投标单位</w:t>
      </w:r>
      <w:r>
        <w:rPr>
          <w:rFonts w:ascii="Times New Roman" w:hAnsi="Times New Roman" w:eastAsia="仿宋_GB2312"/>
          <w:color w:val="auto"/>
          <w:kern w:val="0"/>
          <w:sz w:val="21"/>
          <w:szCs w:val="21"/>
          <w:highlight w:val="none"/>
        </w:rPr>
        <w:t>或中标候选分包人的资料报送发包人，发包人应在收到资料后3天内与承包人共同确定中标人；承包人应当在签订合同后7天内，将暂估价合同副本报送发包人留存。</w:t>
      </w:r>
    </w:p>
    <w:p w14:paraId="04310FEE">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第2种方式：对于依法必须招标的暂估价项目，由发包人和承包人共同招标确定暂估价</w:t>
      </w:r>
      <w:r>
        <w:rPr>
          <w:rFonts w:hint="eastAsia" w:eastAsia="仿宋_GB2312"/>
          <w:color w:val="auto"/>
          <w:kern w:val="0"/>
          <w:sz w:val="21"/>
          <w:szCs w:val="21"/>
          <w:highlight w:val="none"/>
          <w:lang w:eastAsia="zh-CN"/>
        </w:rPr>
        <w:t>投标单位</w:t>
      </w:r>
      <w:r>
        <w:rPr>
          <w:rFonts w:ascii="Times New Roman" w:hAnsi="Times New Roman" w:eastAsia="仿宋_GB2312"/>
          <w:color w:val="auto"/>
          <w:kern w:val="0"/>
          <w:sz w:val="21"/>
          <w:szCs w:val="21"/>
          <w:highlight w:val="none"/>
        </w:rPr>
        <w:t>或分包人的，承包人应按照施工进度计划，在招标工作启动前14天通知发包人，并提交暂估价招标方案和工作分工。发包人应在收到后7天内确认。确定中标人后，由发包人、承包人与中标人共同签订暂估价合同。</w:t>
      </w:r>
    </w:p>
    <w:p w14:paraId="733D66EE">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sz w:val="21"/>
          <w:szCs w:val="21"/>
          <w:highlight w:val="none"/>
        </w:rPr>
        <w:t>10.7.2</w:t>
      </w:r>
      <w:r>
        <w:rPr>
          <w:rFonts w:ascii="Times New Roman" w:hAnsi="Times New Roman" w:eastAsia="仿宋_GB2312"/>
          <w:color w:val="auto"/>
          <w:kern w:val="0"/>
          <w:sz w:val="21"/>
          <w:szCs w:val="21"/>
          <w:highlight w:val="none"/>
        </w:rPr>
        <w:t>不属于依法必须招标的暂估价项目</w:t>
      </w:r>
    </w:p>
    <w:p w14:paraId="47DBDE5D">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除专用合同条款另有约定外，对于不属于依法必须招标的暂估价项目，采取以下第1种方式确定：</w:t>
      </w:r>
      <w:r>
        <w:rPr>
          <w:rFonts w:hint="eastAsia" w:ascii="Times New Roman" w:hAnsi="Times New Roman" w:eastAsia="仿宋_GB2312"/>
          <w:color w:val="auto"/>
          <w:kern w:val="0"/>
          <w:sz w:val="21"/>
          <w:szCs w:val="21"/>
          <w:highlight w:val="none"/>
        </w:rPr>
        <w:t xml:space="preserve"> </w:t>
      </w:r>
    </w:p>
    <w:p w14:paraId="4532D3E0">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第1种方式：对于不属于依法必须招标的暂估价项目，按本项约定确认和批准：</w:t>
      </w:r>
    </w:p>
    <w:p w14:paraId="68B15CDC">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57B5DE22">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（2）发包人认为承包人确定的</w:t>
      </w:r>
      <w:r>
        <w:rPr>
          <w:rFonts w:hint="eastAsia" w:eastAsia="仿宋_GB2312"/>
          <w:color w:val="auto"/>
          <w:kern w:val="0"/>
          <w:sz w:val="21"/>
          <w:szCs w:val="21"/>
          <w:highlight w:val="none"/>
          <w:lang w:eastAsia="zh-CN"/>
        </w:rPr>
        <w:t>投标单位</w:t>
      </w:r>
      <w:r>
        <w:rPr>
          <w:rFonts w:ascii="Times New Roman" w:hAnsi="Times New Roman" w:eastAsia="仿宋_GB2312"/>
          <w:color w:val="auto"/>
          <w:kern w:val="0"/>
          <w:sz w:val="21"/>
          <w:szCs w:val="21"/>
          <w:highlight w:val="none"/>
        </w:rPr>
        <w:t>、分包人无法满足工程质量或合同要求的，发包人可以要求承包人重新确定暂估价项目的</w:t>
      </w:r>
      <w:r>
        <w:rPr>
          <w:rFonts w:hint="eastAsia" w:eastAsia="仿宋_GB2312"/>
          <w:color w:val="auto"/>
          <w:kern w:val="0"/>
          <w:sz w:val="21"/>
          <w:szCs w:val="21"/>
          <w:highlight w:val="none"/>
          <w:lang w:eastAsia="zh-CN"/>
        </w:rPr>
        <w:t>投标单位</w:t>
      </w:r>
      <w:r>
        <w:rPr>
          <w:rFonts w:ascii="Times New Roman" w:hAnsi="Times New Roman" w:eastAsia="仿宋_GB2312"/>
          <w:color w:val="auto"/>
          <w:kern w:val="0"/>
          <w:sz w:val="21"/>
          <w:szCs w:val="21"/>
          <w:highlight w:val="none"/>
        </w:rPr>
        <w:t>、分包人</w:t>
      </w:r>
      <w:r>
        <w:rPr>
          <w:rFonts w:hint="eastAsia" w:eastAsia="仿宋_GB2312"/>
          <w:color w:val="auto"/>
          <w:kern w:val="0"/>
          <w:sz w:val="21"/>
          <w:szCs w:val="21"/>
          <w:highlight w:val="none"/>
          <w:lang w:eastAsia="zh-CN"/>
        </w:rPr>
        <w:t>；</w:t>
      </w:r>
    </w:p>
    <w:p w14:paraId="62C46AF4">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（3）承包人应当在签订暂估价合同后7天内，将暂估价合同副本报送发包人留存。</w:t>
      </w:r>
    </w:p>
    <w:p w14:paraId="7CDFE4E1">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第2种方式：承包人按照第10.7.1项</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依法必须招标的暂估价项目</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约定的第1种方式确定暂估价项目。</w:t>
      </w:r>
    </w:p>
    <w:p w14:paraId="5275077D">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sz w:val="21"/>
          <w:szCs w:val="21"/>
          <w:highlight w:val="none"/>
        </w:rPr>
        <w:t>第3种方式：</w:t>
      </w:r>
      <w:r>
        <w:rPr>
          <w:rFonts w:ascii="Times New Roman" w:hAnsi="Times New Roman" w:eastAsia="仿宋_GB2312"/>
          <w:color w:val="auto"/>
          <w:kern w:val="0"/>
          <w:sz w:val="21"/>
          <w:szCs w:val="21"/>
          <w:highlight w:val="none"/>
        </w:rPr>
        <w:t>承包人直接实施的暂估价项目</w:t>
      </w:r>
    </w:p>
    <w:p w14:paraId="420F6F9C">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承包人具备实施暂估价项目的资格和条件的，经发包人和承包人协商一致后，可由承包人自行实施暂估价项目，合同当事人可以在专用合同条款约定具体事项。</w:t>
      </w:r>
    </w:p>
    <w:p w14:paraId="3DB68BEF">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10.7.3 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14:paraId="2DF08F13">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044" w:name="_Toc351203575"/>
      <w:r>
        <w:rPr>
          <w:rFonts w:ascii="Times New Roman" w:hAnsi="Times New Roman" w:eastAsia="黑体"/>
          <w:b w:val="0"/>
          <w:color w:val="auto"/>
          <w:sz w:val="21"/>
          <w:szCs w:val="21"/>
          <w:highlight w:val="none"/>
        </w:rPr>
        <w:t>1</w:t>
      </w:r>
      <w:bookmarkStart w:id="1045" w:name="_Toc337558794"/>
      <w:bookmarkStart w:id="1046" w:name="_Toc296503090"/>
      <w:bookmarkStart w:id="1047" w:name="_Toc296346591"/>
      <w:bookmarkStart w:id="1048" w:name="_Toc322522561"/>
      <w:r>
        <w:rPr>
          <w:rFonts w:ascii="Times New Roman" w:hAnsi="Times New Roman" w:eastAsia="黑体"/>
          <w:b w:val="0"/>
          <w:color w:val="auto"/>
          <w:sz w:val="21"/>
          <w:szCs w:val="21"/>
          <w:highlight w:val="none"/>
        </w:rPr>
        <w:t>0.8暂列金额</w:t>
      </w:r>
      <w:bookmarkEnd w:id="1044"/>
    </w:p>
    <w:bookmarkEnd w:id="1045"/>
    <w:p w14:paraId="62BCBE2E">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暂列金额应按照发包人的要求使用，发包人的要求应通过监理人发出。</w:t>
      </w:r>
      <w:r>
        <w:rPr>
          <w:rFonts w:hint="eastAsia" w:ascii="Times New Roman" w:hAnsi="Times New Roman" w:eastAsia="仿宋_GB2312"/>
          <w:color w:val="auto"/>
          <w:kern w:val="0"/>
          <w:sz w:val="21"/>
          <w:szCs w:val="21"/>
          <w:highlight w:val="none"/>
        </w:rPr>
        <w:t>合同当事人可以在专用合同条款中协商确定有关事项。</w:t>
      </w:r>
    </w:p>
    <w:bookmarkEnd w:id="1046"/>
    <w:bookmarkEnd w:id="1047"/>
    <w:bookmarkEnd w:id="1048"/>
    <w:p w14:paraId="296D9941">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049" w:name="_Toc351203576"/>
      <w:r>
        <w:rPr>
          <w:rFonts w:ascii="Times New Roman" w:hAnsi="Times New Roman" w:eastAsia="黑体"/>
          <w:b w:val="0"/>
          <w:color w:val="auto"/>
          <w:sz w:val="21"/>
          <w:szCs w:val="21"/>
          <w:highlight w:val="none"/>
        </w:rPr>
        <w:t>1</w:t>
      </w:r>
      <w:bookmarkStart w:id="1050" w:name="_Toc296503091"/>
      <w:bookmarkStart w:id="1051" w:name="_Toc337558796"/>
      <w:bookmarkStart w:id="1052" w:name="_Toc296346592"/>
      <w:r>
        <w:rPr>
          <w:rFonts w:ascii="Times New Roman" w:hAnsi="Times New Roman" w:eastAsia="黑体"/>
          <w:b w:val="0"/>
          <w:color w:val="auto"/>
          <w:sz w:val="21"/>
          <w:szCs w:val="21"/>
          <w:highlight w:val="none"/>
        </w:rPr>
        <w:t>0.9计日工</w:t>
      </w:r>
      <w:bookmarkEnd w:id="1049"/>
      <w:r>
        <w:rPr>
          <w:rFonts w:ascii="Times New Roman" w:hAnsi="Times New Roman" w:eastAsia="黑体"/>
          <w:b w:val="0"/>
          <w:color w:val="auto"/>
          <w:sz w:val="21"/>
          <w:szCs w:val="21"/>
          <w:highlight w:val="none"/>
        </w:rPr>
        <w:t xml:space="preserve"> </w:t>
      </w:r>
      <w:bookmarkEnd w:id="1050"/>
      <w:bookmarkEnd w:id="1051"/>
      <w:bookmarkEnd w:id="1052"/>
    </w:p>
    <w:p w14:paraId="2AFD052B">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hint="eastAsia" w:ascii="Times New Roman" w:hAnsi="Times New Roman" w:eastAsia="仿宋_GB2312"/>
          <w:color w:val="auto"/>
          <w:kern w:val="0"/>
          <w:sz w:val="21"/>
          <w:szCs w:val="21"/>
          <w:highlight w:val="none"/>
        </w:rPr>
        <w:t>需要采用计日工方式的，经发包人同意后</w:t>
      </w:r>
      <w:r>
        <w:rPr>
          <w:rFonts w:ascii="Times New Roman" w:hAnsi="Times New Roman" w:eastAsia="仿宋_GB2312"/>
          <w:color w:val="auto"/>
          <w:kern w:val="0"/>
          <w:sz w:val="21"/>
          <w:szCs w:val="21"/>
          <w:highlight w:val="none"/>
        </w:rPr>
        <w:t>，由监理人通知承包人以计日工计价方式实施</w:t>
      </w:r>
      <w:r>
        <w:rPr>
          <w:rFonts w:hint="eastAsia" w:ascii="Times New Roman" w:hAnsi="Times New Roman" w:eastAsia="仿宋_GB2312"/>
          <w:color w:val="auto"/>
          <w:kern w:val="0"/>
          <w:sz w:val="21"/>
          <w:szCs w:val="21"/>
          <w:highlight w:val="none"/>
        </w:rPr>
        <w:t>相应</w:t>
      </w:r>
      <w:r>
        <w:rPr>
          <w:rFonts w:ascii="Times New Roman" w:hAnsi="Times New Roman" w:eastAsia="仿宋_GB2312"/>
          <w:color w:val="auto"/>
          <w:kern w:val="0"/>
          <w:sz w:val="21"/>
          <w:szCs w:val="21"/>
          <w:highlight w:val="none"/>
        </w:rPr>
        <w:t>的工作，其价款按列入已标价工程量清单或预算书中的计日工计价项目及其单价进行计算；已标价工程量清单或预算书中无相应的计日工单价的，按照合理的成本与利润构成的原则，由合同当事人按照第4.4款</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商定或确定</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确定</w:t>
      </w:r>
      <w:r>
        <w:rPr>
          <w:rFonts w:hint="eastAsia" w:ascii="Times New Roman" w:hAnsi="Times New Roman" w:eastAsia="仿宋_GB2312"/>
          <w:color w:val="auto"/>
          <w:kern w:val="0"/>
          <w:sz w:val="21"/>
          <w:szCs w:val="21"/>
          <w:highlight w:val="none"/>
        </w:rPr>
        <w:t>计日工</w:t>
      </w:r>
      <w:r>
        <w:rPr>
          <w:rFonts w:ascii="Times New Roman" w:hAnsi="Times New Roman" w:eastAsia="仿宋_GB2312"/>
          <w:color w:val="auto"/>
          <w:kern w:val="0"/>
          <w:sz w:val="21"/>
          <w:szCs w:val="21"/>
          <w:highlight w:val="none"/>
        </w:rPr>
        <w:t>的单价。</w:t>
      </w:r>
    </w:p>
    <w:p w14:paraId="0849E8ED">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采用计日工计价的任何一项工作，承包人应在该项工作实施过程中，每天提交以下报表和有关凭证报送监理人审查：</w:t>
      </w:r>
    </w:p>
    <w:p w14:paraId="2A9AE622">
      <w:pPr>
        <w:pageBreakBefore w:val="0"/>
        <w:widowControl w:val="0"/>
        <w:kinsoku/>
        <w:wordWrap/>
        <w:overflowPunct/>
        <w:topLinePunct w:val="0"/>
        <w:bidi w:val="0"/>
        <w:adjustRightInd w:val="0"/>
        <w:snapToGrid w:val="0"/>
        <w:spacing w:line="360" w:lineRule="auto"/>
        <w:ind w:firstLine="315" w:firstLineChars="15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（1）工作名称、内容和数量；</w:t>
      </w:r>
    </w:p>
    <w:p w14:paraId="193C4ED0">
      <w:pPr>
        <w:pageBreakBefore w:val="0"/>
        <w:widowControl w:val="0"/>
        <w:kinsoku/>
        <w:wordWrap/>
        <w:overflowPunct/>
        <w:topLinePunct w:val="0"/>
        <w:bidi w:val="0"/>
        <w:adjustRightInd w:val="0"/>
        <w:snapToGrid w:val="0"/>
        <w:spacing w:line="360" w:lineRule="auto"/>
        <w:ind w:firstLine="315" w:firstLineChars="15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（2）投入该工作的所有人员的姓名、专业、工种、级别和耗用工时；</w:t>
      </w:r>
    </w:p>
    <w:p w14:paraId="2BB5A808">
      <w:pPr>
        <w:pageBreakBefore w:val="0"/>
        <w:widowControl w:val="0"/>
        <w:kinsoku/>
        <w:wordWrap/>
        <w:overflowPunct/>
        <w:topLinePunct w:val="0"/>
        <w:bidi w:val="0"/>
        <w:adjustRightInd w:val="0"/>
        <w:snapToGrid w:val="0"/>
        <w:spacing w:line="360" w:lineRule="auto"/>
        <w:ind w:firstLine="315" w:firstLineChars="15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（3）投入该工作的材料类别和数量；</w:t>
      </w:r>
    </w:p>
    <w:p w14:paraId="46AD5835">
      <w:pPr>
        <w:pageBreakBefore w:val="0"/>
        <w:widowControl w:val="0"/>
        <w:kinsoku/>
        <w:wordWrap/>
        <w:overflowPunct/>
        <w:topLinePunct w:val="0"/>
        <w:bidi w:val="0"/>
        <w:adjustRightInd w:val="0"/>
        <w:snapToGrid w:val="0"/>
        <w:spacing w:line="360" w:lineRule="auto"/>
        <w:ind w:firstLine="315" w:firstLineChars="15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（4）投入该工作的施工设备型号、台数和耗用台时；</w:t>
      </w:r>
    </w:p>
    <w:p w14:paraId="492A4304">
      <w:pPr>
        <w:pageBreakBefore w:val="0"/>
        <w:widowControl w:val="0"/>
        <w:kinsoku/>
        <w:wordWrap/>
        <w:overflowPunct/>
        <w:topLinePunct w:val="0"/>
        <w:bidi w:val="0"/>
        <w:adjustRightInd w:val="0"/>
        <w:snapToGrid w:val="0"/>
        <w:spacing w:line="360" w:lineRule="auto"/>
        <w:ind w:firstLine="315" w:firstLineChars="15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（5）其他有关资料和凭证。</w:t>
      </w:r>
    </w:p>
    <w:p w14:paraId="17629F8D">
      <w:pPr>
        <w:pageBreakBefore w:val="0"/>
        <w:widowControl w:val="0"/>
        <w:kinsoku/>
        <w:wordWrap/>
        <w:overflowPunct/>
        <w:topLinePunct w:val="0"/>
        <w:bidi w:val="0"/>
        <w:adjustRightInd w:val="0"/>
        <w:snapToGrid w:val="0"/>
        <w:spacing w:line="360" w:lineRule="auto"/>
        <w:ind w:firstLine="315" w:firstLineChars="15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 xml:space="preserve"> 计日工由承包人汇总后，列入最近一期进度付款申请单，由监理人审查并经发包人批准后列入进度付款。</w:t>
      </w:r>
    </w:p>
    <w:p w14:paraId="77A45334">
      <w:pPr>
        <w:pStyle w:val="5"/>
        <w:pageBreakBefore w:val="0"/>
        <w:widowControl w:val="0"/>
        <w:kinsoku/>
        <w:wordWrap/>
        <w:overflowPunct/>
        <w:topLinePunct w:val="0"/>
        <w:bidi w:val="0"/>
        <w:adjustRightInd w:val="0"/>
        <w:snapToGrid w:val="0"/>
        <w:spacing w:before="0" w:after="0" w:line="360" w:lineRule="auto"/>
        <w:textAlignment w:val="auto"/>
        <w:outlineLvl w:val="3"/>
        <w:rPr>
          <w:rFonts w:eastAsia="黑体"/>
          <w:bCs/>
          <w:color w:val="auto"/>
          <w:sz w:val="21"/>
          <w:szCs w:val="21"/>
          <w:highlight w:val="none"/>
        </w:rPr>
      </w:pPr>
      <w:bookmarkStart w:id="1053" w:name="_Toc23792"/>
      <w:bookmarkStart w:id="1054" w:name="_Toc351203577"/>
      <w:bookmarkStart w:id="1055" w:name="_Toc17783"/>
      <w:r>
        <w:rPr>
          <w:rFonts w:eastAsia="黑体"/>
          <w:bCs/>
          <w:color w:val="auto"/>
          <w:sz w:val="21"/>
          <w:szCs w:val="21"/>
          <w:highlight w:val="none"/>
        </w:rPr>
        <w:t>11. 价格调整</w:t>
      </w:r>
      <w:bookmarkEnd w:id="1053"/>
      <w:bookmarkEnd w:id="1054"/>
      <w:bookmarkEnd w:id="1055"/>
    </w:p>
    <w:p w14:paraId="57FB4325">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056" w:name="_Toc351203578"/>
      <w:bookmarkStart w:id="1057" w:name="_Toc296503092"/>
      <w:bookmarkStart w:id="1058" w:name="_Toc337558797"/>
      <w:bookmarkStart w:id="1059" w:name="_Toc296346593"/>
      <w:r>
        <w:rPr>
          <w:rFonts w:ascii="Times New Roman" w:hAnsi="Times New Roman" w:eastAsia="黑体"/>
          <w:b w:val="0"/>
          <w:color w:val="auto"/>
          <w:sz w:val="21"/>
          <w:szCs w:val="21"/>
          <w:highlight w:val="none"/>
        </w:rPr>
        <w:t>11.1市场价格波动引起的调整</w:t>
      </w:r>
      <w:bookmarkEnd w:id="1056"/>
    </w:p>
    <w:bookmarkEnd w:id="1057"/>
    <w:bookmarkEnd w:id="1058"/>
    <w:bookmarkEnd w:id="1059"/>
    <w:p w14:paraId="3880E011">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除专用合同条款另有约定外，市场价格波动超过合同当事人约定的范围，合同价格应当调整。合同当事人可以在专用合同条款中约定选择以下一种方式对合同价格进行调整：</w:t>
      </w:r>
    </w:p>
    <w:p w14:paraId="6453D50D">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第1种方式：采用价格指数</w:t>
      </w:r>
      <w:r>
        <w:rPr>
          <w:rFonts w:hint="eastAsia" w:ascii="Times New Roman" w:hAnsi="Times New Roman" w:eastAsia="仿宋_GB2312"/>
          <w:color w:val="auto"/>
          <w:sz w:val="21"/>
          <w:szCs w:val="21"/>
          <w:highlight w:val="none"/>
        </w:rPr>
        <w:t>进行价格</w:t>
      </w:r>
      <w:r>
        <w:rPr>
          <w:rFonts w:ascii="Times New Roman" w:hAnsi="Times New Roman" w:eastAsia="仿宋_GB2312"/>
          <w:color w:val="auto"/>
          <w:sz w:val="21"/>
          <w:szCs w:val="21"/>
          <w:highlight w:val="none"/>
        </w:rPr>
        <w:t>调整。</w:t>
      </w:r>
    </w:p>
    <w:p w14:paraId="41EA0C9D">
      <w:pPr>
        <w:pageBreakBefore w:val="0"/>
        <w:widowControl w:val="0"/>
        <w:tabs>
          <w:tab w:val="left" w:pos="0"/>
          <w:tab w:val="left" w:pos="360"/>
          <w:tab w:val="left" w:pos="540"/>
        </w:tabs>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（1）价格调整公式</w:t>
      </w:r>
    </w:p>
    <w:p w14:paraId="582B884D">
      <w:pPr>
        <w:pageBreakBefore w:val="0"/>
        <w:widowControl w:val="0"/>
        <w:tabs>
          <w:tab w:val="left" w:pos="0"/>
          <w:tab w:val="left" w:pos="360"/>
          <w:tab w:val="left" w:pos="540"/>
        </w:tabs>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因人工、材料和设备等价格波动影响合同价格时，根据专用合同条款中约定的数据，按以下公式计算差额并调整合同价格：</w:t>
      </w:r>
    </w:p>
    <w:p w14:paraId="74B7C607">
      <w:pPr>
        <w:pageBreakBefore w:val="0"/>
        <w:widowControl w:val="0"/>
        <w:tabs>
          <w:tab w:val="left" w:pos="0"/>
          <w:tab w:val="left" w:pos="360"/>
          <w:tab w:val="left" w:pos="540"/>
        </w:tabs>
        <w:kinsoku/>
        <w:wordWrap/>
        <w:overflowPunct/>
        <w:topLinePunct w:val="0"/>
        <w:bidi w:val="0"/>
        <w:adjustRightInd w:val="0"/>
        <w:snapToGrid w:val="0"/>
        <w:spacing w:line="360" w:lineRule="auto"/>
        <w:ind w:firstLine="420" w:firstLineChars="200"/>
        <w:textAlignment w:val="auto"/>
        <w:rPr>
          <w:rFonts w:hint="eastAsia" w:ascii="Times New Roman" w:hAnsi="Times New Roman" w:eastAsia="仿宋_GB2312"/>
          <w:color w:val="auto"/>
          <w:sz w:val="21"/>
          <w:szCs w:val="21"/>
          <w:highlight w:val="none"/>
        </w:rPr>
      </w:pPr>
      <w:r>
        <w:rPr>
          <w:rFonts w:hint="eastAsia" w:ascii="Times New Roman" w:hAnsi="Times New Roman" w:eastAsia="仿宋_GB2312"/>
          <w:color w:val="auto"/>
          <w:position w:val="-30"/>
          <w:sz w:val="21"/>
          <w:szCs w:val="21"/>
          <w:highlight w:val="none"/>
        </w:rPr>
        <w:object>
          <v:shape id="_x0000_i1025" o:spt="75" type="#_x0000_t75" style="height:43.9pt;width:359.85pt;" o:ole="t" filled="f" stroked="f" coordsize="21600,21600">
            <v:path/>
            <v:fill on="f" focussize="0,0"/>
            <v:stroke on="f"/>
            <v:imagedata r:id="rId62" o:title=""/>
            <o:lock v:ext="edit" grouping="f" rotation="f" text="f" aspectratio="t"/>
            <w10:wrap type="none"/>
            <w10:anchorlock/>
          </v:shape>
          <o:OLEObject Type="Embed" ProgID="Equation.KSEE3" ShapeID="_x0000_i1025" DrawAspect="Content" ObjectID="_1468075725" r:id="rId61">
            <o:LockedField>false</o:LockedField>
          </o:OLEObject>
        </w:object>
      </w:r>
    </w:p>
    <w:p w14:paraId="79FCE3DD">
      <w:pPr>
        <w:pageBreakBefore w:val="0"/>
        <w:widowControl w:val="0"/>
        <w:tabs>
          <w:tab w:val="left" w:pos="0"/>
          <w:tab w:val="left" w:pos="360"/>
          <w:tab w:val="left" w:pos="540"/>
        </w:tabs>
        <w:kinsoku/>
        <w:wordWrap/>
        <w:overflowPunct/>
        <w:topLinePunct w:val="0"/>
        <w:bidi w:val="0"/>
        <w:adjustRightInd w:val="0"/>
        <w:snapToGrid w:val="0"/>
        <w:spacing w:line="360" w:lineRule="auto"/>
        <w:ind w:firstLine="64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公式中：ΔP——需调整的价格差额；</w:t>
      </w:r>
    </w:p>
    <w:p w14:paraId="42ABCBE0">
      <w:pPr>
        <w:pageBreakBefore w:val="0"/>
        <w:widowControl w:val="0"/>
        <w:tabs>
          <w:tab w:val="left" w:pos="0"/>
          <w:tab w:val="left" w:pos="360"/>
          <w:tab w:val="left" w:pos="540"/>
        </w:tabs>
        <w:kinsoku/>
        <w:wordWrap/>
        <w:overflowPunct/>
        <w:topLinePunct w:val="0"/>
        <w:bidi w:val="0"/>
        <w:adjustRightInd w:val="0"/>
        <w:snapToGrid w:val="0"/>
        <w:spacing w:line="360" w:lineRule="auto"/>
        <w:ind w:firstLine="1260" w:firstLineChars="600"/>
        <w:textAlignment w:val="auto"/>
        <w:rPr>
          <w:rFonts w:ascii="Times New Roman" w:hAnsi="Times New Roman" w:eastAsia="仿宋_GB2312"/>
          <w:color w:val="auto"/>
          <w:sz w:val="21"/>
          <w:szCs w:val="21"/>
          <w:highlight w:val="none"/>
        </w:rPr>
      </w:pPr>
      <w:r>
        <w:rPr>
          <w:rFonts w:ascii="Times New Roman" w:hAnsi="Times New Roman" w:eastAsia="仿宋_GB2312"/>
          <w:color w:val="auto"/>
          <w:position w:val="-6"/>
          <w:sz w:val="21"/>
          <w:szCs w:val="21"/>
          <w:highlight w:val="none"/>
        </w:rPr>
        <w:object>
          <v:shape id="_x0000_i1026" o:spt="75" type="#_x0000_t75" style="height:17.95pt;width:17.95pt;" o:ole="t" filled="f" stroked="f" coordsize="21600,21600">
            <v:path/>
            <v:fill on="f" focussize="0,0"/>
            <v:stroke on="f"/>
            <v:imagedata r:id="rId64" o:title=""/>
            <o:lock v:ext="edit" grouping="f" rotation="f" text="f" aspectratio="t"/>
            <w10:wrap type="none"/>
            <w10:anchorlock/>
          </v:shape>
          <o:OLEObject Type="Embed" ProgID="Equation.KSEE3" ShapeID="_x0000_i1026" DrawAspect="Content" ObjectID="_1468075726" r:id="rId63">
            <o:LockedField>false</o:LockedField>
          </o:OLEObject>
        </w:object>
      </w:r>
      <w:r>
        <w:rPr>
          <w:rFonts w:ascii="Times New Roman" w:hAnsi="Times New Roman" w:eastAsia="仿宋_GB2312"/>
          <w:color w:val="auto"/>
          <w:sz w:val="21"/>
          <w:szCs w:val="21"/>
          <w:highlight w:val="none"/>
        </w:rPr>
        <w:t>——约定的付款证书中承包人应得到的已完成工程量的金额。此项金额应不包括价格调整、不计质量保证金的扣留和支付、预付款的支付和扣回。约定的变更及其他金额已按现行价格计价的，也不计在内；</w:t>
      </w:r>
    </w:p>
    <w:p w14:paraId="6BEC2914">
      <w:pPr>
        <w:pageBreakBefore w:val="0"/>
        <w:widowControl w:val="0"/>
        <w:tabs>
          <w:tab w:val="left" w:pos="0"/>
          <w:tab w:val="left" w:pos="360"/>
          <w:tab w:val="left" w:pos="540"/>
        </w:tabs>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A——定值权重（即不调部分的权重）；</w:t>
      </w:r>
    </w:p>
    <w:p w14:paraId="3277FFDB">
      <w:pPr>
        <w:pageBreakBefore w:val="0"/>
        <w:widowControl w:val="0"/>
        <w:tabs>
          <w:tab w:val="left" w:pos="0"/>
          <w:tab w:val="left" w:pos="360"/>
          <w:tab w:val="left" w:pos="540"/>
        </w:tabs>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position w:val="-10"/>
          <w:sz w:val="21"/>
          <w:szCs w:val="21"/>
          <w:highlight w:val="none"/>
        </w:rPr>
        <w:object>
          <v:shape id="_x0000_i1027" o:spt="75" type="#_x0000_t75" style="height:21.05pt;width:101pt;" o:ole="t" filled="f" stroked="f" coordsize="21600,21600">
            <v:path/>
            <v:fill on="f" focussize="0,0"/>
            <v:stroke on="f"/>
            <v:imagedata r:id="rId66" o:title=""/>
            <o:lock v:ext="edit" grouping="f" rotation="f" text="f" aspectratio="t"/>
            <w10:wrap type="none"/>
            <w10:anchorlock/>
          </v:shape>
          <o:OLEObject Type="Embed" ProgID="Equation.KSEE3" ShapeID="_x0000_i1027" DrawAspect="Content" ObjectID="_1468075727" r:id="rId65">
            <o:LockedField>false</o:LockedField>
          </o:OLEObject>
        </w:object>
      </w:r>
      <w:r>
        <w:rPr>
          <w:rFonts w:ascii="Times New Roman" w:hAnsi="Times New Roman" w:eastAsia="仿宋_GB2312"/>
          <w:color w:val="auto"/>
          <w:sz w:val="21"/>
          <w:szCs w:val="21"/>
          <w:highlight w:val="none"/>
        </w:rPr>
        <w:t>——各可调因子的变值权重（即可调部分的权重），为各可调因子在签约合同价中所占的比例；</w:t>
      </w:r>
    </w:p>
    <w:p w14:paraId="0FE4976F">
      <w:pPr>
        <w:pageBreakBefore w:val="0"/>
        <w:widowControl w:val="0"/>
        <w:tabs>
          <w:tab w:val="left" w:pos="0"/>
          <w:tab w:val="left" w:pos="360"/>
          <w:tab w:val="left" w:pos="540"/>
        </w:tabs>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position w:val="-10"/>
          <w:sz w:val="21"/>
          <w:szCs w:val="21"/>
          <w:highlight w:val="none"/>
        </w:rPr>
        <w:object>
          <v:shape id="_x0000_i1028" o:spt="75" type="#_x0000_t75" style="height:20.6pt;width:102.05pt;" o:ole="t" filled="f" stroked="f" coordsize="21600,21600">
            <v:path/>
            <v:fill on="f" focussize="0,0"/>
            <v:stroke on="f"/>
            <v:imagedata r:id="rId68" o:title=""/>
            <o:lock v:ext="edit" grouping="f" rotation="f" text="f" aspectratio="t"/>
            <w10:wrap type="none"/>
            <w10:anchorlock/>
          </v:shape>
          <o:OLEObject Type="Embed" ProgID="Equation.KSEE3" ShapeID="_x0000_i1028" DrawAspect="Content" ObjectID="_1468075728" r:id="rId67">
            <o:LockedField>false</o:LockedField>
          </o:OLEObject>
        </w:object>
      </w:r>
      <w:r>
        <w:rPr>
          <w:rFonts w:ascii="Times New Roman" w:hAnsi="Times New Roman" w:eastAsia="仿宋_GB2312"/>
          <w:color w:val="auto"/>
          <w:sz w:val="21"/>
          <w:szCs w:val="21"/>
          <w:highlight w:val="none"/>
        </w:rPr>
        <w:t>——各可调因子的现行价格指数，指约定的付款证书相关周期最后一天的前42天的各可调因子的价格指数；</w:t>
      </w:r>
    </w:p>
    <w:p w14:paraId="7FFFCA0C">
      <w:pPr>
        <w:pageBreakBefore w:val="0"/>
        <w:widowControl w:val="0"/>
        <w:tabs>
          <w:tab w:val="left" w:pos="0"/>
          <w:tab w:val="left" w:pos="360"/>
          <w:tab w:val="left" w:pos="540"/>
        </w:tabs>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position w:val="-10"/>
          <w:sz w:val="21"/>
          <w:szCs w:val="21"/>
          <w:highlight w:val="none"/>
        </w:rPr>
        <w:object>
          <v:shape id="_x0000_i1029" o:spt="75" type="#_x0000_t75" style="height:20.2pt;width:108pt;" o:ole="t" filled="f" stroked="f" coordsize="21600,21600">
            <v:path/>
            <v:fill on="f" focussize="0,0"/>
            <v:stroke on="f"/>
            <v:imagedata r:id="rId70" o:title=""/>
            <o:lock v:ext="edit" grouping="f" rotation="f" text="f" aspectratio="t"/>
            <w10:wrap type="none"/>
            <w10:anchorlock/>
          </v:shape>
          <o:OLEObject Type="Embed" ProgID="Equation.KSEE3" ShapeID="_x0000_i1029" DrawAspect="Content" ObjectID="_1468075729" r:id="rId69">
            <o:LockedField>false</o:LockedField>
          </o:OLEObject>
        </w:object>
      </w:r>
      <w:r>
        <w:rPr>
          <w:rFonts w:ascii="Times New Roman" w:hAnsi="Times New Roman" w:eastAsia="仿宋_GB2312"/>
          <w:color w:val="auto"/>
          <w:sz w:val="21"/>
          <w:szCs w:val="21"/>
          <w:highlight w:val="none"/>
        </w:rPr>
        <w:t>——各可调因子的基本价格指数，指基准日期的各可调因子的价格指数。</w:t>
      </w:r>
    </w:p>
    <w:p w14:paraId="741D60E0">
      <w:pPr>
        <w:pageBreakBefore w:val="0"/>
        <w:widowControl w:val="0"/>
        <w:tabs>
          <w:tab w:val="left" w:pos="0"/>
          <w:tab w:val="left" w:pos="360"/>
          <w:tab w:val="left" w:pos="540"/>
        </w:tabs>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14:paraId="55C81696">
      <w:pPr>
        <w:pageBreakBefore w:val="0"/>
        <w:widowControl w:val="0"/>
        <w:tabs>
          <w:tab w:val="left" w:pos="0"/>
          <w:tab w:val="left" w:pos="360"/>
          <w:tab w:val="left" w:pos="540"/>
        </w:tabs>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（2）暂时确定调整差额</w:t>
      </w:r>
    </w:p>
    <w:p w14:paraId="12D62575">
      <w:pPr>
        <w:pageBreakBefore w:val="0"/>
        <w:widowControl w:val="0"/>
        <w:tabs>
          <w:tab w:val="left" w:pos="0"/>
          <w:tab w:val="left" w:pos="360"/>
          <w:tab w:val="left" w:pos="540"/>
        </w:tabs>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在计算调整差额时无现行价格指数的，合同当事人同意暂用前次价格指数计算。实际价格指数有调整的，合同当事人进行相应调整。</w:t>
      </w:r>
    </w:p>
    <w:p w14:paraId="1FFB1DEE">
      <w:pPr>
        <w:pageBreakBefore w:val="0"/>
        <w:widowControl w:val="0"/>
        <w:tabs>
          <w:tab w:val="left" w:pos="0"/>
          <w:tab w:val="left" w:pos="360"/>
          <w:tab w:val="left" w:pos="540"/>
        </w:tabs>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（3）权重的调整</w:t>
      </w:r>
    </w:p>
    <w:p w14:paraId="2A4CD4D0">
      <w:pPr>
        <w:pageBreakBefore w:val="0"/>
        <w:widowControl w:val="0"/>
        <w:tabs>
          <w:tab w:val="left" w:pos="0"/>
          <w:tab w:val="left" w:pos="360"/>
          <w:tab w:val="left" w:pos="540"/>
        </w:tabs>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因变更导致合同约定的权重不合理时，按照第4.4款</w:t>
      </w:r>
      <w:r>
        <w:rPr>
          <w:rFonts w:hint="eastAsia" w:ascii="Times New Roman" w:hAnsi="Times New Roman" w:eastAsia="仿宋_GB2312"/>
          <w:color w:val="auto"/>
          <w:sz w:val="21"/>
          <w:szCs w:val="21"/>
          <w:highlight w:val="none"/>
        </w:rPr>
        <w:t>〔</w:t>
      </w:r>
      <w:r>
        <w:rPr>
          <w:rFonts w:ascii="Times New Roman" w:hAnsi="Times New Roman" w:eastAsia="仿宋_GB2312"/>
          <w:color w:val="auto"/>
          <w:sz w:val="21"/>
          <w:szCs w:val="21"/>
          <w:highlight w:val="none"/>
        </w:rPr>
        <w:t>商定或确定</w:t>
      </w:r>
      <w:r>
        <w:rPr>
          <w:rFonts w:hint="eastAsia" w:ascii="Times New Roman" w:hAnsi="Times New Roman" w:eastAsia="仿宋_GB2312"/>
          <w:color w:val="auto"/>
          <w:sz w:val="21"/>
          <w:szCs w:val="21"/>
          <w:highlight w:val="none"/>
        </w:rPr>
        <w:t>〕</w:t>
      </w:r>
      <w:r>
        <w:rPr>
          <w:rFonts w:ascii="Times New Roman" w:hAnsi="Times New Roman" w:eastAsia="仿宋_GB2312"/>
          <w:color w:val="auto"/>
          <w:sz w:val="21"/>
          <w:szCs w:val="21"/>
          <w:highlight w:val="none"/>
        </w:rPr>
        <w:t>执行。</w:t>
      </w:r>
    </w:p>
    <w:p w14:paraId="11ED032E">
      <w:pPr>
        <w:pageBreakBefore w:val="0"/>
        <w:widowControl w:val="0"/>
        <w:tabs>
          <w:tab w:val="left" w:pos="0"/>
          <w:tab w:val="left" w:pos="360"/>
          <w:tab w:val="left" w:pos="540"/>
        </w:tabs>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（4）因承包人原因工期延误后的价格调整</w:t>
      </w:r>
    </w:p>
    <w:p w14:paraId="302B34DD">
      <w:pPr>
        <w:pageBreakBefore w:val="0"/>
        <w:widowControl w:val="0"/>
        <w:tabs>
          <w:tab w:val="left" w:pos="0"/>
          <w:tab w:val="left" w:pos="360"/>
          <w:tab w:val="left" w:pos="540"/>
        </w:tabs>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因承包人原因未按期竣工的，对合同约定的竣工日期后继续施工的工程，在使用价格调整公式时，应采用计划竣工日期与实际竣工日期的两个价格指数中较低的一个作为现行价格指数。</w:t>
      </w:r>
    </w:p>
    <w:p w14:paraId="482296D5">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第2种方式：采用造价信息</w:t>
      </w:r>
      <w:r>
        <w:rPr>
          <w:rFonts w:hint="eastAsia" w:ascii="Times New Roman" w:hAnsi="Times New Roman" w:eastAsia="仿宋_GB2312"/>
          <w:color w:val="auto"/>
          <w:sz w:val="21"/>
          <w:szCs w:val="21"/>
          <w:highlight w:val="none"/>
        </w:rPr>
        <w:t>进行价格</w:t>
      </w:r>
      <w:r>
        <w:rPr>
          <w:rFonts w:ascii="Times New Roman" w:hAnsi="Times New Roman" w:eastAsia="仿宋_GB2312"/>
          <w:color w:val="auto"/>
          <w:sz w:val="21"/>
          <w:szCs w:val="21"/>
          <w:highlight w:val="none"/>
        </w:rPr>
        <w:t>调整。</w:t>
      </w:r>
    </w:p>
    <w:p w14:paraId="008CA1E0">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w:t>
      </w:r>
      <w:r>
        <w:rPr>
          <w:rFonts w:hint="eastAsia" w:ascii="Times New Roman" w:hAnsi="Times New Roman" w:eastAsia="仿宋_GB2312"/>
          <w:color w:val="auto"/>
          <w:sz w:val="21"/>
          <w:szCs w:val="21"/>
          <w:highlight w:val="none"/>
        </w:rPr>
        <w:t>量</w:t>
      </w:r>
      <w:r>
        <w:rPr>
          <w:rFonts w:ascii="Times New Roman" w:hAnsi="Times New Roman" w:eastAsia="仿宋_GB2312"/>
          <w:color w:val="auto"/>
          <w:sz w:val="21"/>
          <w:szCs w:val="21"/>
          <w:highlight w:val="none"/>
        </w:rPr>
        <w:t>应由发包人审批，发包人确认需调整的材料单价及数量，作为调整合同价格的依据。</w:t>
      </w:r>
    </w:p>
    <w:p w14:paraId="51C0CC60">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14:paraId="5911EB8C">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（2）材料、工程设备价格变化的价款调整按照发包人提供的基准价格，按以下风险范围规定执行</w:t>
      </w:r>
      <w:r>
        <w:rPr>
          <w:rFonts w:hint="eastAsia" w:eastAsia="仿宋_GB2312"/>
          <w:color w:val="auto"/>
          <w:sz w:val="21"/>
          <w:szCs w:val="21"/>
          <w:highlight w:val="none"/>
          <w:lang w:eastAsia="zh-CN"/>
        </w:rPr>
        <w:t>：</w:t>
      </w:r>
    </w:p>
    <w:p w14:paraId="64D4867F">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hint="eastAsia" w:ascii="宋体" w:hAnsi="宋体" w:cs="宋体"/>
          <w:color w:val="auto"/>
          <w:sz w:val="21"/>
          <w:szCs w:val="21"/>
          <w:highlight w:val="none"/>
        </w:rPr>
        <w:t>①</w:t>
      </w:r>
      <w:r>
        <w:rPr>
          <w:rFonts w:ascii="Times New Roman" w:hAnsi="Times New Roman" w:eastAsia="仿宋_GB2312"/>
          <w:color w:val="auto"/>
          <w:sz w:val="21"/>
          <w:szCs w:val="21"/>
          <w:highlight w:val="none"/>
        </w:rPr>
        <w:t>承包人在已标价工程量清单或预算书中载明材料单价低于基准价格的：除专用合同条款另有约定外，合同履行期间材料单价涨幅以基准价格为基础超过5%时，或材料单价跌幅以在已标价工程量清单或预算书中载明材料单价为基础超过5%时，其超过部分据实调整。</w:t>
      </w:r>
    </w:p>
    <w:p w14:paraId="063173FF">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hint="eastAsia" w:ascii="宋体" w:hAnsi="宋体" w:cs="宋体"/>
          <w:color w:val="auto"/>
          <w:sz w:val="21"/>
          <w:szCs w:val="21"/>
          <w:highlight w:val="none"/>
        </w:rPr>
        <w:t>②</w:t>
      </w:r>
      <w:r>
        <w:rPr>
          <w:rFonts w:ascii="Times New Roman" w:hAnsi="Times New Roman" w:eastAsia="仿宋_GB2312"/>
          <w:color w:val="auto"/>
          <w:sz w:val="21"/>
          <w:szCs w:val="21"/>
          <w:highlight w:val="none"/>
        </w:rPr>
        <w:t>承包人在已标价工程量清单或预算书中载明材料单价高于基准价格的：除专用合同条款另有约定外，合同履行期间材料单价跌幅以基准价格为基础超过5%时，材料单价涨幅以在已标价工程量清单或预算书中载明材料单价为基础超过5%时，其超过部分据实调整。</w:t>
      </w:r>
    </w:p>
    <w:p w14:paraId="5A483B05">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hint="eastAsia" w:ascii="宋体" w:hAnsi="宋体" w:cs="宋体"/>
          <w:color w:val="auto"/>
          <w:sz w:val="21"/>
          <w:szCs w:val="21"/>
          <w:highlight w:val="none"/>
        </w:rPr>
        <w:t>③</w:t>
      </w:r>
      <w:r>
        <w:rPr>
          <w:rFonts w:ascii="Times New Roman" w:hAnsi="Times New Roman" w:eastAsia="仿宋_GB2312"/>
          <w:color w:val="auto"/>
          <w:sz w:val="21"/>
          <w:szCs w:val="21"/>
          <w:highlight w:val="none"/>
        </w:rPr>
        <w:t>承包人在已标价工程量清单或预算书中载明材料单价等于基准价格的：除专用合同条款另有约定外，合同履行期间材料单价涨跌幅以基准价格为基础超过±5%时，其超过部分据实调整。</w:t>
      </w:r>
    </w:p>
    <w:p w14:paraId="07300FD1">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hint="eastAsia" w:ascii="宋体" w:hAnsi="宋体" w:cs="宋体"/>
          <w:color w:val="auto"/>
          <w:sz w:val="21"/>
          <w:szCs w:val="21"/>
          <w:highlight w:val="none"/>
        </w:rPr>
        <w:t>④</w:t>
      </w:r>
      <w:r>
        <w:rPr>
          <w:rFonts w:ascii="Times New Roman" w:hAnsi="Times New Roman" w:eastAsia="仿宋_GB2312"/>
          <w:color w:val="auto"/>
          <w:sz w:val="21"/>
          <w:szCs w:val="21"/>
          <w:highlight w:val="none"/>
        </w:rPr>
        <w:t>承包人应在采购材料前将采购数量和新的材料单价报发包人核对，发包人确认用于工程时，发包人应确认采购材料的数量和单价。发包人在收到承包人报送的确认资料后5天内不予答复的视为认可，作为调整合同价格的依据。未经发包人事先核对，承包人自行采购材料的，发包人有权不予调整合同价格。发包人同意的，可以调整合同价格。</w:t>
      </w:r>
    </w:p>
    <w:p w14:paraId="7C5B37AE">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bookmarkStart w:id="1060" w:name="OLE_LINK3"/>
      <w:r>
        <w:rPr>
          <w:rFonts w:ascii="Times New Roman" w:hAnsi="Times New Roman" w:eastAsia="仿宋_GB2312"/>
          <w:color w:val="auto"/>
          <w:sz w:val="21"/>
          <w:szCs w:val="21"/>
          <w:highlight w:val="none"/>
        </w:rPr>
        <w:t>前述基准价格是指由发包人在招标文件或专用合同条款中给定的材料、工程设备的价格，该价格原则上应当按照省级或行业建设主管部门或其授权的工程造价管理机构发布的信息价编制。</w:t>
      </w:r>
    </w:p>
    <w:p w14:paraId="4A98674A">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（3）施工机械台班单价或施工机械使用费发生变化超过省级或行业建设主管部门或其授权的工程造价管理机构规定的范围时，按规定调整合同价格。</w:t>
      </w:r>
    </w:p>
    <w:p w14:paraId="33AE9662">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第3种方式：专用合同条款约定的其他方式。</w:t>
      </w:r>
    </w:p>
    <w:p w14:paraId="56BB21A1">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061" w:name="_Toc351203579"/>
      <w:bookmarkStart w:id="1062" w:name="_Toc296346594"/>
      <w:bookmarkStart w:id="1063" w:name="_Toc337558798"/>
      <w:bookmarkStart w:id="1064" w:name="_Toc296503093"/>
      <w:r>
        <w:rPr>
          <w:rFonts w:ascii="Times New Roman" w:hAnsi="Times New Roman" w:eastAsia="黑体"/>
          <w:b w:val="0"/>
          <w:color w:val="auto"/>
          <w:sz w:val="21"/>
          <w:szCs w:val="21"/>
          <w:highlight w:val="none"/>
        </w:rPr>
        <w:t>11.2法律变化引起的调整</w:t>
      </w:r>
      <w:bookmarkEnd w:id="1061"/>
    </w:p>
    <w:bookmarkEnd w:id="1062"/>
    <w:bookmarkEnd w:id="1063"/>
    <w:bookmarkEnd w:id="1064"/>
    <w:p w14:paraId="1FE6CE6A">
      <w:pPr>
        <w:pageBreakBefore w:val="0"/>
        <w:widowControl w:val="0"/>
        <w:kinsoku/>
        <w:wordWrap/>
        <w:overflowPunct/>
        <w:topLinePunct w:val="0"/>
        <w:bidi w:val="0"/>
        <w:adjustRightInd w:val="0"/>
        <w:snapToGrid w:val="0"/>
        <w:spacing w:line="360" w:lineRule="auto"/>
        <w:ind w:firstLine="420" w:firstLineChars="200"/>
        <w:textAlignment w:val="auto"/>
        <w:rPr>
          <w:rFonts w:hint="eastAsia"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基准日</w:t>
      </w:r>
      <w:r>
        <w:rPr>
          <w:rFonts w:hint="eastAsia" w:ascii="Times New Roman" w:hAnsi="Times New Roman" w:eastAsia="仿宋_GB2312"/>
          <w:color w:val="auto"/>
          <w:sz w:val="21"/>
          <w:szCs w:val="21"/>
          <w:highlight w:val="none"/>
        </w:rPr>
        <w:t>期</w:t>
      </w:r>
      <w:r>
        <w:rPr>
          <w:rFonts w:ascii="Times New Roman" w:hAnsi="Times New Roman" w:eastAsia="仿宋_GB2312"/>
          <w:color w:val="auto"/>
          <w:sz w:val="21"/>
          <w:szCs w:val="21"/>
          <w:highlight w:val="none"/>
        </w:rPr>
        <w:t>后，法律变化</w:t>
      </w:r>
      <w:r>
        <w:rPr>
          <w:rFonts w:hint="eastAsia" w:ascii="Times New Roman" w:hAnsi="Times New Roman" w:eastAsia="仿宋_GB2312"/>
          <w:color w:val="auto"/>
          <w:sz w:val="21"/>
          <w:szCs w:val="21"/>
          <w:highlight w:val="none"/>
        </w:rPr>
        <w:t>导致承包人在合同履行过程中所需要的费用发生除第11.1款〔市场价格波动引起的调整〕约定以外的增加时，由发包人承担由此增加的费用；减少时，应从合同价格中予以扣减。</w:t>
      </w:r>
      <w:r>
        <w:rPr>
          <w:rFonts w:ascii="Times New Roman" w:hAnsi="Times New Roman" w:eastAsia="仿宋_GB2312"/>
          <w:color w:val="auto"/>
          <w:sz w:val="21"/>
          <w:szCs w:val="21"/>
          <w:highlight w:val="none"/>
        </w:rPr>
        <w:t>基准日</w:t>
      </w:r>
      <w:r>
        <w:rPr>
          <w:rFonts w:hint="eastAsia" w:ascii="Times New Roman" w:hAnsi="Times New Roman" w:eastAsia="仿宋_GB2312"/>
          <w:color w:val="auto"/>
          <w:sz w:val="21"/>
          <w:szCs w:val="21"/>
          <w:highlight w:val="none"/>
        </w:rPr>
        <w:t>期</w:t>
      </w:r>
      <w:r>
        <w:rPr>
          <w:rFonts w:ascii="Times New Roman" w:hAnsi="Times New Roman" w:eastAsia="仿宋_GB2312"/>
          <w:color w:val="auto"/>
          <w:sz w:val="21"/>
          <w:szCs w:val="21"/>
          <w:highlight w:val="none"/>
        </w:rPr>
        <w:t>后，</w:t>
      </w:r>
      <w:r>
        <w:rPr>
          <w:rFonts w:hint="eastAsia" w:ascii="Times New Roman" w:hAnsi="Times New Roman" w:eastAsia="仿宋_GB2312"/>
          <w:color w:val="auto"/>
          <w:sz w:val="21"/>
          <w:szCs w:val="21"/>
          <w:highlight w:val="none"/>
        </w:rPr>
        <w:t>因</w:t>
      </w:r>
      <w:r>
        <w:rPr>
          <w:rFonts w:ascii="Times New Roman" w:hAnsi="Times New Roman" w:eastAsia="仿宋_GB2312"/>
          <w:color w:val="auto"/>
          <w:sz w:val="21"/>
          <w:szCs w:val="21"/>
          <w:highlight w:val="none"/>
        </w:rPr>
        <w:t>法律变化</w:t>
      </w:r>
      <w:r>
        <w:rPr>
          <w:rFonts w:hint="eastAsia" w:ascii="Times New Roman" w:hAnsi="Times New Roman" w:eastAsia="仿宋_GB2312"/>
          <w:color w:val="auto"/>
          <w:sz w:val="21"/>
          <w:szCs w:val="21"/>
          <w:highlight w:val="none"/>
        </w:rPr>
        <w:t>造成工期延误时，工期应予以顺延。</w:t>
      </w:r>
    </w:p>
    <w:p w14:paraId="02FE654D">
      <w:pPr>
        <w:pageBreakBefore w:val="0"/>
        <w:widowControl w:val="0"/>
        <w:kinsoku/>
        <w:wordWrap/>
        <w:overflowPunct/>
        <w:topLinePunct w:val="0"/>
        <w:bidi w:val="0"/>
        <w:adjustRightInd w:val="0"/>
        <w:snapToGrid w:val="0"/>
        <w:spacing w:line="360" w:lineRule="auto"/>
        <w:ind w:firstLine="420" w:firstLineChars="200"/>
        <w:textAlignment w:val="auto"/>
        <w:rPr>
          <w:rFonts w:hint="eastAsia" w:ascii="Times New Roman" w:hAnsi="Times New Roman" w:eastAsia="仿宋_GB2312"/>
          <w:color w:val="auto"/>
          <w:sz w:val="21"/>
          <w:szCs w:val="21"/>
          <w:highlight w:val="none"/>
        </w:rPr>
      </w:pPr>
      <w:r>
        <w:rPr>
          <w:rFonts w:hint="eastAsia" w:ascii="Times New Roman" w:hAnsi="Times New Roman" w:eastAsia="仿宋_GB2312"/>
          <w:color w:val="auto"/>
          <w:sz w:val="21"/>
          <w:szCs w:val="21"/>
          <w:highlight w:val="none"/>
        </w:rPr>
        <w:t>因法律变化引起的合同价格和工期调整，合同当事人无法达成一致的，由总监理工程师按第4.4款〔商定或确定〕的约定处理。</w:t>
      </w:r>
    </w:p>
    <w:p w14:paraId="0C238BD7">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kern w:val="0"/>
          <w:sz w:val="21"/>
          <w:szCs w:val="21"/>
          <w:highlight w:val="none"/>
        </w:rPr>
        <w:t>因承包人原因造成工期延误，在工期延误期间出现法律变化的，由此增加的费用和（或）延误的工期由承包人承担。</w:t>
      </w:r>
    </w:p>
    <w:p w14:paraId="7BC2723B">
      <w:pPr>
        <w:pStyle w:val="5"/>
        <w:pageBreakBefore w:val="0"/>
        <w:widowControl w:val="0"/>
        <w:kinsoku/>
        <w:wordWrap/>
        <w:overflowPunct/>
        <w:topLinePunct w:val="0"/>
        <w:bidi w:val="0"/>
        <w:adjustRightInd w:val="0"/>
        <w:snapToGrid w:val="0"/>
        <w:spacing w:before="0" w:after="0" w:line="360" w:lineRule="auto"/>
        <w:textAlignment w:val="auto"/>
        <w:outlineLvl w:val="3"/>
        <w:rPr>
          <w:rFonts w:eastAsia="黑体"/>
          <w:bCs/>
          <w:color w:val="auto"/>
          <w:sz w:val="21"/>
          <w:szCs w:val="21"/>
          <w:highlight w:val="none"/>
        </w:rPr>
      </w:pPr>
      <w:bookmarkStart w:id="1065" w:name="_Toc16524"/>
      <w:bookmarkStart w:id="1066" w:name="_Toc29990"/>
      <w:bookmarkStart w:id="1067" w:name="_Toc351203580"/>
      <w:bookmarkStart w:id="1068" w:name="_Toc337558799"/>
      <w:bookmarkStart w:id="1069" w:name="_Toc296503096"/>
      <w:bookmarkStart w:id="1070" w:name="_Toc296346597"/>
      <w:r>
        <w:rPr>
          <w:rFonts w:eastAsia="黑体"/>
          <w:bCs/>
          <w:color w:val="auto"/>
          <w:sz w:val="21"/>
          <w:szCs w:val="21"/>
          <w:highlight w:val="none"/>
        </w:rPr>
        <w:t>12. 合同价格、计量与支付</w:t>
      </w:r>
      <w:bookmarkEnd w:id="1065"/>
      <w:bookmarkEnd w:id="1066"/>
      <w:bookmarkEnd w:id="1067"/>
    </w:p>
    <w:bookmarkEnd w:id="1068"/>
    <w:p w14:paraId="05670E83">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outlineLvl w:val="4"/>
        <w:rPr>
          <w:rFonts w:ascii="Times New Roman" w:hAnsi="Times New Roman"/>
          <w:b w:val="0"/>
          <w:color w:val="auto"/>
          <w:sz w:val="21"/>
          <w:szCs w:val="21"/>
          <w:highlight w:val="none"/>
        </w:rPr>
      </w:pPr>
      <w:bookmarkStart w:id="1071" w:name="_Toc351203581"/>
      <w:bookmarkStart w:id="1072" w:name="_Toc13813"/>
      <w:bookmarkStart w:id="1073" w:name="_Toc337558800"/>
      <w:r>
        <w:rPr>
          <w:rFonts w:ascii="Times New Roman" w:hAnsi="Times New Roman"/>
          <w:b w:val="0"/>
          <w:color w:val="auto"/>
          <w:sz w:val="21"/>
          <w:szCs w:val="21"/>
          <w:highlight w:val="none"/>
        </w:rPr>
        <w:t>12.1 合同价</w:t>
      </w:r>
      <w:bookmarkEnd w:id="1069"/>
      <w:bookmarkEnd w:id="1070"/>
      <w:r>
        <w:rPr>
          <w:rFonts w:ascii="Times New Roman" w:hAnsi="Times New Roman"/>
          <w:b w:val="0"/>
          <w:color w:val="auto"/>
          <w:sz w:val="21"/>
          <w:szCs w:val="21"/>
          <w:highlight w:val="none"/>
        </w:rPr>
        <w:t>格形式</w:t>
      </w:r>
      <w:bookmarkEnd w:id="1071"/>
      <w:bookmarkEnd w:id="1072"/>
    </w:p>
    <w:bookmarkEnd w:id="1073"/>
    <w:p w14:paraId="5FAD0315">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发包人和承包人应在合同协议书中</w:t>
      </w:r>
      <w:r>
        <w:rPr>
          <w:rFonts w:hint="eastAsia" w:ascii="Times New Roman" w:hAnsi="Times New Roman" w:eastAsia="仿宋_GB2312"/>
          <w:color w:val="auto"/>
          <w:kern w:val="0"/>
          <w:sz w:val="21"/>
          <w:szCs w:val="21"/>
          <w:highlight w:val="none"/>
        </w:rPr>
        <w:t>选择</w:t>
      </w:r>
      <w:r>
        <w:rPr>
          <w:rFonts w:ascii="Times New Roman" w:hAnsi="Times New Roman" w:eastAsia="仿宋_GB2312"/>
          <w:color w:val="auto"/>
          <w:kern w:val="0"/>
          <w:sz w:val="21"/>
          <w:szCs w:val="21"/>
          <w:highlight w:val="none"/>
        </w:rPr>
        <w:t xml:space="preserve">下列一种合同价格形式： </w:t>
      </w:r>
    </w:p>
    <w:p w14:paraId="688649C4">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单价合同</w:t>
      </w:r>
    </w:p>
    <w:p w14:paraId="2A1C40F6">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单价合同是指合同当事人约定以工程量清单及其综合单价进行合同价格计算、调整和确认的建设工程施工合同，</w:t>
      </w:r>
      <w:r>
        <w:rPr>
          <w:rFonts w:ascii="Times New Roman" w:hAnsi="Times New Roman" w:eastAsia="仿宋_GB2312"/>
          <w:color w:val="auto"/>
          <w:sz w:val="21"/>
          <w:szCs w:val="21"/>
          <w:highlight w:val="none"/>
        </w:rPr>
        <w:t>在约定的范围内合同单价不作调整</w:t>
      </w:r>
      <w:r>
        <w:rPr>
          <w:rFonts w:ascii="Times New Roman" w:hAnsi="Times New Roman" w:eastAsia="仿宋_GB2312"/>
          <w:color w:val="auto"/>
          <w:kern w:val="0"/>
          <w:sz w:val="21"/>
          <w:szCs w:val="21"/>
          <w:highlight w:val="none"/>
        </w:rPr>
        <w:t>。合同当事人应在专用合同条款中约定综合单价包含的风险范围和风险费用的计算方法</w:t>
      </w:r>
      <w:r>
        <w:rPr>
          <w:rFonts w:ascii="Times New Roman" w:hAnsi="Times New Roman" w:eastAsia="仿宋_GB2312"/>
          <w:color w:val="auto"/>
          <w:sz w:val="21"/>
          <w:szCs w:val="21"/>
          <w:highlight w:val="none"/>
        </w:rPr>
        <w:t>，</w:t>
      </w:r>
      <w:r>
        <w:rPr>
          <w:rFonts w:ascii="Times New Roman" w:hAnsi="Times New Roman" w:eastAsia="仿宋_GB2312"/>
          <w:color w:val="auto"/>
          <w:kern w:val="0"/>
          <w:sz w:val="21"/>
          <w:szCs w:val="21"/>
          <w:highlight w:val="none"/>
        </w:rPr>
        <w:t>并约定风险范围以外的合同价格的调整方法，其中因市场价格波动引起的调整按第11.1款</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市场价格波动引起的调整</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约定执行。</w:t>
      </w:r>
    </w:p>
    <w:p w14:paraId="721FE6D2">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总价合同</w:t>
      </w:r>
    </w:p>
    <w:p w14:paraId="6C1C791D">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总价合同是指合同当事人约定以施工图、已标价工程量清单或预算书及有关条件进行合同价格计算、调整和确认的建设工程施工合同，</w:t>
      </w:r>
      <w:r>
        <w:rPr>
          <w:rFonts w:ascii="Times New Roman" w:hAnsi="Times New Roman" w:eastAsia="仿宋_GB2312"/>
          <w:color w:val="auto"/>
          <w:sz w:val="21"/>
          <w:szCs w:val="21"/>
          <w:highlight w:val="none"/>
        </w:rPr>
        <w:t>在约定的范围内合同总价不作调整</w:t>
      </w:r>
      <w:r>
        <w:rPr>
          <w:rFonts w:ascii="Times New Roman" w:hAnsi="Times New Roman" w:eastAsia="仿宋_GB2312"/>
          <w:color w:val="auto"/>
          <w:kern w:val="0"/>
          <w:sz w:val="21"/>
          <w:szCs w:val="21"/>
          <w:highlight w:val="none"/>
        </w:rPr>
        <w:t>。合同当事人应在专用合同条款中约定总价包含的风险范围和风险费用的计算方法，并约定风险范围以外的合同价格的调整方法，其中因市场价格波动引起的调整按第11.1款</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市场价格波动引起的调整</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、因法律变化引起的调整按第11.2款</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法律变化引起的调整</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约定执行。</w:t>
      </w:r>
    </w:p>
    <w:p w14:paraId="4CC5B96A">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w:t>
      </w:r>
      <w:r>
        <w:rPr>
          <w:rFonts w:hint="eastAsia" w:ascii="Times New Roman" w:hAnsi="Times New Roman" w:eastAsia="仿宋_GB2312"/>
          <w:color w:val="auto"/>
          <w:kern w:val="0"/>
          <w:sz w:val="21"/>
          <w:szCs w:val="21"/>
          <w:highlight w:val="none"/>
        </w:rPr>
        <w:t>.</w:t>
      </w:r>
      <w:r>
        <w:rPr>
          <w:rFonts w:hint="eastAsia" w:eastAsia="仿宋_GB2312"/>
          <w:color w:val="auto"/>
          <w:kern w:val="0"/>
          <w:sz w:val="21"/>
          <w:szCs w:val="21"/>
          <w:highlight w:val="none"/>
          <w:lang w:eastAsia="zh-CN"/>
        </w:rPr>
        <w:t>其他</w:t>
      </w:r>
      <w:r>
        <w:rPr>
          <w:rFonts w:ascii="Times New Roman" w:hAnsi="Times New Roman" w:eastAsia="仿宋_GB2312"/>
          <w:color w:val="auto"/>
          <w:kern w:val="0"/>
          <w:sz w:val="21"/>
          <w:szCs w:val="21"/>
          <w:highlight w:val="none"/>
        </w:rPr>
        <w:t>价格形式</w:t>
      </w:r>
    </w:p>
    <w:p w14:paraId="5470368B">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合同当事人可在专用合同条款中约定其他合同价格形式。</w:t>
      </w:r>
    </w:p>
    <w:p w14:paraId="6230CCF0">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074" w:name="_Toc296346598"/>
      <w:bookmarkStart w:id="1075" w:name="_Toc296503097"/>
      <w:bookmarkStart w:id="1076" w:name="_Toc351203582"/>
      <w:bookmarkStart w:id="1077" w:name="_Toc337558801"/>
      <w:r>
        <w:rPr>
          <w:rFonts w:ascii="Times New Roman" w:hAnsi="Times New Roman" w:eastAsia="黑体"/>
          <w:b w:val="0"/>
          <w:color w:val="auto"/>
          <w:sz w:val="21"/>
          <w:szCs w:val="21"/>
          <w:highlight w:val="none"/>
        </w:rPr>
        <w:t>12.2预</w:t>
      </w:r>
      <w:bookmarkEnd w:id="1074"/>
      <w:bookmarkEnd w:id="1075"/>
      <w:bookmarkStart w:id="1078" w:name="_Toc296346601"/>
      <w:bookmarkStart w:id="1079" w:name="_Toc296503100"/>
      <w:r>
        <w:rPr>
          <w:rFonts w:ascii="Times New Roman" w:hAnsi="Times New Roman" w:eastAsia="黑体"/>
          <w:b w:val="0"/>
          <w:color w:val="auto"/>
          <w:sz w:val="21"/>
          <w:szCs w:val="21"/>
          <w:highlight w:val="none"/>
        </w:rPr>
        <w:t>付款</w:t>
      </w:r>
      <w:bookmarkEnd w:id="1076"/>
    </w:p>
    <w:bookmarkEnd w:id="1077"/>
    <w:bookmarkEnd w:id="1078"/>
    <w:bookmarkEnd w:id="1079"/>
    <w:p w14:paraId="7BF184C2">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sz w:val="21"/>
          <w:szCs w:val="21"/>
          <w:highlight w:val="none"/>
        </w:rPr>
        <w:t>12.2.</w:t>
      </w:r>
      <w:r>
        <w:rPr>
          <w:rFonts w:ascii="Times New Roman" w:hAnsi="Times New Roman" w:eastAsia="仿宋_GB2312"/>
          <w:color w:val="auto"/>
          <w:kern w:val="0"/>
          <w:sz w:val="21"/>
          <w:szCs w:val="21"/>
          <w:highlight w:val="none"/>
        </w:rPr>
        <w:t>1预付款的支付</w:t>
      </w:r>
    </w:p>
    <w:p w14:paraId="70D65E3A">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预付款的支付按照专用合同条款约定执行，但至迟应在开工通知载明的开工日期7天前支付。预付款应当用于材料、工程设备、施工设备的采购及修建临时工程、组织施工队伍进场等。</w:t>
      </w:r>
    </w:p>
    <w:p w14:paraId="5C3F02DC">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除专用合同条款另有约定外，预付款在进度付款中同比例扣回。</w:t>
      </w:r>
      <w:bookmarkEnd w:id="1060"/>
      <w:r>
        <w:rPr>
          <w:rFonts w:ascii="Times New Roman" w:hAnsi="Times New Roman" w:eastAsia="仿宋_GB2312"/>
          <w:color w:val="auto"/>
          <w:kern w:val="0"/>
          <w:sz w:val="21"/>
          <w:szCs w:val="21"/>
          <w:highlight w:val="none"/>
        </w:rPr>
        <w:t>在颁发工程接收证书前，提前解除合同的，尚未扣完的预付款应与合同价款一并结算。</w:t>
      </w:r>
    </w:p>
    <w:p w14:paraId="44542494">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发包人逾期支付预付款超过7天的，承包人有权向发包人发出要求预付的催告通知，发包人收到通知后7天内仍未支付的，承包人有权暂停施工，并按第16.1.1项</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发包人违约的情形</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执行。</w:t>
      </w:r>
    </w:p>
    <w:p w14:paraId="46B5C588">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12.2.2 预付款担保</w:t>
      </w:r>
    </w:p>
    <w:p w14:paraId="48E23217">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hint="eastAsia" w:ascii="Times New Roman" w:hAnsi="Times New Roman" w:eastAsia="仿宋_GB2312"/>
          <w:color w:val="auto"/>
          <w:kern w:val="0"/>
          <w:sz w:val="21"/>
          <w:szCs w:val="21"/>
          <w:highlight w:val="none"/>
        </w:rPr>
        <w:t>发包人要求承包人提供预付款担保的</w:t>
      </w:r>
      <w:r>
        <w:rPr>
          <w:rFonts w:ascii="Times New Roman" w:hAnsi="Times New Roman" w:eastAsia="仿宋_GB2312"/>
          <w:color w:val="auto"/>
          <w:kern w:val="0"/>
          <w:sz w:val="21"/>
          <w:szCs w:val="21"/>
          <w:highlight w:val="none"/>
        </w:rPr>
        <w:t>，承包人应在发包人支付预付款7天前提供预付款担保</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专用合同条款另有约定</w:t>
      </w:r>
      <w:r>
        <w:rPr>
          <w:rFonts w:hint="eastAsia" w:ascii="Times New Roman" w:hAnsi="Times New Roman" w:eastAsia="仿宋_GB2312"/>
          <w:color w:val="auto"/>
          <w:kern w:val="0"/>
          <w:sz w:val="21"/>
          <w:szCs w:val="21"/>
          <w:highlight w:val="none"/>
        </w:rPr>
        <w:t>除</w:t>
      </w:r>
      <w:r>
        <w:rPr>
          <w:rFonts w:ascii="Times New Roman" w:hAnsi="Times New Roman" w:eastAsia="仿宋_GB2312"/>
          <w:color w:val="auto"/>
          <w:kern w:val="0"/>
          <w:sz w:val="21"/>
          <w:szCs w:val="21"/>
          <w:highlight w:val="none"/>
        </w:rPr>
        <w:t>外。预付款担保可采用银行保函、担保公司担保等形式，具体由合同当事人在专用合同条款中约定。在预付款完全扣回之前，承包人应保证预付款担保持续有效。</w:t>
      </w:r>
    </w:p>
    <w:p w14:paraId="259DD4AE">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发包人在工程款中逐期扣回预付款后，预付款担保额度应相应减少，但剩余的预付款担保金额不得低于未被扣回的预付款金额。</w:t>
      </w:r>
    </w:p>
    <w:p w14:paraId="0B6309FD">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080" w:name="_Toc351203583"/>
      <w:bookmarkStart w:id="1081" w:name="_Toc337558802"/>
      <w:r>
        <w:rPr>
          <w:rFonts w:ascii="Times New Roman" w:hAnsi="Times New Roman" w:eastAsia="黑体"/>
          <w:b w:val="0"/>
          <w:color w:val="auto"/>
          <w:sz w:val="21"/>
          <w:szCs w:val="21"/>
          <w:highlight w:val="none"/>
        </w:rPr>
        <w:t>12.3计量</w:t>
      </w:r>
      <w:bookmarkEnd w:id="1080"/>
    </w:p>
    <w:bookmarkEnd w:id="1081"/>
    <w:p w14:paraId="6480DEB7">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12.3.1 计量原则</w:t>
      </w:r>
    </w:p>
    <w:p w14:paraId="40EC4934">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工程量计量按照合同约定的工程量计算规则、图纸及变更指示</w:t>
      </w:r>
      <w:r>
        <w:rPr>
          <w:rFonts w:hint="eastAsia" w:ascii="Times New Roman" w:hAnsi="Times New Roman" w:eastAsia="仿宋_GB2312"/>
          <w:color w:val="auto"/>
          <w:kern w:val="0"/>
          <w:sz w:val="21"/>
          <w:szCs w:val="21"/>
          <w:highlight w:val="none"/>
        </w:rPr>
        <w:t>等</w:t>
      </w:r>
      <w:r>
        <w:rPr>
          <w:rFonts w:ascii="Times New Roman" w:hAnsi="Times New Roman" w:eastAsia="仿宋_GB2312"/>
          <w:color w:val="auto"/>
          <w:kern w:val="0"/>
          <w:sz w:val="21"/>
          <w:szCs w:val="21"/>
          <w:highlight w:val="none"/>
        </w:rPr>
        <w:t>进行计量。工程量计算规则应以相关的国家标准、行业标准</w:t>
      </w:r>
      <w:r>
        <w:rPr>
          <w:rFonts w:hint="eastAsia" w:ascii="Times New Roman" w:hAnsi="Times New Roman" w:eastAsia="仿宋_GB2312"/>
          <w:color w:val="auto"/>
          <w:kern w:val="0"/>
          <w:sz w:val="21"/>
          <w:szCs w:val="21"/>
          <w:highlight w:val="none"/>
        </w:rPr>
        <w:t>等</w:t>
      </w:r>
      <w:r>
        <w:rPr>
          <w:rFonts w:ascii="Times New Roman" w:hAnsi="Times New Roman" w:eastAsia="仿宋_GB2312"/>
          <w:color w:val="auto"/>
          <w:kern w:val="0"/>
          <w:sz w:val="21"/>
          <w:szCs w:val="21"/>
          <w:highlight w:val="none"/>
        </w:rPr>
        <w:t>为依据，由合同当事人在专用合同条款中约定。</w:t>
      </w:r>
    </w:p>
    <w:p w14:paraId="3DC400D3">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12.3.2 计量周期</w:t>
      </w:r>
    </w:p>
    <w:p w14:paraId="655FA317">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除专用合同条款另有约定外，工程量的计量按月进行。</w:t>
      </w:r>
    </w:p>
    <w:p w14:paraId="0B1BB005">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12.3.3 单价合同的计量</w:t>
      </w:r>
    </w:p>
    <w:p w14:paraId="17B37FAC">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除专用合同条款另有约定外，单价合同的计量按照本项约定执行：</w:t>
      </w:r>
    </w:p>
    <w:p w14:paraId="6790E9E4">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（1）承包人应于每月25日向监理人报送上月20日至当月19日已完成的工程量报告，并附具进度付款申请单、已完成工程量报表和有关资料。</w:t>
      </w:r>
    </w:p>
    <w:p w14:paraId="138A660E">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14:paraId="2473694E">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（3）监理人未在收到承包人提交的工程量报表后的7天内完成审核的，承包人报送的工程量报告中的工程量视为承包人实际完成的工程量，据此计算工程价款。</w:t>
      </w:r>
    </w:p>
    <w:p w14:paraId="7CE42473">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12.3.4 总价合同的计量</w:t>
      </w:r>
    </w:p>
    <w:p w14:paraId="68643398">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除专用合同条款另有约定外，按</w:t>
      </w:r>
      <w:r>
        <w:rPr>
          <w:rFonts w:hint="eastAsia" w:ascii="Times New Roman" w:hAnsi="Times New Roman" w:eastAsia="仿宋_GB2312"/>
          <w:color w:val="auto"/>
          <w:kern w:val="0"/>
          <w:sz w:val="21"/>
          <w:szCs w:val="21"/>
          <w:highlight w:val="none"/>
        </w:rPr>
        <w:t>月计量支付</w:t>
      </w:r>
      <w:r>
        <w:rPr>
          <w:rFonts w:ascii="Times New Roman" w:hAnsi="Times New Roman" w:eastAsia="仿宋_GB2312"/>
          <w:color w:val="auto"/>
          <w:kern w:val="0"/>
          <w:sz w:val="21"/>
          <w:szCs w:val="21"/>
          <w:highlight w:val="none"/>
        </w:rPr>
        <w:t>的总价合同，按照本项约定执行：</w:t>
      </w:r>
    </w:p>
    <w:p w14:paraId="3443B9EF">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（1）承包人应于每月25日向监理人报送上月20日至当月19日已完成的工程量报告，并附具进度付款申请单、已完成工程量报表和有关资料。</w:t>
      </w:r>
    </w:p>
    <w:p w14:paraId="1DCED5DD">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14:paraId="0D8AC3A2">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（3）监理人未在收到承包人提交的工程量报表后的7天内完成复核的，承包人提交的工程量报告中的工程量视为承包人实际完成的工程量。</w:t>
      </w:r>
    </w:p>
    <w:p w14:paraId="5446CF27">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12.3.5 总价合同采用支付分解表计量支付的，可以按照第12.3.4项</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总价合同的计量</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约定进行计量，但合同价款按照支付分解表进行支付。</w:t>
      </w:r>
    </w:p>
    <w:p w14:paraId="5C38FDAD">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12.3.6 其他价格形式合同的计量</w:t>
      </w:r>
    </w:p>
    <w:p w14:paraId="33E48D40">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合同当事人可在专用合同条款中约定其他价格形式合同的计量方式和程序。</w:t>
      </w:r>
    </w:p>
    <w:p w14:paraId="5393DBDC">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082" w:name="_Toc296346602"/>
      <w:bookmarkStart w:id="1083" w:name="_Toc296503101"/>
      <w:bookmarkStart w:id="1084" w:name="_Toc351203584"/>
      <w:bookmarkStart w:id="1085" w:name="_Toc337558803"/>
      <w:r>
        <w:rPr>
          <w:rFonts w:ascii="Times New Roman" w:hAnsi="Times New Roman" w:eastAsia="黑体"/>
          <w:b w:val="0"/>
          <w:color w:val="auto"/>
          <w:sz w:val="21"/>
          <w:szCs w:val="21"/>
          <w:highlight w:val="none"/>
        </w:rPr>
        <w:t>12.4工程进度款支</w:t>
      </w:r>
      <w:bookmarkEnd w:id="1082"/>
      <w:bookmarkEnd w:id="1083"/>
      <w:r>
        <w:rPr>
          <w:rFonts w:ascii="Times New Roman" w:hAnsi="Times New Roman" w:eastAsia="黑体"/>
          <w:b w:val="0"/>
          <w:color w:val="auto"/>
          <w:sz w:val="21"/>
          <w:szCs w:val="21"/>
          <w:highlight w:val="none"/>
        </w:rPr>
        <w:t>付</w:t>
      </w:r>
      <w:bookmarkEnd w:id="1084"/>
    </w:p>
    <w:bookmarkEnd w:id="1085"/>
    <w:p w14:paraId="6208630A">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sz w:val="21"/>
          <w:szCs w:val="21"/>
          <w:highlight w:val="none"/>
        </w:rPr>
        <w:t>12.4</w:t>
      </w:r>
      <w:r>
        <w:rPr>
          <w:rFonts w:ascii="Times New Roman" w:hAnsi="Times New Roman" w:eastAsia="仿宋_GB2312"/>
          <w:color w:val="auto"/>
          <w:kern w:val="0"/>
          <w:sz w:val="21"/>
          <w:szCs w:val="21"/>
          <w:highlight w:val="none"/>
        </w:rPr>
        <w:t>.1 付款周期</w:t>
      </w:r>
    </w:p>
    <w:p w14:paraId="390695DB">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除专用合同条款另有约定外，付款周期应按照第12.3.2</w:t>
      </w:r>
      <w:r>
        <w:rPr>
          <w:rFonts w:hint="eastAsia" w:ascii="Times New Roman" w:hAnsi="Times New Roman" w:eastAsia="仿宋_GB2312"/>
          <w:color w:val="auto"/>
          <w:kern w:val="0"/>
          <w:sz w:val="21"/>
          <w:szCs w:val="21"/>
          <w:highlight w:val="none"/>
        </w:rPr>
        <w:t>项〔</w:t>
      </w:r>
      <w:r>
        <w:rPr>
          <w:rFonts w:ascii="Times New Roman" w:hAnsi="Times New Roman" w:eastAsia="仿宋_GB2312"/>
          <w:color w:val="auto"/>
          <w:kern w:val="0"/>
          <w:sz w:val="21"/>
          <w:szCs w:val="21"/>
          <w:highlight w:val="none"/>
        </w:rPr>
        <w:t>计量周期</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的约定与计量周期保持一致。</w:t>
      </w:r>
    </w:p>
    <w:p w14:paraId="3C2BC3ED">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sz w:val="21"/>
          <w:szCs w:val="21"/>
          <w:highlight w:val="none"/>
        </w:rPr>
        <w:t>12.4</w:t>
      </w:r>
      <w:r>
        <w:rPr>
          <w:rFonts w:ascii="Times New Roman" w:hAnsi="Times New Roman" w:eastAsia="仿宋_GB2312"/>
          <w:color w:val="auto"/>
          <w:kern w:val="0"/>
          <w:sz w:val="21"/>
          <w:szCs w:val="21"/>
          <w:highlight w:val="none"/>
        </w:rPr>
        <w:t>.2 进度付款申请单的编制</w:t>
      </w:r>
    </w:p>
    <w:p w14:paraId="016238C2">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除专用合同条款另有约定外，进度付款申请单应包括下列内容：</w:t>
      </w:r>
    </w:p>
    <w:p w14:paraId="7098A6CC">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（1）截至本次付款周期已完成工作对应的金额；</w:t>
      </w:r>
    </w:p>
    <w:p w14:paraId="08D0A5F2">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（2）根据第10条</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变更</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应增加和扣减的变更金额；</w:t>
      </w:r>
    </w:p>
    <w:p w14:paraId="796C323C">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（3）根据第12.2款</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预付款</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约定应支付的预付款和扣减的返还预付款；</w:t>
      </w:r>
    </w:p>
    <w:p w14:paraId="05329448">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（4）根据第15.3款</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质量保证金</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约定应扣减的质量保证金；</w:t>
      </w:r>
    </w:p>
    <w:p w14:paraId="65B348DF">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（5）根据第19条</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索赔</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应增加和扣减的索赔金额；</w:t>
      </w:r>
    </w:p>
    <w:p w14:paraId="6972AD16">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（6）对已签发的进度款支付证书中出现错误的修正，应在本次进度付款中支付或扣除的金额；</w:t>
      </w:r>
    </w:p>
    <w:p w14:paraId="6B6EEBD0">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（7）根据合同约定应增加和扣减的其他金额。</w:t>
      </w:r>
    </w:p>
    <w:p w14:paraId="0600FC3E">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12.4.3 进度付款申请单的提交</w:t>
      </w:r>
    </w:p>
    <w:p w14:paraId="0E8F4233">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（1）单价合同进度付款申请单的提交</w:t>
      </w:r>
    </w:p>
    <w:p w14:paraId="7ED8DB5D">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单价合同的进度付款申请单，按照第12.3.3项</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单价合同的计量</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约定的时间按月向监理人提交，并附上已完成工程量报表和有关资料。单价合同中的总价项目按月进行支付分解，并汇总列入当期进度付款申请单。</w:t>
      </w:r>
    </w:p>
    <w:p w14:paraId="71CF3BEA">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（2）总价合同进度付款申请单的提交</w:t>
      </w:r>
    </w:p>
    <w:p w14:paraId="1BA48CD1">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总价合同按</w:t>
      </w:r>
      <w:r>
        <w:rPr>
          <w:rFonts w:hint="eastAsia" w:ascii="Times New Roman" w:hAnsi="Times New Roman" w:eastAsia="仿宋_GB2312"/>
          <w:color w:val="auto"/>
          <w:kern w:val="0"/>
          <w:sz w:val="21"/>
          <w:szCs w:val="21"/>
          <w:highlight w:val="none"/>
        </w:rPr>
        <w:t>月计量支付的</w:t>
      </w:r>
      <w:r>
        <w:rPr>
          <w:rFonts w:ascii="Times New Roman" w:hAnsi="Times New Roman" w:eastAsia="仿宋_GB2312"/>
          <w:color w:val="auto"/>
          <w:kern w:val="0"/>
          <w:sz w:val="21"/>
          <w:szCs w:val="21"/>
          <w:highlight w:val="none"/>
        </w:rPr>
        <w:t>，承包人按照第12.3.4项</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总价合同的计量</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约定的时间按月向监理人提交进度付款申请单，并附上已完成工程量报表和有关资料。</w:t>
      </w:r>
    </w:p>
    <w:p w14:paraId="2398E679">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总价合同按支付分解表支付的，承包人应按照第12.4.6项</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支付分解表</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及第12.4.2项</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进度付款申请单的编制</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的约定向监理人提交进度付款申请单。</w:t>
      </w:r>
    </w:p>
    <w:p w14:paraId="51E8122A">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（3）其他价格形式合同的进度付款申请单的提交</w:t>
      </w:r>
    </w:p>
    <w:p w14:paraId="18B19C80">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合同当事人可在专用合同条款中约定其他价格形式合同的进度付款申请单的编制和提交程序。</w:t>
      </w:r>
    </w:p>
    <w:p w14:paraId="26C5D5DE">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sz w:val="21"/>
          <w:szCs w:val="21"/>
          <w:highlight w:val="none"/>
        </w:rPr>
        <w:t>12.4</w:t>
      </w:r>
      <w:r>
        <w:rPr>
          <w:rFonts w:ascii="Times New Roman" w:hAnsi="Times New Roman" w:eastAsia="仿宋_GB2312"/>
          <w:color w:val="auto"/>
          <w:kern w:val="0"/>
          <w:sz w:val="21"/>
          <w:szCs w:val="21"/>
          <w:highlight w:val="none"/>
        </w:rPr>
        <w:t>.4 进度款审核和支付</w:t>
      </w:r>
    </w:p>
    <w:p w14:paraId="4701BF8D">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（1）除专用合同条款另有约定外，监理人应在收到承包人进度付款申请单以及相关资料后7天内完成审查并报送发包人，发包人应在收到后7天内完成审批并签发进度款支付证书。发包人逾期未完成</w:t>
      </w:r>
      <w:r>
        <w:rPr>
          <w:rFonts w:hint="eastAsia" w:ascii="Times New Roman" w:hAnsi="Times New Roman" w:eastAsia="仿宋_GB2312"/>
          <w:color w:val="auto"/>
          <w:kern w:val="0"/>
          <w:sz w:val="21"/>
          <w:szCs w:val="21"/>
          <w:highlight w:val="none"/>
        </w:rPr>
        <w:t>审批</w:t>
      </w:r>
      <w:r>
        <w:rPr>
          <w:rFonts w:ascii="Times New Roman" w:hAnsi="Times New Roman" w:eastAsia="仿宋_GB2312"/>
          <w:color w:val="auto"/>
          <w:kern w:val="0"/>
          <w:sz w:val="21"/>
          <w:szCs w:val="21"/>
          <w:highlight w:val="none"/>
        </w:rPr>
        <w:t>且未提出异议的，视为已签发进度款支付证书。</w:t>
      </w:r>
    </w:p>
    <w:p w14:paraId="78131589">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发包人和监理人对承包人的进度付款申请单有异议的，有权要求承包人修正和提供补充资料，承包人应提交修正后的进度付款申请单。监理人应在收到承包人修正后的进度付款申请单及相关资料后7天内完成审查并报送发包人，发包人应在收到监理人报送的进度付款申请单及相关资料后7天内，向承包人签发无异议部分的临时进度款支付证书。存在争议的部分，按照第20条</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争议解决</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的约定处理。</w:t>
      </w:r>
    </w:p>
    <w:p w14:paraId="31CB50D4">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（2）除专用合同条款另有约定外，发包人应在进度款支付证书或临时进度款支付证书签发后14天内完成支付，发包人逾期支付进度款的，应按照中国人民银行发布的同期同类贷款基准利率支付违约金。</w:t>
      </w:r>
    </w:p>
    <w:p w14:paraId="673CDF90">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（3）发包人签发进度款支付证书或临时进度款支付证书，不表明发包人已同意、批准或接受了承包人完成的相应部分的工作。</w:t>
      </w:r>
    </w:p>
    <w:p w14:paraId="62863A7E">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12.4.5 进度付款的修正</w:t>
      </w:r>
    </w:p>
    <w:p w14:paraId="44617528">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在对已签发的进度款支付证书进行阶段汇总和复核中发现错误、遗漏或重复的，发包人和承包人均有权提出修正申请。经发包人和承包人同意的修正，应在下期进度付款中支付或扣除。</w:t>
      </w:r>
    </w:p>
    <w:p w14:paraId="165D972B">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12.4.6 支付分解表</w:t>
      </w:r>
    </w:p>
    <w:p w14:paraId="70AA15AF">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支付分解表的编制要求</w:t>
      </w:r>
    </w:p>
    <w:p w14:paraId="51ACE4D7">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（1）支付分解表中所列的每期付款金额，应为第12.4.2项</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进度付款申请单的编制</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第（1）</w:t>
      </w:r>
      <w:r>
        <w:rPr>
          <w:rFonts w:hint="eastAsia" w:ascii="Times New Roman" w:hAnsi="Times New Roman" w:eastAsia="仿宋_GB2312"/>
          <w:color w:val="auto"/>
          <w:kern w:val="0"/>
          <w:sz w:val="21"/>
          <w:szCs w:val="21"/>
          <w:highlight w:val="none"/>
        </w:rPr>
        <w:t>目</w:t>
      </w:r>
      <w:r>
        <w:rPr>
          <w:rFonts w:ascii="Times New Roman" w:hAnsi="Times New Roman" w:eastAsia="仿宋_GB2312"/>
          <w:color w:val="auto"/>
          <w:kern w:val="0"/>
          <w:sz w:val="21"/>
          <w:szCs w:val="21"/>
          <w:highlight w:val="none"/>
        </w:rPr>
        <w:t>的估算金额；</w:t>
      </w:r>
    </w:p>
    <w:p w14:paraId="59B0D8F6">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（2）实际进度与施工进度计划不一致的，合同当事人可按照第4.4款</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商定或确定</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修改支付分解表；</w:t>
      </w:r>
    </w:p>
    <w:p w14:paraId="4FB1B17D">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（3）不采用支付分解表的，承包人应向发包人和监理人提交按季度编制的支付估算分解表，用于支付参考。</w:t>
      </w:r>
    </w:p>
    <w:p w14:paraId="31C48254">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总价合同支付分解表的编制与审批</w:t>
      </w:r>
    </w:p>
    <w:p w14:paraId="42DBE405">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（1）除专用合同条款另有约定外，承包人应根据第7.2款</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施工进度计划</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约定的施工进度计划、签约合同价和工程量等因素对总价合同按月进行分解，编制支付分解表。承包人应当在收到监理人和发包人批准的施工进度计划后7天内，将支付分解表及编制支付分解表的支持性资料报送监理人。</w:t>
      </w:r>
    </w:p>
    <w:p w14:paraId="1C5EF534">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（2）监理人应在收到支付分解表后7天内完成审核并报送发包人。发包人应在收到经监理人审核的支付分解表后7天内完成审批，经发包人批准的支付分解表为有约束力的支付分解表。</w:t>
      </w:r>
    </w:p>
    <w:p w14:paraId="2C9DE42E">
      <w:pPr>
        <w:pageBreakBefore w:val="0"/>
        <w:widowControl w:val="0"/>
        <w:kinsoku/>
        <w:wordWrap/>
        <w:overflowPunct/>
        <w:topLinePunct w:val="0"/>
        <w:bidi w:val="0"/>
        <w:adjustRightInd w:val="0"/>
        <w:snapToGrid w:val="0"/>
        <w:spacing w:line="360" w:lineRule="auto"/>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 xml:space="preserve">    （3）发包人逾期未完成支付分解表</w:t>
      </w:r>
      <w:r>
        <w:rPr>
          <w:rFonts w:hint="eastAsia" w:ascii="Times New Roman" w:hAnsi="Times New Roman" w:eastAsia="仿宋_GB2312"/>
          <w:color w:val="auto"/>
          <w:kern w:val="0"/>
          <w:sz w:val="21"/>
          <w:szCs w:val="21"/>
          <w:highlight w:val="none"/>
        </w:rPr>
        <w:t>审批</w:t>
      </w:r>
      <w:r>
        <w:rPr>
          <w:rFonts w:ascii="Times New Roman" w:hAnsi="Times New Roman" w:eastAsia="仿宋_GB2312"/>
          <w:color w:val="auto"/>
          <w:kern w:val="0"/>
          <w:sz w:val="21"/>
          <w:szCs w:val="21"/>
          <w:highlight w:val="none"/>
        </w:rPr>
        <w:t>的，也未及时要求承包人进行修正和提供补充资料的，则承包人提交的支付分解表视为已经获得发包人批准。</w:t>
      </w:r>
    </w:p>
    <w:p w14:paraId="49B59057">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单价合同的总价项目支付分解表的编制与审批</w:t>
      </w:r>
    </w:p>
    <w:p w14:paraId="00141B5F">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14:paraId="731D94BA">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086" w:name="_Toc351203585"/>
      <w:r>
        <w:rPr>
          <w:rFonts w:ascii="Times New Roman" w:hAnsi="Times New Roman" w:eastAsia="黑体"/>
          <w:b w:val="0"/>
          <w:color w:val="auto"/>
          <w:sz w:val="21"/>
          <w:szCs w:val="21"/>
          <w:highlight w:val="none"/>
        </w:rPr>
        <w:t>12.5支付账户</w:t>
      </w:r>
      <w:bookmarkEnd w:id="1086"/>
    </w:p>
    <w:p w14:paraId="54B63893">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发包人应将合同价款支付至合同协议书中约定的承包人账户。</w:t>
      </w:r>
    </w:p>
    <w:p w14:paraId="11D64C8B">
      <w:pPr>
        <w:pStyle w:val="5"/>
        <w:pageBreakBefore w:val="0"/>
        <w:widowControl w:val="0"/>
        <w:kinsoku/>
        <w:wordWrap/>
        <w:overflowPunct/>
        <w:topLinePunct w:val="0"/>
        <w:bidi w:val="0"/>
        <w:adjustRightInd w:val="0"/>
        <w:snapToGrid w:val="0"/>
        <w:spacing w:before="0" w:after="0" w:line="360" w:lineRule="auto"/>
        <w:textAlignment w:val="auto"/>
        <w:outlineLvl w:val="3"/>
        <w:rPr>
          <w:rFonts w:eastAsia="黑体"/>
          <w:bCs/>
          <w:color w:val="auto"/>
          <w:sz w:val="21"/>
          <w:szCs w:val="21"/>
          <w:highlight w:val="none"/>
        </w:rPr>
      </w:pPr>
      <w:bookmarkStart w:id="1087" w:name="_Toc11487"/>
      <w:bookmarkStart w:id="1088" w:name="_Toc24179"/>
      <w:bookmarkStart w:id="1089" w:name="_Toc351203586"/>
      <w:bookmarkStart w:id="1090" w:name="_Toc337558804"/>
      <w:bookmarkStart w:id="1091" w:name="_Toc296346607"/>
      <w:bookmarkStart w:id="1092" w:name="_Toc322522574"/>
      <w:bookmarkStart w:id="1093" w:name="_Toc296503106"/>
      <w:r>
        <w:rPr>
          <w:rFonts w:eastAsia="黑体"/>
          <w:bCs/>
          <w:color w:val="auto"/>
          <w:sz w:val="21"/>
          <w:szCs w:val="21"/>
          <w:highlight w:val="none"/>
        </w:rPr>
        <w:t>13. 验收和工程试车</w:t>
      </w:r>
      <w:bookmarkEnd w:id="1087"/>
      <w:bookmarkEnd w:id="1088"/>
      <w:bookmarkEnd w:id="1089"/>
    </w:p>
    <w:bookmarkEnd w:id="1090"/>
    <w:bookmarkEnd w:id="1091"/>
    <w:bookmarkEnd w:id="1092"/>
    <w:bookmarkEnd w:id="1093"/>
    <w:p w14:paraId="6DA8AF01">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094" w:name="_Toc351203587"/>
      <w:bookmarkStart w:id="1095" w:name="_Toc337558805"/>
      <w:bookmarkStart w:id="1096" w:name="_Toc296503110"/>
      <w:bookmarkStart w:id="1097" w:name="_Toc296346611"/>
      <w:r>
        <w:rPr>
          <w:rFonts w:ascii="Times New Roman" w:hAnsi="Times New Roman" w:eastAsia="黑体"/>
          <w:b w:val="0"/>
          <w:color w:val="auto"/>
          <w:sz w:val="21"/>
          <w:szCs w:val="21"/>
          <w:highlight w:val="none"/>
        </w:rPr>
        <w:t>13.1分部分项工程验收</w:t>
      </w:r>
      <w:bookmarkEnd w:id="1094"/>
    </w:p>
    <w:bookmarkEnd w:id="1095"/>
    <w:p w14:paraId="1C86DFC0">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13.1.1 分部分项工程质量应符合国家有关工程施工验收规范、标准及合同约定，承包人应按照施工组织设计的要求完成分部分项工程施工。</w:t>
      </w:r>
    </w:p>
    <w:p w14:paraId="68C99F0F">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13.1.2 除专用合同条款另有约定外，分部分项工程经承包人自检合格并具备验收条件的，承包人应提前48小时通知监理人进行验收。</w:t>
      </w:r>
      <w:r>
        <w:rPr>
          <w:rFonts w:ascii="Times New Roman" w:hAnsi="Times New Roman" w:eastAsia="仿宋_GB2312"/>
          <w:color w:val="auto"/>
          <w:kern w:val="0"/>
          <w:sz w:val="21"/>
          <w:szCs w:val="21"/>
          <w:highlight w:val="none"/>
        </w:rPr>
        <w:t>监理人不能按时进行验收的，应在验收前24小时向承包人提交书面延期要求，但延期不能超过48小时。监理人未按时进行验收，也未提出延期要求的，承包人有权自行验收，监理人应认可验收结果。</w:t>
      </w:r>
      <w:r>
        <w:rPr>
          <w:rFonts w:ascii="Times New Roman" w:hAnsi="Times New Roman" w:eastAsia="仿宋_GB2312"/>
          <w:color w:val="auto"/>
          <w:sz w:val="21"/>
          <w:szCs w:val="21"/>
          <w:highlight w:val="none"/>
        </w:rPr>
        <w:t>分部分项工程未经验收的，不得进入下一道工序施工。</w:t>
      </w:r>
    </w:p>
    <w:p w14:paraId="5EBA9829">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分部分项工程的验收资料应当作为竣工资料的组成部分。</w:t>
      </w:r>
    </w:p>
    <w:p w14:paraId="7BED9238">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098" w:name="_Toc351203588"/>
      <w:bookmarkStart w:id="1099" w:name="_Toc337558806"/>
      <w:r>
        <w:rPr>
          <w:rFonts w:ascii="Times New Roman" w:hAnsi="Times New Roman" w:eastAsia="黑体"/>
          <w:b w:val="0"/>
          <w:color w:val="auto"/>
          <w:sz w:val="21"/>
          <w:szCs w:val="21"/>
          <w:highlight w:val="none"/>
        </w:rPr>
        <w:t>13.2竣工验收</w:t>
      </w:r>
      <w:bookmarkEnd w:id="1098"/>
    </w:p>
    <w:bookmarkEnd w:id="1096"/>
    <w:bookmarkEnd w:id="1097"/>
    <w:bookmarkEnd w:id="1099"/>
    <w:p w14:paraId="3E31F579">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13.2.1竣工验收条件</w:t>
      </w:r>
    </w:p>
    <w:p w14:paraId="33849C90">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工程具备以下条件的，承包人可以申请竣工验收：</w:t>
      </w:r>
    </w:p>
    <w:p w14:paraId="2100AB4B">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（1）除发包人同意的甩项</w:t>
      </w:r>
      <w:r>
        <w:rPr>
          <w:rFonts w:hint="eastAsia" w:ascii="Times New Roman" w:hAnsi="Times New Roman" w:eastAsia="仿宋_GB2312"/>
          <w:color w:val="auto"/>
          <w:kern w:val="0"/>
          <w:sz w:val="21"/>
          <w:szCs w:val="21"/>
          <w:highlight w:val="none"/>
        </w:rPr>
        <w:t>工作</w:t>
      </w:r>
      <w:r>
        <w:rPr>
          <w:rFonts w:ascii="Times New Roman" w:hAnsi="Times New Roman" w:eastAsia="仿宋_GB2312"/>
          <w:color w:val="auto"/>
          <w:kern w:val="0"/>
          <w:sz w:val="21"/>
          <w:szCs w:val="21"/>
          <w:highlight w:val="none"/>
        </w:rPr>
        <w:t>和缺陷修补工作外，合同范围内的全部工程以及有关工作，包括合同要求的试验、试运行以及检验均已完成，并符合合同要求；</w:t>
      </w:r>
    </w:p>
    <w:p w14:paraId="18B1B6A1">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（2）已按合同约定编制了甩项</w:t>
      </w:r>
      <w:r>
        <w:rPr>
          <w:rFonts w:hint="eastAsia" w:ascii="Times New Roman" w:hAnsi="Times New Roman" w:eastAsia="仿宋_GB2312"/>
          <w:color w:val="auto"/>
          <w:kern w:val="0"/>
          <w:sz w:val="21"/>
          <w:szCs w:val="21"/>
          <w:highlight w:val="none"/>
        </w:rPr>
        <w:t>工作</w:t>
      </w:r>
      <w:r>
        <w:rPr>
          <w:rFonts w:ascii="Times New Roman" w:hAnsi="Times New Roman" w:eastAsia="仿宋_GB2312"/>
          <w:color w:val="auto"/>
          <w:kern w:val="0"/>
          <w:sz w:val="21"/>
          <w:szCs w:val="21"/>
          <w:highlight w:val="none"/>
        </w:rPr>
        <w:t>和缺陷修补工作清单以及相应的施工计划；</w:t>
      </w:r>
    </w:p>
    <w:p w14:paraId="1A648649">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（3）已按合同约定的内容和份数备齐竣工资料。</w:t>
      </w:r>
    </w:p>
    <w:p w14:paraId="55E3DDD3">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13.2.2竣工验收程序</w:t>
      </w:r>
    </w:p>
    <w:p w14:paraId="7E578709">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除专用合同条款另有约定外，承包人申请竣工验收的，应当按照以下程序进行：</w:t>
      </w:r>
    </w:p>
    <w:p w14:paraId="354F68BC">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承包人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14:paraId="6384D170">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（2）监理人审查后认为已具备竣工验收条件的，应将竣工验收申请报告提交发包人，发包人应在收到</w:t>
      </w:r>
      <w:r>
        <w:rPr>
          <w:rFonts w:hint="eastAsia" w:ascii="Times New Roman" w:hAnsi="Times New Roman" w:eastAsia="仿宋_GB2312"/>
          <w:color w:val="auto"/>
          <w:kern w:val="0"/>
          <w:sz w:val="21"/>
          <w:szCs w:val="21"/>
          <w:highlight w:val="none"/>
        </w:rPr>
        <w:t>经</w:t>
      </w:r>
      <w:r>
        <w:rPr>
          <w:rFonts w:ascii="Times New Roman" w:hAnsi="Times New Roman" w:eastAsia="仿宋_GB2312"/>
          <w:color w:val="auto"/>
          <w:kern w:val="0"/>
          <w:sz w:val="21"/>
          <w:szCs w:val="21"/>
          <w:highlight w:val="none"/>
        </w:rPr>
        <w:t>监理人审核的竣工验收申请报告后28天内</w:t>
      </w:r>
      <w:r>
        <w:rPr>
          <w:rFonts w:hint="eastAsia" w:ascii="Times New Roman" w:hAnsi="Times New Roman" w:eastAsia="仿宋_GB2312"/>
          <w:color w:val="auto"/>
          <w:kern w:val="0"/>
          <w:sz w:val="21"/>
          <w:szCs w:val="21"/>
          <w:highlight w:val="none"/>
        </w:rPr>
        <w:t>审批</w:t>
      </w:r>
      <w:r>
        <w:rPr>
          <w:rFonts w:ascii="Times New Roman" w:hAnsi="Times New Roman" w:eastAsia="仿宋_GB2312"/>
          <w:color w:val="auto"/>
          <w:kern w:val="0"/>
          <w:sz w:val="21"/>
          <w:szCs w:val="21"/>
          <w:highlight w:val="none"/>
        </w:rPr>
        <w:t>完毕并组织监理人、承包人、设计人等相关单位完成竣工验收。</w:t>
      </w:r>
    </w:p>
    <w:p w14:paraId="33EF9725">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（3）竣工验收合格的，发包人应在验收合格后14天内向承包人签发工程接收证书。发包人无正当理由逾期不颁发工程接收证书的，自验收合格后第15天起视为已颁发工程接收证书。</w:t>
      </w:r>
    </w:p>
    <w:p w14:paraId="27D198A9">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2C2BE713">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（5）工程未经验收或验收不合格，发包人擅自使用的，应在转移占有工程后7天内向承包人颁发工程接收证书；发包人无正当理由逾期不颁发工程接收证书的，自转移占有后第15天起视为已颁发工程接收证书。</w:t>
      </w:r>
    </w:p>
    <w:p w14:paraId="21098472">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除专用合同条款另有约定外，发包人不按照本项约定组织竣工验收、颁发工程接收证书的，每逾期一天，应以签约合同价为基数，按照中国人民银行发布的同期同类贷款基准利率支付违约金。</w:t>
      </w:r>
    </w:p>
    <w:p w14:paraId="3652A6EE">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13.2.3竣工日期</w:t>
      </w:r>
    </w:p>
    <w:p w14:paraId="1B1AC30A">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工程经竣工验收合格的，以承包人提交竣工验收申请报告之日为实际竣工日期，并在工程接收证书中载明；因发包人原因，未在监理人收到承包人提交的竣工验收申请报告42天内完成</w:t>
      </w:r>
      <w:r>
        <w:rPr>
          <w:rFonts w:hint="eastAsia" w:ascii="Times New Roman" w:hAnsi="Times New Roman" w:eastAsia="仿宋_GB2312"/>
          <w:color w:val="auto"/>
          <w:kern w:val="0"/>
          <w:sz w:val="21"/>
          <w:szCs w:val="21"/>
          <w:highlight w:val="none"/>
        </w:rPr>
        <w:t>竣工</w:t>
      </w:r>
      <w:r>
        <w:rPr>
          <w:rFonts w:ascii="Times New Roman" w:hAnsi="Times New Roman" w:eastAsia="仿宋_GB2312"/>
          <w:color w:val="auto"/>
          <w:kern w:val="0"/>
          <w:sz w:val="21"/>
          <w:szCs w:val="21"/>
          <w:highlight w:val="none"/>
        </w:rPr>
        <w:t>验收</w:t>
      </w:r>
      <w:r>
        <w:rPr>
          <w:rFonts w:hint="eastAsia" w:ascii="Times New Roman" w:hAnsi="Times New Roman" w:eastAsia="仿宋_GB2312"/>
          <w:color w:val="auto"/>
          <w:kern w:val="0"/>
          <w:sz w:val="21"/>
          <w:szCs w:val="21"/>
          <w:highlight w:val="none"/>
        </w:rPr>
        <w:t>，或完成竣工验收不予签发工程接收证书</w:t>
      </w:r>
      <w:r>
        <w:rPr>
          <w:rFonts w:ascii="Times New Roman" w:hAnsi="Times New Roman" w:eastAsia="仿宋_GB2312"/>
          <w:color w:val="auto"/>
          <w:kern w:val="0"/>
          <w:sz w:val="21"/>
          <w:szCs w:val="21"/>
          <w:highlight w:val="none"/>
        </w:rPr>
        <w:t>的，以提交竣工验</w:t>
      </w:r>
      <w:bookmarkStart w:id="1100" w:name="#go14"/>
      <w:bookmarkEnd w:id="1100"/>
      <w:r>
        <w:rPr>
          <w:rFonts w:ascii="Times New Roman" w:hAnsi="Times New Roman" w:eastAsia="仿宋_GB2312"/>
          <w:color w:val="auto"/>
          <w:kern w:val="0"/>
          <w:sz w:val="21"/>
          <w:szCs w:val="21"/>
          <w:highlight w:val="none"/>
        </w:rPr>
        <w:t>收申请报告的日期为实际竣工日期；工程未经竣工验收，发包人擅自使用的，以转移占有工程之日为实际竣工日期。</w:t>
      </w:r>
    </w:p>
    <w:p w14:paraId="6FBFDEE5">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13.2.4 拒绝接收全部或部分工程</w:t>
      </w:r>
    </w:p>
    <w:p w14:paraId="47693BB4">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对于竣工验收不合格的工程，承包人完成整改后，</w:t>
      </w:r>
      <w:r>
        <w:rPr>
          <w:rFonts w:hint="eastAsia" w:ascii="Times New Roman" w:hAnsi="Times New Roman" w:eastAsia="仿宋_GB2312"/>
          <w:color w:val="auto"/>
          <w:kern w:val="0"/>
          <w:sz w:val="21"/>
          <w:szCs w:val="21"/>
          <w:highlight w:val="none"/>
        </w:rPr>
        <w:t>应当</w:t>
      </w:r>
      <w:r>
        <w:rPr>
          <w:rFonts w:ascii="Times New Roman" w:hAnsi="Times New Roman" w:eastAsia="仿宋_GB2312"/>
          <w:color w:val="auto"/>
          <w:kern w:val="0"/>
          <w:sz w:val="21"/>
          <w:szCs w:val="21"/>
          <w:highlight w:val="none"/>
        </w:rPr>
        <w:t>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14:paraId="798059A1">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13.2.5 移交、接收全部与部分工程</w:t>
      </w:r>
    </w:p>
    <w:p w14:paraId="1C973B7B">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hint="eastAsia" w:ascii="Times New Roman" w:hAnsi="Times New Roman" w:eastAsia="仿宋_GB2312"/>
          <w:color w:val="auto"/>
          <w:kern w:val="0"/>
          <w:sz w:val="21"/>
          <w:szCs w:val="21"/>
          <w:highlight w:val="none"/>
        </w:rPr>
        <w:t>除专用合同条款另有约定外，</w:t>
      </w:r>
      <w:r>
        <w:rPr>
          <w:rFonts w:ascii="Times New Roman" w:hAnsi="Times New Roman" w:eastAsia="仿宋_GB2312"/>
          <w:color w:val="auto"/>
          <w:kern w:val="0"/>
          <w:sz w:val="21"/>
          <w:szCs w:val="21"/>
          <w:highlight w:val="none"/>
        </w:rPr>
        <w:t>合同当事人应当在颁发工程接收证书</w:t>
      </w:r>
      <w:r>
        <w:rPr>
          <w:rFonts w:hint="eastAsia" w:ascii="Times New Roman" w:hAnsi="Times New Roman" w:eastAsia="仿宋_GB2312"/>
          <w:color w:val="auto"/>
          <w:kern w:val="0"/>
          <w:sz w:val="21"/>
          <w:szCs w:val="21"/>
          <w:highlight w:val="none"/>
        </w:rPr>
        <w:t>后7天内</w:t>
      </w:r>
      <w:r>
        <w:rPr>
          <w:rFonts w:ascii="Times New Roman" w:hAnsi="Times New Roman" w:eastAsia="仿宋_GB2312"/>
          <w:color w:val="auto"/>
          <w:kern w:val="0"/>
          <w:sz w:val="21"/>
          <w:szCs w:val="21"/>
          <w:highlight w:val="none"/>
        </w:rPr>
        <w:t>完成工程的移交。</w:t>
      </w:r>
    </w:p>
    <w:p w14:paraId="27B92363">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发包人无正当理由不接收工程的，发包人自</w:t>
      </w:r>
      <w:r>
        <w:rPr>
          <w:rFonts w:hint="eastAsia" w:ascii="Times New Roman" w:hAnsi="Times New Roman" w:eastAsia="仿宋_GB2312"/>
          <w:color w:val="auto"/>
          <w:kern w:val="0"/>
          <w:sz w:val="21"/>
          <w:szCs w:val="21"/>
          <w:highlight w:val="none"/>
        </w:rPr>
        <w:t>应当接收工程</w:t>
      </w:r>
      <w:r>
        <w:rPr>
          <w:rFonts w:ascii="Times New Roman" w:hAnsi="Times New Roman" w:eastAsia="仿宋_GB2312"/>
          <w:color w:val="auto"/>
          <w:kern w:val="0"/>
          <w:sz w:val="21"/>
          <w:szCs w:val="21"/>
          <w:highlight w:val="none"/>
        </w:rPr>
        <w:t>之日起，承担工程照管、成品保护、保管等与工程有关的各项费用</w:t>
      </w:r>
      <w:r>
        <w:rPr>
          <w:rFonts w:hint="eastAsia" w:ascii="Times New Roman" w:hAnsi="Times New Roman" w:eastAsia="仿宋_GB2312"/>
          <w:color w:val="auto"/>
          <w:kern w:val="0"/>
          <w:sz w:val="21"/>
          <w:szCs w:val="21"/>
          <w:highlight w:val="none"/>
        </w:rPr>
        <w:t>，合同当事人可以在专用合同条款中另行约定发包人逾期接收工程的违约责任</w:t>
      </w:r>
      <w:r>
        <w:rPr>
          <w:rFonts w:ascii="Times New Roman" w:hAnsi="Times New Roman" w:eastAsia="仿宋_GB2312"/>
          <w:color w:val="auto"/>
          <w:kern w:val="0"/>
          <w:sz w:val="21"/>
          <w:szCs w:val="21"/>
          <w:highlight w:val="none"/>
        </w:rPr>
        <w:t>。</w:t>
      </w:r>
    </w:p>
    <w:p w14:paraId="62AE85BE">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承包人无正当理由不移交工程的，</w:t>
      </w:r>
      <w:r>
        <w:rPr>
          <w:rFonts w:hint="eastAsia" w:ascii="Times New Roman" w:hAnsi="Times New Roman" w:eastAsia="仿宋_GB2312"/>
          <w:color w:val="auto"/>
          <w:kern w:val="0"/>
          <w:sz w:val="21"/>
          <w:szCs w:val="21"/>
          <w:highlight w:val="none"/>
        </w:rPr>
        <w:t>承包人应承担</w:t>
      </w:r>
      <w:r>
        <w:rPr>
          <w:rFonts w:ascii="Times New Roman" w:hAnsi="Times New Roman" w:eastAsia="仿宋_GB2312"/>
          <w:color w:val="auto"/>
          <w:kern w:val="0"/>
          <w:sz w:val="21"/>
          <w:szCs w:val="21"/>
          <w:highlight w:val="none"/>
        </w:rPr>
        <w:t>工程照管、成品保护、保管等与工程有关的各项费用</w:t>
      </w:r>
      <w:r>
        <w:rPr>
          <w:rFonts w:hint="eastAsia" w:ascii="Times New Roman" w:hAnsi="Times New Roman" w:eastAsia="仿宋_GB2312"/>
          <w:color w:val="auto"/>
          <w:kern w:val="0"/>
          <w:sz w:val="21"/>
          <w:szCs w:val="21"/>
          <w:highlight w:val="none"/>
        </w:rPr>
        <w:t>，合同当事人可以在专用合同条款中另行约定承包人无正当理由不移交工程的违约责任</w:t>
      </w:r>
      <w:r>
        <w:rPr>
          <w:rFonts w:ascii="Times New Roman" w:hAnsi="Times New Roman" w:eastAsia="仿宋_GB2312"/>
          <w:color w:val="auto"/>
          <w:kern w:val="0"/>
          <w:sz w:val="21"/>
          <w:szCs w:val="21"/>
          <w:highlight w:val="none"/>
        </w:rPr>
        <w:t>。</w:t>
      </w:r>
    </w:p>
    <w:p w14:paraId="1401DC3F">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101" w:name="_Toc351203589"/>
      <w:bookmarkStart w:id="1102" w:name="_Toc296346612"/>
      <w:bookmarkStart w:id="1103" w:name="_Toc337558807"/>
      <w:bookmarkStart w:id="1104" w:name="_Toc296503111"/>
      <w:r>
        <w:rPr>
          <w:rFonts w:ascii="Times New Roman" w:hAnsi="Times New Roman" w:eastAsia="黑体"/>
          <w:b w:val="0"/>
          <w:color w:val="auto"/>
          <w:sz w:val="21"/>
          <w:szCs w:val="21"/>
          <w:highlight w:val="none"/>
        </w:rPr>
        <w:t>13.3工程试车</w:t>
      </w:r>
      <w:bookmarkEnd w:id="1101"/>
    </w:p>
    <w:bookmarkEnd w:id="1102"/>
    <w:bookmarkEnd w:id="1103"/>
    <w:bookmarkEnd w:id="1104"/>
    <w:p w14:paraId="034F2F1F">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13.3.1试车程序</w:t>
      </w:r>
    </w:p>
    <w:p w14:paraId="0754B650">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工程需要试车的，除专用合同条款另有约定外，试车内容应与承包人承包范围相一致，试车费用由承包人承担。工程试车应按如下程序进行：</w:t>
      </w:r>
    </w:p>
    <w:p w14:paraId="5A5678E6">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具备单机无负荷试车条件，承包人组织试车，并在试车前48小时书面通知监理人，通知中应载明试车内容、时间、地点。承包人准备试车记录，发包人根据承包人要求为试车提供必要条件。试车合格的，监理人在试车记录上签字。监理人在试车合格后不在试车记录上签字，自试车结束满24小时后视为监理人已经认可试车记录，承包人可继续施工或办理竣工验收手续。</w:t>
      </w:r>
    </w:p>
    <w:p w14:paraId="40693774">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监理人不能按时参加试车，应在试车前24小时以书面形式向承包人提出延期要求，但延期不能超过48小时，由此导致工期延误的，工期应予以顺延。监理人未能在前述期限内提出延期要求，又不参加试车的，视为认可试车记录。</w:t>
      </w:r>
    </w:p>
    <w:p w14:paraId="67EF6C88">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具备无负荷联动试车条件，发包人组织试车，并在试车前48小时以书面形式通知承包人。通知中应载明试车内容、时间、地点和对承包人的要求，承包人按要求做好准备工作。试车合格，合同当事人在试车记录上签字。承包人无正当理由不参加试车的，视为认可试车记录。</w:t>
      </w:r>
    </w:p>
    <w:p w14:paraId="13BA06DB">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13.3.2 试车中的责任</w:t>
      </w:r>
    </w:p>
    <w:p w14:paraId="36C3CFF0">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14:paraId="061A053E">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14:paraId="4D6D92D7">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13.3.3 投料试车</w:t>
      </w:r>
    </w:p>
    <w:p w14:paraId="6480CBA1">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hint="eastAsia" w:ascii="Times New Roman" w:hAnsi="Times New Roman" w:eastAsia="仿宋_GB2312"/>
          <w:color w:val="auto"/>
          <w:kern w:val="0"/>
          <w:sz w:val="21"/>
          <w:szCs w:val="21"/>
          <w:highlight w:val="none"/>
        </w:rPr>
        <w:t>如需进行投料试车的，</w:t>
      </w:r>
      <w:r>
        <w:rPr>
          <w:rFonts w:ascii="Times New Roman" w:hAnsi="Times New Roman" w:eastAsia="仿宋_GB2312"/>
          <w:color w:val="auto"/>
          <w:kern w:val="0"/>
          <w:sz w:val="21"/>
          <w:szCs w:val="21"/>
          <w:highlight w:val="none"/>
        </w:rPr>
        <w:t>发包人</w:t>
      </w:r>
      <w:r>
        <w:rPr>
          <w:rFonts w:hint="eastAsia" w:ascii="Times New Roman" w:hAnsi="Times New Roman" w:eastAsia="仿宋_GB2312"/>
          <w:color w:val="auto"/>
          <w:kern w:val="0"/>
          <w:sz w:val="21"/>
          <w:szCs w:val="21"/>
          <w:highlight w:val="none"/>
        </w:rPr>
        <w:t>应在</w:t>
      </w:r>
      <w:r>
        <w:rPr>
          <w:rFonts w:ascii="Times New Roman" w:hAnsi="Times New Roman" w:eastAsia="仿宋_GB2312"/>
          <w:color w:val="auto"/>
          <w:kern w:val="0"/>
          <w:sz w:val="21"/>
          <w:szCs w:val="21"/>
          <w:highlight w:val="none"/>
        </w:rPr>
        <w:t>工程竣工验收后</w:t>
      </w:r>
      <w:r>
        <w:rPr>
          <w:rFonts w:hint="eastAsia" w:ascii="Times New Roman" w:hAnsi="Times New Roman" w:eastAsia="仿宋_GB2312"/>
          <w:color w:val="auto"/>
          <w:kern w:val="0"/>
          <w:sz w:val="21"/>
          <w:szCs w:val="21"/>
          <w:highlight w:val="none"/>
        </w:rPr>
        <w:t>组织</w:t>
      </w:r>
      <w:r>
        <w:rPr>
          <w:rFonts w:ascii="Times New Roman" w:hAnsi="Times New Roman" w:eastAsia="仿宋_GB2312"/>
          <w:color w:val="auto"/>
          <w:kern w:val="0"/>
          <w:sz w:val="21"/>
          <w:szCs w:val="21"/>
          <w:highlight w:val="none"/>
        </w:rPr>
        <w:t>投料试车</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发包人要求在工程竣工验收前进行或需要承包人配合时，应征得承包人同意</w:t>
      </w:r>
      <w:r>
        <w:rPr>
          <w:rFonts w:hint="eastAsia" w:ascii="Times New Roman" w:hAnsi="Times New Roman" w:eastAsia="仿宋_GB2312"/>
          <w:color w:val="auto"/>
          <w:kern w:val="0"/>
          <w:sz w:val="21"/>
          <w:szCs w:val="21"/>
          <w:highlight w:val="none"/>
        </w:rPr>
        <w:t>，并在专用合同条款中约定有关事项</w:t>
      </w:r>
      <w:r>
        <w:rPr>
          <w:rFonts w:ascii="Times New Roman" w:hAnsi="Times New Roman" w:eastAsia="仿宋_GB2312"/>
          <w:color w:val="auto"/>
          <w:kern w:val="0"/>
          <w:sz w:val="21"/>
          <w:szCs w:val="21"/>
          <w:highlight w:val="none"/>
        </w:rPr>
        <w:t>。</w:t>
      </w:r>
    </w:p>
    <w:p w14:paraId="39FCE8C9">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投料试车合格的，费用由发包人承担；因承包人原因造成投料试车不合格的，承包人应按照发包人要求进行整改，由此产生的整改费用由承包人承担；非因承包人原因导致投料试车不合格的，</w:t>
      </w:r>
      <w:r>
        <w:rPr>
          <w:rFonts w:hint="eastAsia" w:ascii="Times New Roman" w:hAnsi="Times New Roman" w:eastAsia="仿宋_GB2312"/>
          <w:color w:val="auto"/>
          <w:kern w:val="0"/>
          <w:sz w:val="21"/>
          <w:szCs w:val="21"/>
          <w:highlight w:val="none"/>
        </w:rPr>
        <w:t>如</w:t>
      </w:r>
      <w:r>
        <w:rPr>
          <w:rFonts w:ascii="Times New Roman" w:hAnsi="Times New Roman" w:eastAsia="仿宋_GB2312"/>
          <w:color w:val="auto"/>
          <w:kern w:val="0"/>
          <w:sz w:val="21"/>
          <w:szCs w:val="21"/>
          <w:highlight w:val="none"/>
        </w:rPr>
        <w:t>发包人要求承包人进行整改</w:t>
      </w:r>
      <w:r>
        <w:rPr>
          <w:rFonts w:hint="eastAsia" w:ascii="Times New Roman" w:hAnsi="Times New Roman" w:eastAsia="仿宋_GB2312"/>
          <w:color w:val="auto"/>
          <w:kern w:val="0"/>
          <w:sz w:val="21"/>
          <w:szCs w:val="21"/>
          <w:highlight w:val="none"/>
        </w:rPr>
        <w:t>的</w:t>
      </w:r>
      <w:r>
        <w:rPr>
          <w:rFonts w:ascii="Times New Roman" w:hAnsi="Times New Roman" w:eastAsia="仿宋_GB2312"/>
          <w:color w:val="auto"/>
          <w:kern w:val="0"/>
          <w:sz w:val="21"/>
          <w:szCs w:val="21"/>
          <w:highlight w:val="none"/>
        </w:rPr>
        <w:t>，由此产生的费用由发包人承担。</w:t>
      </w:r>
    </w:p>
    <w:p w14:paraId="4E84D388">
      <w:pPr>
        <w:pStyle w:val="6"/>
        <w:pageBreakBefore w:val="0"/>
        <w:widowControl w:val="0"/>
        <w:kinsoku/>
        <w:wordWrap/>
        <w:overflowPunct/>
        <w:topLinePunct w:val="0"/>
        <w:bidi w:val="0"/>
        <w:adjustRightInd w:val="0"/>
        <w:snapToGrid w:val="0"/>
        <w:spacing w:before="0" w:after="0" w:line="360" w:lineRule="auto"/>
        <w:textAlignment w:val="auto"/>
        <w:rPr>
          <w:rFonts w:ascii="Times New Roman" w:hAnsi="Times New Roman" w:eastAsia="黑体"/>
          <w:b w:val="0"/>
          <w:color w:val="auto"/>
          <w:sz w:val="21"/>
          <w:szCs w:val="21"/>
          <w:highlight w:val="none"/>
        </w:rPr>
      </w:pPr>
      <w:bookmarkStart w:id="1105" w:name="_Toc351203590"/>
      <w:bookmarkStart w:id="1106" w:name="_Toc337558808"/>
      <w:r>
        <w:rPr>
          <w:rFonts w:ascii="Times New Roman" w:hAnsi="Times New Roman" w:eastAsia="黑体"/>
          <w:b w:val="0"/>
          <w:color w:val="auto"/>
          <w:sz w:val="21"/>
          <w:szCs w:val="21"/>
          <w:highlight w:val="none"/>
        </w:rPr>
        <w:t>13.4提前交付单位工程的验收</w:t>
      </w:r>
      <w:bookmarkEnd w:id="1105"/>
    </w:p>
    <w:bookmarkEnd w:id="1106"/>
    <w:p w14:paraId="033AA507">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13.4.1 发包人需要在工程竣工前使用单位工程的，或承包人提出提前交付已经竣工的单位工程且经发包人同意的，可进行单位工程验收，验收的程序按照第13.2款</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竣工验收</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的约定进行。</w:t>
      </w:r>
    </w:p>
    <w:p w14:paraId="059D60CE">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验收合格后，由监理人向承包人出具经发包人签认的单位工程接收证书。已签发单位工程接收证书的单位工程由发包人负责照管。单位工程的验收成果和结论作为整体工程竣工验收申请报告的附件。</w:t>
      </w:r>
    </w:p>
    <w:p w14:paraId="6BEF0795">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13.4.2 发包人要求在工程竣工前交付单位工程，由此导致承包人费用增加和（或）工期延误的，由发包人承担由此增加的费用和（或）延误的工期，并支付承包人合理的利润。</w:t>
      </w:r>
    </w:p>
    <w:p w14:paraId="08E8D33D">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107" w:name="_Toc351203591"/>
      <w:r>
        <w:rPr>
          <w:rFonts w:ascii="Times New Roman" w:hAnsi="Times New Roman" w:eastAsia="黑体"/>
          <w:b w:val="0"/>
          <w:color w:val="auto"/>
          <w:sz w:val="21"/>
          <w:szCs w:val="21"/>
          <w:highlight w:val="none"/>
        </w:rPr>
        <w:t>13.5 施工期运行</w:t>
      </w:r>
      <w:bookmarkEnd w:id="1107"/>
    </w:p>
    <w:p w14:paraId="31D22B5D">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13.5.1 施工期运行是指合同工程尚未全部竣工，其中某项或某几项单位工程或工程设备安装已竣工，根据专用合同条款约定，需要投入施工期运行的，经发包人按第13.4款</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提前交付单位工程的验收</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的约定验收合格，证明能确保安全后，才能在施工期投入运行。</w:t>
      </w:r>
    </w:p>
    <w:p w14:paraId="0EC0A6DD">
      <w:pPr>
        <w:pageBreakBefore w:val="0"/>
        <w:widowControl w:val="0"/>
        <w:kinsoku/>
        <w:wordWrap/>
        <w:overflowPunct/>
        <w:topLinePunct w:val="0"/>
        <w:bidi w:val="0"/>
        <w:adjustRightInd w:val="0"/>
        <w:snapToGrid w:val="0"/>
        <w:spacing w:line="360" w:lineRule="auto"/>
        <w:ind w:firstLine="420" w:firstLineChars="200"/>
        <w:jc w:val="left"/>
        <w:textAlignment w:val="auto"/>
        <w:rPr>
          <w:rFonts w:hint="eastAsia"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13.5.2 在施工期运行中发现工程或工程设备损坏或存在缺陷的，由承包人按第15.2款</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缺陷责任期</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约定进行修复。</w:t>
      </w:r>
    </w:p>
    <w:p w14:paraId="08264A08">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108" w:name="_Toc296346613"/>
      <w:bookmarkStart w:id="1109" w:name="_Toc296503112"/>
      <w:bookmarkStart w:id="1110" w:name="_Toc351203592"/>
      <w:bookmarkStart w:id="1111" w:name="_Toc337558809"/>
      <w:r>
        <w:rPr>
          <w:rFonts w:ascii="Times New Roman" w:hAnsi="Times New Roman" w:eastAsia="黑体"/>
          <w:b w:val="0"/>
          <w:color w:val="auto"/>
          <w:sz w:val="21"/>
          <w:szCs w:val="21"/>
          <w:highlight w:val="none"/>
        </w:rPr>
        <w:t>13.6 竣工退</w:t>
      </w:r>
      <w:bookmarkEnd w:id="1108"/>
      <w:bookmarkEnd w:id="1109"/>
      <w:r>
        <w:rPr>
          <w:rFonts w:ascii="Times New Roman" w:hAnsi="Times New Roman" w:eastAsia="黑体"/>
          <w:b w:val="0"/>
          <w:color w:val="auto"/>
          <w:sz w:val="21"/>
          <w:szCs w:val="21"/>
          <w:highlight w:val="none"/>
        </w:rPr>
        <w:t>场</w:t>
      </w:r>
      <w:bookmarkEnd w:id="1110"/>
    </w:p>
    <w:bookmarkEnd w:id="1111"/>
    <w:p w14:paraId="6B86266B">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13.6.1 竣工退场</w:t>
      </w:r>
    </w:p>
    <w:p w14:paraId="1F1D30D5">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颁发工程接收证书后，承包人应按以下要求对施工现场进行清理：</w:t>
      </w:r>
    </w:p>
    <w:p w14:paraId="73806B48">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（1）施工现场内残留的垃圾已全部清除出场；</w:t>
      </w:r>
    </w:p>
    <w:p w14:paraId="692EB4D7">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（2）临时工程已拆除，场地已进行清理、平整或复原；</w:t>
      </w:r>
    </w:p>
    <w:p w14:paraId="37B455DA">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（3）按合同约定应撤离的人员、承包人施工设备和剩余的材料，包括废弃的施工设备和材料，已按计划撤离施工现场；</w:t>
      </w:r>
    </w:p>
    <w:p w14:paraId="1741EEC7">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（4）施工现场周边及其附近道路、河道的施工堆积物，已全部清理；</w:t>
      </w:r>
    </w:p>
    <w:p w14:paraId="36055356">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（5）施工现场其他场地清理工作已全部完成。</w:t>
      </w:r>
    </w:p>
    <w:p w14:paraId="455FC1B7">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14:paraId="37A0A96E">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13.6.2 地表还原</w:t>
      </w:r>
    </w:p>
    <w:p w14:paraId="30864B14">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承包人应按发包人要求恢复临时占地及清理场地，承包人未按发包人的要求恢复临时占地，或者场地清理未达到合同约定要求的，发包人有权委托其他人恢复或清理，所发生的费用由承包人承担。</w:t>
      </w:r>
    </w:p>
    <w:p w14:paraId="3F1E4FAA">
      <w:pPr>
        <w:pStyle w:val="5"/>
        <w:pageBreakBefore w:val="0"/>
        <w:widowControl w:val="0"/>
        <w:kinsoku/>
        <w:wordWrap/>
        <w:overflowPunct/>
        <w:topLinePunct w:val="0"/>
        <w:bidi w:val="0"/>
        <w:adjustRightInd w:val="0"/>
        <w:snapToGrid w:val="0"/>
        <w:spacing w:before="0" w:after="0" w:line="360" w:lineRule="auto"/>
        <w:textAlignment w:val="auto"/>
        <w:outlineLvl w:val="3"/>
        <w:rPr>
          <w:rFonts w:eastAsia="黑体"/>
          <w:bCs/>
          <w:color w:val="auto"/>
          <w:sz w:val="21"/>
          <w:szCs w:val="21"/>
          <w:highlight w:val="none"/>
        </w:rPr>
      </w:pPr>
      <w:bookmarkStart w:id="1112" w:name="_Toc27156"/>
      <w:bookmarkStart w:id="1113" w:name="_Toc21690"/>
      <w:bookmarkStart w:id="1114" w:name="_Toc351203593"/>
      <w:bookmarkStart w:id="1115" w:name="_Toc337558810"/>
      <w:bookmarkStart w:id="1116" w:name="_Toc296346614"/>
      <w:bookmarkStart w:id="1117" w:name="_Toc296503113"/>
      <w:r>
        <w:rPr>
          <w:rFonts w:eastAsia="黑体"/>
          <w:bCs/>
          <w:color w:val="auto"/>
          <w:sz w:val="21"/>
          <w:szCs w:val="21"/>
          <w:highlight w:val="none"/>
        </w:rPr>
        <w:t>14. 竣工结算</w:t>
      </w:r>
      <w:bookmarkEnd w:id="1112"/>
      <w:bookmarkEnd w:id="1113"/>
      <w:bookmarkEnd w:id="1114"/>
    </w:p>
    <w:bookmarkEnd w:id="1115"/>
    <w:p w14:paraId="245666AA">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118" w:name="_Toc351203594"/>
      <w:bookmarkStart w:id="1119" w:name="_Toc337558811"/>
      <w:r>
        <w:rPr>
          <w:rFonts w:ascii="Times New Roman" w:hAnsi="Times New Roman" w:eastAsia="黑体"/>
          <w:b w:val="0"/>
          <w:color w:val="auto"/>
          <w:sz w:val="21"/>
          <w:szCs w:val="21"/>
          <w:highlight w:val="none"/>
        </w:rPr>
        <w:t>14.1 竣工结算申请</w:t>
      </w:r>
      <w:bookmarkEnd w:id="1118"/>
    </w:p>
    <w:bookmarkEnd w:id="1119"/>
    <w:p w14:paraId="1423AD00">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kern w:val="0"/>
          <w:sz w:val="21"/>
          <w:szCs w:val="21"/>
          <w:highlight w:val="none"/>
        </w:rPr>
        <w:t>除专用合同条款另有约定外，</w:t>
      </w:r>
      <w:r>
        <w:rPr>
          <w:rFonts w:ascii="Times New Roman" w:hAnsi="Times New Roman" w:eastAsia="仿宋_GB2312"/>
          <w:color w:val="auto"/>
          <w:sz w:val="21"/>
          <w:szCs w:val="21"/>
          <w:highlight w:val="none"/>
        </w:rPr>
        <w:t>承包人应在工程竣工验收合格后28天内向发包人和监理人提交竣工结算申请单，并提交完整的结算资料，</w:t>
      </w:r>
      <w:r>
        <w:rPr>
          <w:rFonts w:hint="eastAsia" w:ascii="Times New Roman" w:hAnsi="Times New Roman" w:eastAsia="仿宋_GB2312"/>
          <w:color w:val="auto"/>
          <w:sz w:val="21"/>
          <w:szCs w:val="21"/>
          <w:highlight w:val="none"/>
        </w:rPr>
        <w:t>有关</w:t>
      </w:r>
      <w:r>
        <w:rPr>
          <w:rFonts w:ascii="Times New Roman" w:hAnsi="Times New Roman" w:eastAsia="仿宋_GB2312"/>
          <w:color w:val="auto"/>
          <w:sz w:val="21"/>
          <w:szCs w:val="21"/>
          <w:highlight w:val="none"/>
        </w:rPr>
        <w:t>竣工结算申请单</w:t>
      </w:r>
      <w:r>
        <w:rPr>
          <w:rFonts w:hint="eastAsia" w:ascii="Times New Roman" w:hAnsi="Times New Roman" w:eastAsia="仿宋_GB2312"/>
          <w:color w:val="auto"/>
          <w:sz w:val="21"/>
          <w:szCs w:val="21"/>
          <w:highlight w:val="none"/>
        </w:rPr>
        <w:t>的资料清单和</w:t>
      </w:r>
      <w:r>
        <w:rPr>
          <w:rFonts w:ascii="Times New Roman" w:hAnsi="Times New Roman" w:eastAsia="仿宋_GB2312"/>
          <w:color w:val="auto"/>
          <w:sz w:val="21"/>
          <w:szCs w:val="21"/>
          <w:highlight w:val="none"/>
        </w:rPr>
        <w:t>份数</w:t>
      </w:r>
      <w:r>
        <w:rPr>
          <w:rFonts w:hint="eastAsia" w:ascii="Times New Roman" w:hAnsi="Times New Roman" w:eastAsia="仿宋_GB2312"/>
          <w:color w:val="auto"/>
          <w:sz w:val="21"/>
          <w:szCs w:val="21"/>
          <w:highlight w:val="none"/>
        </w:rPr>
        <w:t>等要求</w:t>
      </w:r>
      <w:r>
        <w:rPr>
          <w:rFonts w:ascii="Times New Roman" w:hAnsi="Times New Roman" w:eastAsia="仿宋_GB2312"/>
          <w:color w:val="auto"/>
          <w:sz w:val="21"/>
          <w:szCs w:val="21"/>
          <w:highlight w:val="none"/>
        </w:rPr>
        <w:t>由合同当事人在专用合同条款中约定。</w:t>
      </w:r>
    </w:p>
    <w:p w14:paraId="24A93537">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除专用合同条款另有约定外，竣工结算申请单应包括以下内容：</w:t>
      </w:r>
    </w:p>
    <w:p w14:paraId="360557E4">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（1）竣工结算合同价格；</w:t>
      </w:r>
    </w:p>
    <w:p w14:paraId="34793121">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（2）发包人已支付承包人的款项；</w:t>
      </w:r>
    </w:p>
    <w:p w14:paraId="69CB40F2">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（3）应扣留的质量保证金</w:t>
      </w:r>
      <w:r>
        <w:rPr>
          <w:rFonts w:hint="eastAsia" w:eastAsia="仿宋_GB2312"/>
          <w:color w:val="auto"/>
          <w:sz w:val="21"/>
          <w:szCs w:val="21"/>
          <w:highlight w:val="none"/>
        </w:rPr>
        <w:t>。已缴纳履约保证金的或提供其他工程质量担保方式的除外</w:t>
      </w:r>
      <w:r>
        <w:rPr>
          <w:rFonts w:ascii="Times New Roman" w:hAnsi="Times New Roman" w:eastAsia="仿宋_GB2312"/>
          <w:color w:val="auto"/>
          <w:sz w:val="21"/>
          <w:szCs w:val="21"/>
          <w:highlight w:val="none"/>
        </w:rPr>
        <w:t xml:space="preserve">； </w:t>
      </w:r>
    </w:p>
    <w:p w14:paraId="494E81A4">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（4）发包人应支付承包人的合同价款。</w:t>
      </w:r>
    </w:p>
    <w:p w14:paraId="7127668B">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120" w:name="_Toc351203595"/>
      <w:bookmarkStart w:id="1121" w:name="_Toc337558812"/>
      <w:r>
        <w:rPr>
          <w:rFonts w:ascii="Times New Roman" w:hAnsi="Times New Roman" w:eastAsia="黑体"/>
          <w:b w:val="0"/>
          <w:color w:val="auto"/>
          <w:sz w:val="21"/>
          <w:szCs w:val="21"/>
          <w:highlight w:val="none"/>
        </w:rPr>
        <w:t>14.2 竣工结算审核</w:t>
      </w:r>
      <w:bookmarkEnd w:id="1120"/>
    </w:p>
    <w:bookmarkEnd w:id="1121"/>
    <w:p w14:paraId="6E57FBAB">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（1）除专用合同条款另有约定外，监理人应在收到竣工结算申请单后14天内完成核查并报送发包人。发包人应在收到监理人提交的经审核的竣工结算申请单后14天内完成</w:t>
      </w:r>
      <w:r>
        <w:rPr>
          <w:rFonts w:hint="eastAsia" w:ascii="Times New Roman" w:hAnsi="Times New Roman" w:eastAsia="仿宋_GB2312"/>
          <w:color w:val="auto"/>
          <w:kern w:val="0"/>
          <w:sz w:val="21"/>
          <w:szCs w:val="21"/>
          <w:highlight w:val="none"/>
        </w:rPr>
        <w:t>审批</w:t>
      </w:r>
      <w:r>
        <w:rPr>
          <w:rFonts w:ascii="Times New Roman" w:hAnsi="Times New Roman" w:eastAsia="仿宋_GB2312"/>
          <w:color w:val="auto"/>
          <w:kern w:val="0"/>
          <w:sz w:val="21"/>
          <w:szCs w:val="21"/>
          <w:highlight w:val="none"/>
        </w:rPr>
        <w:t>，并由监理人向承包人签发经发包人签认的竣工付款证书。监理人或</w:t>
      </w:r>
      <w:r>
        <w:rPr>
          <w:rFonts w:ascii="Times New Roman" w:hAnsi="Times New Roman" w:eastAsia="仿宋_GB2312"/>
          <w:color w:val="auto"/>
          <w:sz w:val="21"/>
          <w:szCs w:val="21"/>
          <w:highlight w:val="none"/>
        </w:rPr>
        <w:t>发包人对竣工</w:t>
      </w:r>
      <w:r>
        <w:rPr>
          <w:rFonts w:ascii="Times New Roman" w:hAnsi="Times New Roman" w:eastAsia="仿宋_GB2312"/>
          <w:color w:val="auto"/>
          <w:kern w:val="0"/>
          <w:sz w:val="21"/>
          <w:szCs w:val="21"/>
          <w:highlight w:val="none"/>
        </w:rPr>
        <w:t>结算</w:t>
      </w:r>
      <w:r>
        <w:rPr>
          <w:rFonts w:ascii="Times New Roman" w:hAnsi="Times New Roman" w:eastAsia="仿宋_GB2312"/>
          <w:color w:val="auto"/>
          <w:sz w:val="21"/>
          <w:szCs w:val="21"/>
          <w:highlight w:val="none"/>
        </w:rPr>
        <w:t>申请单有异议的，有权要求承包人进行修正和提供补充资料，承包人应提交修正后的竣工</w:t>
      </w:r>
      <w:r>
        <w:rPr>
          <w:rFonts w:ascii="Times New Roman" w:hAnsi="Times New Roman" w:eastAsia="仿宋_GB2312"/>
          <w:color w:val="auto"/>
          <w:kern w:val="0"/>
          <w:sz w:val="21"/>
          <w:szCs w:val="21"/>
          <w:highlight w:val="none"/>
        </w:rPr>
        <w:t>结算</w:t>
      </w:r>
      <w:r>
        <w:rPr>
          <w:rFonts w:ascii="Times New Roman" w:hAnsi="Times New Roman" w:eastAsia="仿宋_GB2312"/>
          <w:color w:val="auto"/>
          <w:sz w:val="21"/>
          <w:szCs w:val="21"/>
          <w:highlight w:val="none"/>
        </w:rPr>
        <w:t>申请单。</w:t>
      </w:r>
    </w:p>
    <w:p w14:paraId="63DC8936">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发包人在收到承包人提交竣工结算申请书后28天</w:t>
      </w:r>
      <w:r>
        <w:rPr>
          <w:rFonts w:hint="eastAsia" w:ascii="Times New Roman" w:hAnsi="Times New Roman" w:eastAsia="仿宋_GB2312"/>
          <w:color w:val="auto"/>
          <w:kern w:val="0"/>
          <w:sz w:val="21"/>
          <w:szCs w:val="21"/>
          <w:highlight w:val="none"/>
        </w:rPr>
        <w:t>内</w:t>
      </w:r>
      <w:r>
        <w:rPr>
          <w:rFonts w:ascii="Times New Roman" w:hAnsi="Times New Roman" w:eastAsia="仿宋_GB2312"/>
          <w:color w:val="auto"/>
          <w:kern w:val="0"/>
          <w:sz w:val="21"/>
          <w:szCs w:val="21"/>
          <w:highlight w:val="none"/>
        </w:rPr>
        <w:t>未完成</w:t>
      </w:r>
      <w:r>
        <w:rPr>
          <w:rFonts w:hint="eastAsia" w:ascii="Times New Roman" w:hAnsi="Times New Roman" w:eastAsia="仿宋_GB2312"/>
          <w:color w:val="auto"/>
          <w:kern w:val="0"/>
          <w:sz w:val="21"/>
          <w:szCs w:val="21"/>
          <w:highlight w:val="none"/>
        </w:rPr>
        <w:t>审批</w:t>
      </w:r>
      <w:r>
        <w:rPr>
          <w:rFonts w:ascii="Times New Roman" w:hAnsi="Times New Roman" w:eastAsia="仿宋_GB2312"/>
          <w:color w:val="auto"/>
          <w:kern w:val="0"/>
          <w:sz w:val="21"/>
          <w:szCs w:val="21"/>
          <w:highlight w:val="none"/>
        </w:rPr>
        <w:t>且未提出异议的，视为发包人认可承包人提交的竣工结算申请单，并自发包人收到承包人提交的竣工结算申请单后第29天起视为已签发竣工付款证书。</w:t>
      </w:r>
    </w:p>
    <w:p w14:paraId="0661ACD0">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（2）除专用合同条款另有约定外，发包人应在签发竣工付款证书后的14 天内，完成对承包人的竣工付款。发包人逾期支付的，按照中国人民银行发布的同期同类贷款基准利率支付违约金；逾期支付超过56天的，按照中国人民银行发布的同期同类贷款基准利率的两倍支付违约金。</w:t>
      </w:r>
    </w:p>
    <w:p w14:paraId="55E35CEC">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（3）承包人对发包人签认的竣工付款证书有异议的，对于有异议部分应在收到发包人签认的竣工付款证书后7天内提出异议，并由合同当事人按照专用合同条款约定</w:t>
      </w:r>
      <w:r>
        <w:rPr>
          <w:rFonts w:hint="eastAsia" w:ascii="Times New Roman" w:hAnsi="Times New Roman" w:eastAsia="仿宋_GB2312"/>
          <w:color w:val="auto"/>
          <w:kern w:val="0"/>
          <w:sz w:val="21"/>
          <w:szCs w:val="21"/>
          <w:highlight w:val="none"/>
        </w:rPr>
        <w:t>的方式和程序</w:t>
      </w:r>
      <w:r>
        <w:rPr>
          <w:rFonts w:ascii="Times New Roman" w:hAnsi="Times New Roman" w:eastAsia="仿宋_GB2312"/>
          <w:color w:val="auto"/>
          <w:kern w:val="0"/>
          <w:sz w:val="21"/>
          <w:szCs w:val="21"/>
          <w:highlight w:val="none"/>
        </w:rPr>
        <w:t>进行复核，或按照第20条</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争议解决</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约定处理。对于无异议部分，发包人应签发临时竣工付款证书，并按本款第（2）项完成付款</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承包人逾期未提出异议的，视为认可发包人的</w:t>
      </w:r>
      <w:r>
        <w:rPr>
          <w:rFonts w:hint="eastAsia" w:ascii="Times New Roman" w:hAnsi="Times New Roman" w:eastAsia="仿宋_GB2312"/>
          <w:color w:val="auto"/>
          <w:kern w:val="0"/>
          <w:sz w:val="21"/>
          <w:szCs w:val="21"/>
          <w:highlight w:val="none"/>
        </w:rPr>
        <w:t>审批</w:t>
      </w:r>
      <w:r>
        <w:rPr>
          <w:rFonts w:ascii="Times New Roman" w:hAnsi="Times New Roman" w:eastAsia="仿宋_GB2312"/>
          <w:color w:val="auto"/>
          <w:kern w:val="0"/>
          <w:sz w:val="21"/>
          <w:szCs w:val="21"/>
          <w:highlight w:val="none"/>
        </w:rPr>
        <w:t>结果。</w:t>
      </w:r>
    </w:p>
    <w:p w14:paraId="2B18CD2D">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122" w:name="_Toc351203596"/>
      <w:bookmarkStart w:id="1123" w:name="_Toc337558813"/>
      <w:r>
        <w:rPr>
          <w:rFonts w:ascii="Times New Roman" w:hAnsi="Times New Roman" w:eastAsia="黑体"/>
          <w:b w:val="0"/>
          <w:color w:val="auto"/>
          <w:sz w:val="21"/>
          <w:szCs w:val="21"/>
          <w:highlight w:val="none"/>
        </w:rPr>
        <w:t>14.3 甩项竣工协议</w:t>
      </w:r>
      <w:bookmarkEnd w:id="1122"/>
    </w:p>
    <w:bookmarkEnd w:id="1123"/>
    <w:p w14:paraId="7E7DAA6A">
      <w:pPr>
        <w:pageBreakBefore w:val="0"/>
        <w:widowControl w:val="0"/>
        <w:kinsoku/>
        <w:wordWrap/>
        <w:overflowPunct/>
        <w:topLinePunct w:val="0"/>
        <w:autoSpaceDE w:val="0"/>
        <w:autoSpaceDN w:val="0"/>
        <w:bidi w:val="0"/>
        <w:adjustRightInd w:val="0"/>
        <w:snapToGrid w:val="0"/>
        <w:spacing w:line="360" w:lineRule="auto"/>
        <w:ind w:firstLine="411" w:firstLineChars="196"/>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sz w:val="21"/>
          <w:szCs w:val="21"/>
          <w:highlight w:val="none"/>
        </w:rPr>
        <w:t>发包人要求甩项竣工的，合同当事人应签订甩项竣工协议。在甩项竣工协议中应明确，合同当事人按照第14.1款</w:t>
      </w:r>
      <w:r>
        <w:rPr>
          <w:rFonts w:hint="eastAsia" w:ascii="Times New Roman" w:hAnsi="Times New Roman" w:eastAsia="仿宋_GB2312"/>
          <w:color w:val="auto"/>
          <w:sz w:val="21"/>
          <w:szCs w:val="21"/>
          <w:highlight w:val="none"/>
        </w:rPr>
        <w:t>〔</w:t>
      </w:r>
      <w:r>
        <w:rPr>
          <w:rFonts w:ascii="Times New Roman" w:hAnsi="Times New Roman" w:eastAsia="仿宋_GB2312"/>
          <w:color w:val="auto"/>
          <w:sz w:val="21"/>
          <w:szCs w:val="21"/>
          <w:highlight w:val="none"/>
        </w:rPr>
        <w:t>竣工</w:t>
      </w:r>
      <w:r>
        <w:rPr>
          <w:rFonts w:hint="eastAsia" w:ascii="Times New Roman" w:hAnsi="Times New Roman" w:eastAsia="仿宋_GB2312"/>
          <w:color w:val="auto"/>
          <w:sz w:val="21"/>
          <w:szCs w:val="21"/>
          <w:highlight w:val="none"/>
        </w:rPr>
        <w:t>结算</w:t>
      </w:r>
      <w:r>
        <w:rPr>
          <w:rFonts w:ascii="Times New Roman" w:hAnsi="Times New Roman" w:eastAsia="仿宋_GB2312"/>
          <w:color w:val="auto"/>
          <w:sz w:val="21"/>
          <w:szCs w:val="21"/>
          <w:highlight w:val="none"/>
        </w:rPr>
        <w:t>申请</w:t>
      </w:r>
      <w:r>
        <w:rPr>
          <w:rFonts w:hint="eastAsia" w:ascii="Times New Roman" w:hAnsi="Times New Roman" w:eastAsia="仿宋_GB2312"/>
          <w:color w:val="auto"/>
          <w:sz w:val="21"/>
          <w:szCs w:val="21"/>
          <w:highlight w:val="none"/>
        </w:rPr>
        <w:t>〕</w:t>
      </w:r>
      <w:r>
        <w:rPr>
          <w:rFonts w:ascii="Times New Roman" w:hAnsi="Times New Roman" w:eastAsia="仿宋_GB2312"/>
          <w:color w:val="auto"/>
          <w:sz w:val="21"/>
          <w:szCs w:val="21"/>
          <w:highlight w:val="none"/>
        </w:rPr>
        <w:t>及14.2款</w:t>
      </w:r>
      <w:r>
        <w:rPr>
          <w:rFonts w:hint="eastAsia" w:ascii="Times New Roman" w:hAnsi="Times New Roman" w:eastAsia="仿宋_GB2312"/>
          <w:color w:val="auto"/>
          <w:sz w:val="21"/>
          <w:szCs w:val="21"/>
          <w:highlight w:val="none"/>
        </w:rPr>
        <w:t>〔</w:t>
      </w:r>
      <w:r>
        <w:rPr>
          <w:rFonts w:ascii="Times New Roman" w:hAnsi="Times New Roman" w:eastAsia="仿宋_GB2312"/>
          <w:color w:val="auto"/>
          <w:sz w:val="21"/>
          <w:szCs w:val="21"/>
          <w:highlight w:val="none"/>
        </w:rPr>
        <w:t>竣工结算审核</w:t>
      </w:r>
      <w:r>
        <w:rPr>
          <w:rFonts w:hint="eastAsia" w:ascii="Times New Roman" w:hAnsi="Times New Roman" w:eastAsia="仿宋_GB2312"/>
          <w:color w:val="auto"/>
          <w:sz w:val="21"/>
          <w:szCs w:val="21"/>
          <w:highlight w:val="none"/>
        </w:rPr>
        <w:t>〕</w:t>
      </w:r>
      <w:r>
        <w:rPr>
          <w:rFonts w:ascii="Times New Roman" w:hAnsi="Times New Roman" w:eastAsia="仿宋_GB2312"/>
          <w:color w:val="auto"/>
          <w:sz w:val="21"/>
          <w:szCs w:val="21"/>
          <w:highlight w:val="none"/>
        </w:rPr>
        <w:t>的约定，</w:t>
      </w:r>
      <w:r>
        <w:rPr>
          <w:rFonts w:hint="eastAsia" w:ascii="Times New Roman" w:hAnsi="Times New Roman" w:eastAsia="仿宋_GB2312"/>
          <w:color w:val="auto"/>
          <w:sz w:val="21"/>
          <w:szCs w:val="21"/>
          <w:highlight w:val="none"/>
        </w:rPr>
        <w:t>对已</w:t>
      </w:r>
      <w:r>
        <w:rPr>
          <w:rFonts w:ascii="Times New Roman" w:hAnsi="Times New Roman" w:eastAsia="仿宋_GB2312"/>
          <w:color w:val="auto"/>
          <w:sz w:val="21"/>
          <w:szCs w:val="21"/>
          <w:highlight w:val="none"/>
        </w:rPr>
        <w:t>完合格工程</w:t>
      </w:r>
      <w:r>
        <w:rPr>
          <w:rFonts w:hint="eastAsia" w:ascii="Times New Roman" w:hAnsi="Times New Roman" w:eastAsia="仿宋_GB2312"/>
          <w:color w:val="auto"/>
          <w:sz w:val="21"/>
          <w:szCs w:val="21"/>
          <w:highlight w:val="none"/>
        </w:rPr>
        <w:t>进行</w:t>
      </w:r>
      <w:r>
        <w:rPr>
          <w:rFonts w:ascii="Times New Roman" w:hAnsi="Times New Roman" w:eastAsia="仿宋_GB2312"/>
          <w:color w:val="auto"/>
          <w:sz w:val="21"/>
          <w:szCs w:val="21"/>
          <w:highlight w:val="none"/>
        </w:rPr>
        <w:t>结算，并支付相应</w:t>
      </w:r>
      <w:r>
        <w:rPr>
          <w:rFonts w:hint="eastAsia" w:ascii="Times New Roman" w:hAnsi="Times New Roman" w:eastAsia="仿宋_GB2312"/>
          <w:color w:val="auto"/>
          <w:sz w:val="21"/>
          <w:szCs w:val="21"/>
          <w:highlight w:val="none"/>
        </w:rPr>
        <w:t>合同</w:t>
      </w:r>
      <w:r>
        <w:rPr>
          <w:rFonts w:ascii="Times New Roman" w:hAnsi="Times New Roman" w:eastAsia="仿宋_GB2312"/>
          <w:color w:val="auto"/>
          <w:sz w:val="21"/>
          <w:szCs w:val="21"/>
          <w:highlight w:val="none"/>
        </w:rPr>
        <w:t>价款。</w:t>
      </w:r>
    </w:p>
    <w:p w14:paraId="60BB9E74">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124" w:name="_Toc351203597"/>
      <w:bookmarkStart w:id="1125" w:name="_Toc337558814"/>
      <w:r>
        <w:rPr>
          <w:rFonts w:ascii="Times New Roman" w:hAnsi="Times New Roman" w:eastAsia="黑体"/>
          <w:b w:val="0"/>
          <w:color w:val="auto"/>
          <w:sz w:val="21"/>
          <w:szCs w:val="21"/>
          <w:highlight w:val="none"/>
        </w:rPr>
        <w:t>14.4 最终结清</w:t>
      </w:r>
      <w:bookmarkEnd w:id="1124"/>
    </w:p>
    <w:bookmarkEnd w:id="1125"/>
    <w:p w14:paraId="4760B7CE">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14.4.1 最终结清申请单</w:t>
      </w:r>
    </w:p>
    <w:p w14:paraId="1086CAF0">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（1）除专用合同条款另有约定外，承包人应在缺陷责任期终止证书颁发后7天内，按专用合同条款约定的份数向发包人提交最终结清申请单，并提供相关证明材料。</w:t>
      </w:r>
    </w:p>
    <w:p w14:paraId="4C2CC43E">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除专用合同条款另有约定外，</w:t>
      </w:r>
      <w:r>
        <w:rPr>
          <w:rFonts w:ascii="Times New Roman" w:hAnsi="Times New Roman" w:eastAsia="仿宋_GB2312"/>
          <w:color w:val="auto"/>
          <w:kern w:val="0"/>
          <w:sz w:val="21"/>
          <w:szCs w:val="21"/>
          <w:highlight w:val="none"/>
        </w:rPr>
        <w:t>最终结清申请单</w:t>
      </w:r>
      <w:r>
        <w:rPr>
          <w:rFonts w:ascii="Times New Roman" w:hAnsi="Times New Roman" w:eastAsia="仿宋_GB2312"/>
          <w:color w:val="auto"/>
          <w:sz w:val="21"/>
          <w:szCs w:val="21"/>
          <w:highlight w:val="none"/>
        </w:rPr>
        <w:t>应列明质量保证金、应扣除的质量保证金、缺陷责任期内发生的增减费用。</w:t>
      </w:r>
    </w:p>
    <w:p w14:paraId="757FB2B7">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（2）发包人对最终结清申请单内容有异议的，有权要求承包人进行修正和提供补充资料，承包人应向发包人提交修正后的最终结清申请单。</w:t>
      </w:r>
    </w:p>
    <w:p w14:paraId="59591605">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14.4.2 最终结清证书和支付</w:t>
      </w:r>
    </w:p>
    <w:p w14:paraId="77D44B57">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（1）除专用合同条款另有约定外，发包人应在收到承包人提交的最终结清申请单后14天内完成审批并向承包人颁发最终结清证书。发包人逾期未完成</w:t>
      </w:r>
      <w:r>
        <w:rPr>
          <w:rFonts w:hint="eastAsia" w:ascii="Times New Roman" w:hAnsi="Times New Roman" w:eastAsia="仿宋_GB2312"/>
          <w:color w:val="auto"/>
          <w:kern w:val="0"/>
          <w:sz w:val="21"/>
          <w:szCs w:val="21"/>
          <w:highlight w:val="none"/>
        </w:rPr>
        <w:t>审批</w:t>
      </w:r>
      <w:r>
        <w:rPr>
          <w:rFonts w:ascii="Times New Roman" w:hAnsi="Times New Roman" w:eastAsia="仿宋_GB2312"/>
          <w:color w:val="auto"/>
          <w:kern w:val="0"/>
          <w:sz w:val="21"/>
          <w:szCs w:val="21"/>
          <w:highlight w:val="none"/>
        </w:rPr>
        <w:t>，又未提出修改意见的，视为发包人同意承包人提交的最终结清申请单，且自发包人收到承包人提交的最终结清申请单后15天起视为已颁发最终结清证书。</w:t>
      </w:r>
    </w:p>
    <w:p w14:paraId="4B13C38A">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除专用合同条款另有约定外，发包人应在颁发最终结清证书后7天内完成支付。发包人逾期支付的，按照中国人民银行发布的同期同类贷款基准利率支付违约金；逾期支付超过56天的，按照中国人民银行发布的同期同类贷款基准利率的两倍支付违约金。</w:t>
      </w:r>
    </w:p>
    <w:p w14:paraId="06F78E29">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（3）承包人对发包人颁发的最终结清证书有异议的，按第20条</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争议解决</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的约定办理。</w:t>
      </w:r>
    </w:p>
    <w:p w14:paraId="34207B3D">
      <w:pPr>
        <w:pStyle w:val="5"/>
        <w:pageBreakBefore w:val="0"/>
        <w:widowControl w:val="0"/>
        <w:kinsoku/>
        <w:wordWrap/>
        <w:overflowPunct/>
        <w:topLinePunct w:val="0"/>
        <w:bidi w:val="0"/>
        <w:adjustRightInd w:val="0"/>
        <w:snapToGrid w:val="0"/>
        <w:spacing w:before="0" w:after="0" w:line="360" w:lineRule="auto"/>
        <w:textAlignment w:val="auto"/>
        <w:outlineLvl w:val="3"/>
        <w:rPr>
          <w:rFonts w:eastAsia="黑体"/>
          <w:bCs/>
          <w:color w:val="auto"/>
          <w:sz w:val="21"/>
          <w:szCs w:val="21"/>
          <w:highlight w:val="none"/>
        </w:rPr>
      </w:pPr>
      <w:bookmarkStart w:id="1126" w:name="_Toc5383"/>
      <w:bookmarkStart w:id="1127" w:name="_Toc17613"/>
      <w:bookmarkStart w:id="1128" w:name="_Toc351203598"/>
      <w:bookmarkStart w:id="1129" w:name="_Toc337558815"/>
      <w:r>
        <w:rPr>
          <w:rFonts w:eastAsia="黑体"/>
          <w:bCs/>
          <w:color w:val="auto"/>
          <w:sz w:val="21"/>
          <w:szCs w:val="21"/>
          <w:highlight w:val="none"/>
        </w:rPr>
        <w:t>15. 缺陷责任与保修</w:t>
      </w:r>
      <w:bookmarkEnd w:id="1126"/>
      <w:bookmarkEnd w:id="1127"/>
      <w:bookmarkEnd w:id="1128"/>
    </w:p>
    <w:bookmarkEnd w:id="1116"/>
    <w:bookmarkEnd w:id="1117"/>
    <w:bookmarkEnd w:id="1129"/>
    <w:p w14:paraId="6E4FDFEF">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130" w:name="_Toc351203599"/>
      <w:bookmarkStart w:id="1131" w:name="_Toc337558816"/>
      <w:bookmarkStart w:id="1132" w:name="_Toc296503114"/>
      <w:bookmarkStart w:id="1133" w:name="_Toc296346615"/>
      <w:r>
        <w:rPr>
          <w:rFonts w:ascii="Times New Roman" w:hAnsi="Times New Roman" w:eastAsia="黑体"/>
          <w:b w:val="0"/>
          <w:color w:val="auto"/>
          <w:sz w:val="21"/>
          <w:szCs w:val="21"/>
          <w:highlight w:val="none"/>
        </w:rPr>
        <w:t>15.1 工程保修的原则</w:t>
      </w:r>
      <w:bookmarkEnd w:id="1130"/>
    </w:p>
    <w:bookmarkEnd w:id="1131"/>
    <w:p w14:paraId="58D0BCD9">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在工程移交发包人后，因承包人原因产生的质量缺陷，承包人应承担质量缺陷责任和保修义务。缺陷责任期届满，承包人仍应按合同约定的工程各部位保修年限承担保修义务。</w:t>
      </w:r>
    </w:p>
    <w:p w14:paraId="45C688D2">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134" w:name="_Toc351203600"/>
      <w:bookmarkStart w:id="1135" w:name="_Toc337558817"/>
      <w:r>
        <w:rPr>
          <w:rFonts w:ascii="Times New Roman" w:hAnsi="Times New Roman" w:eastAsia="黑体"/>
          <w:b w:val="0"/>
          <w:color w:val="auto"/>
          <w:sz w:val="21"/>
          <w:szCs w:val="21"/>
          <w:highlight w:val="none"/>
        </w:rPr>
        <w:t>15.2 缺陷责任期</w:t>
      </w:r>
      <w:bookmarkEnd w:id="1132"/>
      <w:bookmarkEnd w:id="1133"/>
      <w:bookmarkEnd w:id="1134"/>
    </w:p>
    <w:bookmarkEnd w:id="1135"/>
    <w:p w14:paraId="53E36599">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15.2.1 缺陷责任期</w:t>
      </w:r>
      <w:r>
        <w:rPr>
          <w:rFonts w:hint="eastAsia" w:eastAsia="仿宋_GB2312"/>
          <w:color w:val="auto"/>
          <w:kern w:val="0"/>
          <w:sz w:val="21"/>
          <w:szCs w:val="21"/>
          <w:highlight w:val="none"/>
        </w:rPr>
        <w:t>从工程通过竣工验收之日</w:t>
      </w:r>
      <w:r>
        <w:rPr>
          <w:rFonts w:ascii="Times New Roman" w:hAnsi="Times New Roman" w:eastAsia="仿宋_GB2312"/>
          <w:color w:val="auto"/>
          <w:kern w:val="0"/>
          <w:sz w:val="21"/>
          <w:szCs w:val="21"/>
          <w:highlight w:val="none"/>
        </w:rPr>
        <w:t>起计算，合同当事人应在专用合同条款约定缺陷责任期的具体期限，但该期限最长不超过24个月。</w:t>
      </w:r>
    </w:p>
    <w:p w14:paraId="01F18758">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单位工程先于全部工程进行验收，经验收合格并交付使用的，该单位工程缺陷责任期自单位工程验收合格之日起算。</w:t>
      </w:r>
      <w:r>
        <w:rPr>
          <w:rFonts w:hint="eastAsia" w:eastAsia="仿宋_GB2312"/>
          <w:color w:val="auto"/>
          <w:kern w:val="0"/>
          <w:sz w:val="21"/>
          <w:szCs w:val="21"/>
          <w:highlight w:val="none"/>
        </w:rPr>
        <w:t>因承包人原因导致工程无法按合同约定期限进行竣工验收的，缺陷责任期从实际通过竣工验收之日起计算。</w:t>
      </w:r>
      <w:r>
        <w:rPr>
          <w:rFonts w:ascii="Times New Roman" w:hAnsi="Times New Roman" w:eastAsia="仿宋_GB2312"/>
          <w:color w:val="auto"/>
          <w:kern w:val="0"/>
          <w:sz w:val="21"/>
          <w:szCs w:val="21"/>
          <w:highlight w:val="none"/>
        </w:rPr>
        <w:t>因发包人原因导致工程无法按合同约定期限进行竣工验收的，</w:t>
      </w:r>
      <w:r>
        <w:rPr>
          <w:rFonts w:hint="eastAsia" w:eastAsia="仿宋_GB2312"/>
          <w:color w:val="auto"/>
          <w:kern w:val="0"/>
          <w:sz w:val="21"/>
          <w:szCs w:val="21"/>
          <w:highlight w:val="none"/>
        </w:rPr>
        <w:t>在承包人提交竣工验收报告90天后，工程自动进入缺陷责任期</w:t>
      </w:r>
      <w:r>
        <w:rPr>
          <w:rFonts w:ascii="Times New Roman" w:hAnsi="Times New Roman" w:eastAsia="仿宋_GB2312"/>
          <w:color w:val="auto"/>
          <w:kern w:val="0"/>
          <w:sz w:val="21"/>
          <w:szCs w:val="21"/>
          <w:highlight w:val="none"/>
        </w:rPr>
        <w:t>；发包人未经竣工验收擅自使用工程的，缺陷责任期自工程转移占有之日起开始计算。</w:t>
      </w:r>
    </w:p>
    <w:p w14:paraId="64D53950">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15.2.2</w:t>
      </w:r>
      <w:r>
        <w:rPr>
          <w:rFonts w:hint="eastAsia" w:eastAsia="仿宋_GB2312"/>
          <w:color w:val="auto"/>
          <w:kern w:val="0"/>
          <w:sz w:val="21"/>
          <w:szCs w:val="21"/>
          <w:highlight w:val="none"/>
        </w:rPr>
        <w:t>缺陷责任期内，由承包人原因造成的缺陷，承包人应负责维修，并承担鉴定及维修费用。如承包人不维修也不承担费用，发包人可按合同约定从保证金或银行保函中扣除，费用超出保证金额的，发包人可按合同约定向承包人进行索赔。承包人维修并承担相应费用后，不免除对工程的损失赔偿责任。</w:t>
      </w:r>
      <w:r>
        <w:rPr>
          <w:rFonts w:ascii="Times New Roman" w:hAnsi="Times New Roman" w:eastAsia="仿宋_GB2312"/>
          <w:color w:val="auto"/>
          <w:kern w:val="0"/>
          <w:sz w:val="21"/>
          <w:szCs w:val="21"/>
          <w:highlight w:val="none"/>
        </w:rPr>
        <w:t>发包人有权要求承</w:t>
      </w:r>
      <w:r>
        <w:rPr>
          <w:rFonts w:ascii="Times New Roman" w:hAnsi="Times New Roman" w:eastAsia="仿宋_GB2312"/>
          <w:bCs/>
          <w:color w:val="auto"/>
          <w:sz w:val="21"/>
          <w:szCs w:val="21"/>
          <w:highlight w:val="none"/>
        </w:rPr>
        <w:t>包人延长缺陷责任期，</w:t>
      </w:r>
      <w:r>
        <w:rPr>
          <w:rFonts w:ascii="Times New Roman" w:hAnsi="Times New Roman" w:eastAsia="仿宋_GB2312"/>
          <w:color w:val="auto"/>
          <w:kern w:val="0"/>
          <w:sz w:val="21"/>
          <w:szCs w:val="21"/>
          <w:highlight w:val="none"/>
        </w:rPr>
        <w:t>并应在原缺陷责任期届满前发出延长通知</w:t>
      </w:r>
      <w:r>
        <w:rPr>
          <w:rFonts w:hint="eastAsia" w:ascii="Times New Roman" w:hAnsi="Times New Roman" w:eastAsia="仿宋_GB2312"/>
          <w:color w:val="auto"/>
          <w:kern w:val="0"/>
          <w:sz w:val="21"/>
          <w:szCs w:val="21"/>
          <w:highlight w:val="none"/>
        </w:rPr>
        <w:t>。</w:t>
      </w:r>
      <w:r>
        <w:rPr>
          <w:rFonts w:ascii="Times New Roman" w:hAnsi="Times New Roman" w:eastAsia="仿宋_GB2312"/>
          <w:bCs/>
          <w:color w:val="auto"/>
          <w:sz w:val="21"/>
          <w:szCs w:val="21"/>
          <w:highlight w:val="none"/>
        </w:rPr>
        <w:t>但缺陷责任期</w:t>
      </w:r>
      <w:r>
        <w:rPr>
          <w:rFonts w:hint="eastAsia" w:ascii="Times New Roman" w:hAnsi="Times New Roman" w:eastAsia="仿宋_GB2312"/>
          <w:bCs/>
          <w:color w:val="auto"/>
          <w:sz w:val="21"/>
          <w:szCs w:val="21"/>
          <w:highlight w:val="none"/>
        </w:rPr>
        <w:t>（含延长部分）</w:t>
      </w:r>
      <w:r>
        <w:rPr>
          <w:rFonts w:ascii="Times New Roman" w:hAnsi="Times New Roman" w:eastAsia="仿宋_GB2312"/>
          <w:bCs/>
          <w:color w:val="auto"/>
          <w:sz w:val="21"/>
          <w:szCs w:val="21"/>
          <w:highlight w:val="none"/>
        </w:rPr>
        <w:t>最长</w:t>
      </w:r>
      <w:r>
        <w:rPr>
          <w:rFonts w:ascii="Times New Roman" w:hAnsi="Times New Roman" w:eastAsia="仿宋_GB2312"/>
          <w:color w:val="auto"/>
          <w:kern w:val="0"/>
          <w:sz w:val="21"/>
          <w:szCs w:val="21"/>
          <w:highlight w:val="none"/>
        </w:rPr>
        <w:t>不能超过24个月。</w:t>
      </w:r>
    </w:p>
    <w:p w14:paraId="7588C688">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eastAsia="仿宋_GB2312"/>
          <w:color w:val="auto"/>
          <w:kern w:val="0"/>
          <w:sz w:val="21"/>
          <w:szCs w:val="21"/>
          <w:highlight w:val="none"/>
        </w:rPr>
      </w:pPr>
      <w:r>
        <w:rPr>
          <w:rFonts w:hint="eastAsia" w:eastAsia="仿宋_GB2312"/>
          <w:color w:val="auto"/>
          <w:kern w:val="0"/>
          <w:sz w:val="21"/>
          <w:szCs w:val="21"/>
          <w:highlight w:val="none"/>
        </w:rPr>
        <w:t>由他人原因造成的缺陷，发包人负责组织维修，承包人不承担费用，且发包人不得从保证金中扣除费用。</w:t>
      </w:r>
    </w:p>
    <w:p w14:paraId="42702CCB">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15.2.3 任何一项缺陷或损坏修复后，经检查证明其影响了工程或工程设备的使用性能，承包人应重新进行合同约定的试验和试运行，试验和试运行的全部费用应由责任方承担。</w:t>
      </w:r>
    </w:p>
    <w:p w14:paraId="707E9F9C">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15.2.4</w:t>
      </w:r>
      <w:r>
        <w:rPr>
          <w:rFonts w:hint="eastAsia" w:ascii="Times New Roman" w:hAnsi="Times New Roman" w:eastAsia="仿宋_GB2312"/>
          <w:color w:val="auto"/>
          <w:kern w:val="0"/>
          <w:sz w:val="21"/>
          <w:szCs w:val="21"/>
          <w:highlight w:val="none"/>
        </w:rPr>
        <w:t xml:space="preserve"> </w:t>
      </w:r>
      <w:r>
        <w:rPr>
          <w:rFonts w:ascii="Times New Roman" w:hAnsi="Times New Roman" w:eastAsia="仿宋_GB2312"/>
          <w:color w:val="auto"/>
          <w:kern w:val="0"/>
          <w:sz w:val="21"/>
          <w:szCs w:val="21"/>
          <w:highlight w:val="none"/>
        </w:rPr>
        <w:t>除专用合同条款另有约定外，承包人应于缺陷责任期届满后7天内向发包人发出缺陷责任期</w:t>
      </w:r>
      <w:r>
        <w:rPr>
          <w:rFonts w:hint="eastAsia" w:ascii="Times New Roman" w:hAnsi="Times New Roman" w:eastAsia="仿宋_GB2312"/>
          <w:color w:val="auto"/>
          <w:kern w:val="0"/>
          <w:sz w:val="21"/>
          <w:szCs w:val="21"/>
          <w:highlight w:val="none"/>
        </w:rPr>
        <w:t>届</w:t>
      </w:r>
      <w:r>
        <w:rPr>
          <w:rFonts w:ascii="Times New Roman" w:hAnsi="Times New Roman" w:eastAsia="仿宋_GB2312"/>
          <w:color w:val="auto"/>
          <w:kern w:val="0"/>
          <w:sz w:val="21"/>
          <w:szCs w:val="21"/>
          <w:highlight w:val="none"/>
        </w:rPr>
        <w:t>满通知，发包人应在</w:t>
      </w:r>
      <w:r>
        <w:rPr>
          <w:rFonts w:hint="eastAsia" w:ascii="Times New Roman" w:hAnsi="Times New Roman" w:eastAsia="仿宋_GB2312"/>
          <w:color w:val="auto"/>
          <w:kern w:val="0"/>
          <w:sz w:val="21"/>
          <w:szCs w:val="21"/>
          <w:highlight w:val="none"/>
        </w:rPr>
        <w:t>收</w:t>
      </w:r>
      <w:r>
        <w:rPr>
          <w:rFonts w:ascii="Times New Roman" w:hAnsi="Times New Roman" w:eastAsia="仿宋_GB2312"/>
          <w:color w:val="auto"/>
          <w:kern w:val="0"/>
          <w:sz w:val="21"/>
          <w:szCs w:val="21"/>
          <w:highlight w:val="none"/>
        </w:rPr>
        <w:t>到缺陷责任期满通知后14天内核实承包人是否履行缺陷</w:t>
      </w:r>
      <w:r>
        <w:rPr>
          <w:rFonts w:hint="eastAsia" w:ascii="Times New Roman" w:hAnsi="Times New Roman" w:eastAsia="仿宋_GB2312"/>
          <w:color w:val="auto"/>
          <w:kern w:val="0"/>
          <w:sz w:val="21"/>
          <w:szCs w:val="21"/>
          <w:highlight w:val="none"/>
        </w:rPr>
        <w:t>修复</w:t>
      </w:r>
      <w:r>
        <w:rPr>
          <w:rFonts w:ascii="Times New Roman" w:hAnsi="Times New Roman" w:eastAsia="仿宋_GB2312"/>
          <w:color w:val="auto"/>
          <w:kern w:val="0"/>
          <w:sz w:val="21"/>
          <w:szCs w:val="21"/>
          <w:highlight w:val="none"/>
        </w:rPr>
        <w:t>义务，承包人未能履行缺陷</w:t>
      </w:r>
      <w:r>
        <w:rPr>
          <w:rFonts w:hint="eastAsia" w:ascii="Times New Roman" w:hAnsi="Times New Roman" w:eastAsia="仿宋_GB2312"/>
          <w:color w:val="auto"/>
          <w:kern w:val="0"/>
          <w:sz w:val="21"/>
          <w:szCs w:val="21"/>
          <w:highlight w:val="none"/>
        </w:rPr>
        <w:t>修复</w:t>
      </w:r>
      <w:r>
        <w:rPr>
          <w:rFonts w:ascii="Times New Roman" w:hAnsi="Times New Roman" w:eastAsia="仿宋_GB2312"/>
          <w:color w:val="auto"/>
          <w:kern w:val="0"/>
          <w:sz w:val="21"/>
          <w:szCs w:val="21"/>
          <w:highlight w:val="none"/>
        </w:rPr>
        <w:t>义务的，发包人有权扣除相应金额的维修费用。发包人应在</w:t>
      </w:r>
      <w:r>
        <w:rPr>
          <w:rFonts w:hint="eastAsia" w:ascii="Times New Roman" w:hAnsi="Times New Roman" w:eastAsia="仿宋_GB2312"/>
          <w:color w:val="auto"/>
          <w:kern w:val="0"/>
          <w:sz w:val="21"/>
          <w:szCs w:val="21"/>
          <w:highlight w:val="none"/>
        </w:rPr>
        <w:t>收到</w:t>
      </w:r>
      <w:r>
        <w:rPr>
          <w:rFonts w:ascii="Times New Roman" w:hAnsi="Times New Roman" w:eastAsia="仿宋_GB2312"/>
          <w:color w:val="auto"/>
          <w:kern w:val="0"/>
          <w:sz w:val="21"/>
          <w:szCs w:val="21"/>
          <w:highlight w:val="none"/>
        </w:rPr>
        <w:t>缺陷责任期</w:t>
      </w:r>
      <w:r>
        <w:rPr>
          <w:rFonts w:hint="eastAsia" w:ascii="Times New Roman" w:hAnsi="Times New Roman" w:eastAsia="仿宋_GB2312"/>
          <w:color w:val="auto"/>
          <w:kern w:val="0"/>
          <w:sz w:val="21"/>
          <w:szCs w:val="21"/>
          <w:highlight w:val="none"/>
        </w:rPr>
        <w:t>届</w:t>
      </w:r>
      <w:r>
        <w:rPr>
          <w:rFonts w:ascii="Times New Roman" w:hAnsi="Times New Roman" w:eastAsia="仿宋_GB2312"/>
          <w:color w:val="auto"/>
          <w:kern w:val="0"/>
          <w:sz w:val="21"/>
          <w:szCs w:val="21"/>
          <w:highlight w:val="none"/>
        </w:rPr>
        <w:t>满</w:t>
      </w:r>
      <w:r>
        <w:rPr>
          <w:rFonts w:hint="eastAsia" w:ascii="Times New Roman" w:hAnsi="Times New Roman" w:eastAsia="仿宋_GB2312"/>
          <w:color w:val="auto"/>
          <w:kern w:val="0"/>
          <w:sz w:val="21"/>
          <w:szCs w:val="21"/>
          <w:highlight w:val="none"/>
        </w:rPr>
        <w:t>通知后</w:t>
      </w:r>
      <w:r>
        <w:rPr>
          <w:rFonts w:ascii="Times New Roman" w:hAnsi="Times New Roman" w:eastAsia="仿宋_GB2312"/>
          <w:color w:val="auto"/>
          <w:kern w:val="0"/>
          <w:sz w:val="21"/>
          <w:szCs w:val="21"/>
          <w:highlight w:val="none"/>
        </w:rPr>
        <w:t>14天内，向承包人颁发缺陷责任期终止证</w:t>
      </w:r>
      <w:r>
        <w:rPr>
          <w:rFonts w:hint="eastAsia" w:ascii="Times New Roman" w:hAnsi="Times New Roman" w:eastAsia="仿宋_GB2312"/>
          <w:color w:val="auto"/>
          <w:kern w:val="0"/>
          <w:sz w:val="21"/>
          <w:szCs w:val="21"/>
          <w:highlight w:val="none"/>
        </w:rPr>
        <w:t>书</w:t>
      </w:r>
      <w:r>
        <w:rPr>
          <w:rFonts w:ascii="Times New Roman" w:hAnsi="Times New Roman" w:eastAsia="仿宋_GB2312"/>
          <w:color w:val="auto"/>
          <w:kern w:val="0"/>
          <w:sz w:val="21"/>
          <w:szCs w:val="21"/>
          <w:highlight w:val="none"/>
        </w:rPr>
        <w:t>。</w:t>
      </w:r>
    </w:p>
    <w:p w14:paraId="41917200">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136" w:name="_Toc351203601"/>
      <w:bookmarkStart w:id="1137" w:name="_Toc337558818"/>
      <w:bookmarkStart w:id="1138" w:name="_Toc296503115"/>
      <w:bookmarkStart w:id="1139" w:name="_Toc296346616"/>
      <w:r>
        <w:rPr>
          <w:rFonts w:ascii="Times New Roman" w:hAnsi="Times New Roman" w:eastAsia="黑体"/>
          <w:b w:val="0"/>
          <w:color w:val="auto"/>
          <w:sz w:val="21"/>
          <w:szCs w:val="21"/>
          <w:highlight w:val="none"/>
        </w:rPr>
        <w:t>15.3 质量保证金</w:t>
      </w:r>
      <w:bookmarkEnd w:id="1136"/>
    </w:p>
    <w:bookmarkEnd w:id="1137"/>
    <w:p w14:paraId="678608C6">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hint="eastAsia" w:ascii="Times New Roman" w:hAnsi="Times New Roman" w:eastAsia="仿宋_GB2312"/>
          <w:color w:val="auto"/>
          <w:kern w:val="0"/>
          <w:sz w:val="21"/>
          <w:szCs w:val="21"/>
          <w:highlight w:val="none"/>
        </w:rPr>
        <w:t>经合同当事人协商一致扣留质量保证金的，应在专用合同条款中予以明确。</w:t>
      </w:r>
    </w:p>
    <w:p w14:paraId="6BC538A6">
      <w:pPr>
        <w:pageBreakBefore w:val="0"/>
        <w:widowControl w:val="0"/>
        <w:kinsoku/>
        <w:wordWrap/>
        <w:overflowPunct/>
        <w:topLinePunct w:val="0"/>
        <w:bidi w:val="0"/>
        <w:adjustRightInd w:val="0"/>
        <w:snapToGrid w:val="0"/>
        <w:spacing w:line="360" w:lineRule="auto"/>
        <w:ind w:firstLine="420" w:firstLineChars="200"/>
        <w:jc w:val="left"/>
        <w:textAlignment w:val="auto"/>
        <w:rPr>
          <w:rFonts w:eastAsia="仿宋_GB2312"/>
          <w:color w:val="auto"/>
          <w:sz w:val="21"/>
          <w:szCs w:val="21"/>
          <w:highlight w:val="none"/>
        </w:rPr>
      </w:pPr>
      <w:r>
        <w:rPr>
          <w:rFonts w:hint="eastAsia" w:eastAsia="仿宋_GB2312"/>
          <w:color w:val="auto"/>
          <w:sz w:val="21"/>
          <w:szCs w:val="21"/>
          <w:highlight w:val="none"/>
        </w:rPr>
        <w:t>在工程项目竣工前，承包人已经提供履约担保的，发包人不得同时预留工程质量保证金。</w:t>
      </w:r>
    </w:p>
    <w:p w14:paraId="5EB90F11">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Times New Roman" w:hAnsi="Times New Roman" w:eastAsia="仿宋_GB2312"/>
          <w:color w:val="auto"/>
          <w:kern w:val="0"/>
          <w:sz w:val="21"/>
          <w:szCs w:val="21"/>
          <w:highlight w:val="none"/>
        </w:rPr>
      </w:pPr>
    </w:p>
    <w:p w14:paraId="0333CC29">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 xml:space="preserve">15.3.1 </w:t>
      </w:r>
      <w:r>
        <w:rPr>
          <w:rFonts w:hint="eastAsia" w:ascii="Times New Roman" w:hAnsi="Times New Roman" w:eastAsia="仿宋_GB2312"/>
          <w:color w:val="auto"/>
          <w:kern w:val="0"/>
          <w:sz w:val="21"/>
          <w:szCs w:val="21"/>
          <w:highlight w:val="none"/>
        </w:rPr>
        <w:t>承包人提供</w:t>
      </w:r>
      <w:r>
        <w:rPr>
          <w:rFonts w:ascii="Times New Roman" w:hAnsi="Times New Roman" w:eastAsia="仿宋_GB2312"/>
          <w:color w:val="auto"/>
          <w:kern w:val="0"/>
          <w:sz w:val="21"/>
          <w:szCs w:val="21"/>
          <w:highlight w:val="none"/>
        </w:rPr>
        <w:t>质量保证金的</w:t>
      </w:r>
      <w:r>
        <w:rPr>
          <w:rFonts w:hint="eastAsia" w:ascii="Times New Roman" w:hAnsi="Times New Roman" w:eastAsia="仿宋_GB2312"/>
          <w:color w:val="auto"/>
          <w:kern w:val="0"/>
          <w:sz w:val="21"/>
          <w:szCs w:val="21"/>
          <w:highlight w:val="none"/>
        </w:rPr>
        <w:t>方</w:t>
      </w:r>
      <w:r>
        <w:rPr>
          <w:rFonts w:ascii="Times New Roman" w:hAnsi="Times New Roman" w:eastAsia="仿宋_GB2312"/>
          <w:color w:val="auto"/>
          <w:kern w:val="0"/>
          <w:sz w:val="21"/>
          <w:szCs w:val="21"/>
          <w:highlight w:val="none"/>
        </w:rPr>
        <w:t>式</w:t>
      </w:r>
    </w:p>
    <w:p w14:paraId="6F55C332">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hint="eastAsia" w:ascii="Times New Roman" w:hAnsi="Times New Roman" w:eastAsia="仿宋_GB2312"/>
          <w:color w:val="auto"/>
          <w:kern w:val="0"/>
          <w:sz w:val="21"/>
          <w:szCs w:val="21"/>
          <w:highlight w:val="none"/>
        </w:rPr>
        <w:t>承包人提供</w:t>
      </w:r>
      <w:r>
        <w:rPr>
          <w:rFonts w:ascii="Times New Roman" w:hAnsi="Times New Roman" w:eastAsia="仿宋_GB2312"/>
          <w:color w:val="auto"/>
          <w:kern w:val="0"/>
          <w:sz w:val="21"/>
          <w:szCs w:val="21"/>
          <w:highlight w:val="none"/>
        </w:rPr>
        <w:t>质量保证金</w:t>
      </w:r>
      <w:r>
        <w:rPr>
          <w:rFonts w:hint="eastAsia" w:ascii="Times New Roman" w:hAnsi="Times New Roman" w:eastAsia="仿宋_GB2312"/>
          <w:color w:val="auto"/>
          <w:kern w:val="0"/>
          <w:sz w:val="21"/>
          <w:szCs w:val="21"/>
          <w:highlight w:val="none"/>
        </w:rPr>
        <w:t>有</w:t>
      </w:r>
      <w:r>
        <w:rPr>
          <w:rFonts w:ascii="Times New Roman" w:hAnsi="Times New Roman" w:eastAsia="仿宋_GB2312"/>
          <w:color w:val="auto"/>
          <w:kern w:val="0"/>
          <w:sz w:val="21"/>
          <w:szCs w:val="21"/>
          <w:highlight w:val="none"/>
        </w:rPr>
        <w:t>以下</w:t>
      </w:r>
      <w:r>
        <w:rPr>
          <w:rFonts w:hint="eastAsia" w:ascii="Times New Roman" w:hAnsi="Times New Roman" w:eastAsia="仿宋_GB2312"/>
          <w:color w:val="auto"/>
          <w:kern w:val="0"/>
          <w:sz w:val="21"/>
          <w:szCs w:val="21"/>
          <w:highlight w:val="none"/>
        </w:rPr>
        <w:t>三种方</w:t>
      </w:r>
      <w:r>
        <w:rPr>
          <w:rFonts w:ascii="Times New Roman" w:hAnsi="Times New Roman" w:eastAsia="仿宋_GB2312"/>
          <w:color w:val="auto"/>
          <w:kern w:val="0"/>
          <w:sz w:val="21"/>
          <w:szCs w:val="21"/>
          <w:highlight w:val="none"/>
        </w:rPr>
        <w:t>式：</w:t>
      </w:r>
    </w:p>
    <w:p w14:paraId="366FEBF3">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 xml:space="preserve">（1）质量保证金保函； </w:t>
      </w:r>
    </w:p>
    <w:p w14:paraId="43B4E0C4">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2）相应比例的工程款；</w:t>
      </w:r>
    </w:p>
    <w:p w14:paraId="3B7A29E6">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（3）双方约定的其他</w:t>
      </w:r>
      <w:r>
        <w:rPr>
          <w:rFonts w:hint="eastAsia" w:ascii="Times New Roman" w:hAnsi="Times New Roman" w:eastAsia="仿宋_GB2312"/>
          <w:color w:val="auto"/>
          <w:kern w:val="0"/>
          <w:sz w:val="21"/>
          <w:szCs w:val="21"/>
          <w:highlight w:val="none"/>
        </w:rPr>
        <w:t>方</w:t>
      </w:r>
      <w:r>
        <w:rPr>
          <w:rFonts w:ascii="Times New Roman" w:hAnsi="Times New Roman" w:eastAsia="仿宋_GB2312"/>
          <w:color w:val="auto"/>
          <w:kern w:val="0"/>
          <w:sz w:val="21"/>
          <w:szCs w:val="21"/>
          <w:highlight w:val="none"/>
        </w:rPr>
        <w:t>式。</w:t>
      </w:r>
    </w:p>
    <w:p w14:paraId="0CE88206">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除专用合同条款另有约定外，质量保证金</w:t>
      </w:r>
      <w:r>
        <w:rPr>
          <w:rFonts w:hint="eastAsia" w:ascii="Times New Roman" w:hAnsi="Times New Roman" w:eastAsia="仿宋_GB2312"/>
          <w:color w:val="auto"/>
          <w:kern w:val="0"/>
          <w:sz w:val="21"/>
          <w:szCs w:val="21"/>
          <w:highlight w:val="none"/>
        </w:rPr>
        <w:t>原则上</w:t>
      </w:r>
      <w:r>
        <w:rPr>
          <w:rFonts w:ascii="Times New Roman" w:hAnsi="Times New Roman" w:eastAsia="仿宋_GB2312"/>
          <w:color w:val="auto"/>
          <w:kern w:val="0"/>
          <w:sz w:val="21"/>
          <w:szCs w:val="21"/>
          <w:highlight w:val="none"/>
        </w:rPr>
        <w:t>采</w:t>
      </w:r>
      <w:r>
        <w:rPr>
          <w:rFonts w:hint="eastAsia" w:ascii="Times New Roman" w:hAnsi="Times New Roman" w:eastAsia="仿宋_GB2312"/>
          <w:color w:val="auto"/>
          <w:kern w:val="0"/>
          <w:sz w:val="21"/>
          <w:szCs w:val="21"/>
          <w:highlight w:val="none"/>
        </w:rPr>
        <w:t>用上述</w:t>
      </w:r>
      <w:r>
        <w:rPr>
          <w:rFonts w:ascii="Times New Roman" w:hAnsi="Times New Roman" w:eastAsia="仿宋_GB2312"/>
          <w:color w:val="auto"/>
          <w:kern w:val="0"/>
          <w:sz w:val="21"/>
          <w:szCs w:val="21"/>
          <w:highlight w:val="none"/>
        </w:rPr>
        <w:t>第（1）种</w:t>
      </w:r>
      <w:r>
        <w:rPr>
          <w:rFonts w:hint="eastAsia" w:ascii="Times New Roman" w:hAnsi="Times New Roman" w:eastAsia="仿宋_GB2312"/>
          <w:color w:val="auto"/>
          <w:kern w:val="0"/>
          <w:sz w:val="21"/>
          <w:szCs w:val="21"/>
          <w:highlight w:val="none"/>
        </w:rPr>
        <w:t>方式。</w:t>
      </w:r>
    </w:p>
    <w:p w14:paraId="68408373">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15.3.2 质量保证金的扣留</w:t>
      </w:r>
    </w:p>
    <w:p w14:paraId="7A6B775A">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质量保证金</w:t>
      </w:r>
      <w:r>
        <w:rPr>
          <w:rFonts w:hint="eastAsia" w:ascii="Times New Roman" w:hAnsi="Times New Roman" w:eastAsia="仿宋_GB2312"/>
          <w:color w:val="auto"/>
          <w:kern w:val="0"/>
          <w:sz w:val="21"/>
          <w:szCs w:val="21"/>
          <w:highlight w:val="none"/>
        </w:rPr>
        <w:t>的</w:t>
      </w:r>
      <w:r>
        <w:rPr>
          <w:rFonts w:ascii="Times New Roman" w:hAnsi="Times New Roman" w:eastAsia="仿宋_GB2312"/>
          <w:color w:val="auto"/>
          <w:kern w:val="0"/>
          <w:sz w:val="21"/>
          <w:szCs w:val="21"/>
          <w:highlight w:val="none"/>
        </w:rPr>
        <w:t>扣留</w:t>
      </w:r>
      <w:r>
        <w:rPr>
          <w:rFonts w:hint="eastAsia" w:ascii="Times New Roman" w:hAnsi="Times New Roman" w:eastAsia="仿宋_GB2312"/>
          <w:color w:val="auto"/>
          <w:kern w:val="0"/>
          <w:sz w:val="21"/>
          <w:szCs w:val="21"/>
          <w:highlight w:val="none"/>
        </w:rPr>
        <w:t>有</w:t>
      </w:r>
      <w:r>
        <w:rPr>
          <w:rFonts w:ascii="Times New Roman" w:hAnsi="Times New Roman" w:eastAsia="仿宋_GB2312"/>
          <w:color w:val="auto"/>
          <w:kern w:val="0"/>
          <w:sz w:val="21"/>
          <w:szCs w:val="21"/>
          <w:highlight w:val="none"/>
        </w:rPr>
        <w:t>以下</w:t>
      </w:r>
      <w:r>
        <w:rPr>
          <w:rFonts w:hint="eastAsia" w:ascii="Times New Roman" w:hAnsi="Times New Roman" w:eastAsia="仿宋_GB2312"/>
          <w:color w:val="auto"/>
          <w:kern w:val="0"/>
          <w:sz w:val="21"/>
          <w:szCs w:val="21"/>
          <w:highlight w:val="none"/>
        </w:rPr>
        <w:t>三</w:t>
      </w:r>
      <w:r>
        <w:rPr>
          <w:rFonts w:ascii="Times New Roman" w:hAnsi="Times New Roman" w:eastAsia="仿宋_GB2312"/>
          <w:color w:val="auto"/>
          <w:kern w:val="0"/>
          <w:sz w:val="21"/>
          <w:szCs w:val="21"/>
          <w:highlight w:val="none"/>
        </w:rPr>
        <w:t>种</w:t>
      </w:r>
      <w:r>
        <w:rPr>
          <w:rFonts w:hint="eastAsia" w:ascii="Times New Roman" w:hAnsi="Times New Roman" w:eastAsia="仿宋_GB2312"/>
          <w:color w:val="auto"/>
          <w:kern w:val="0"/>
          <w:sz w:val="21"/>
          <w:szCs w:val="21"/>
          <w:highlight w:val="none"/>
        </w:rPr>
        <w:t>方式</w:t>
      </w:r>
      <w:r>
        <w:rPr>
          <w:rFonts w:ascii="Times New Roman" w:hAnsi="Times New Roman" w:eastAsia="仿宋_GB2312"/>
          <w:color w:val="auto"/>
          <w:kern w:val="0"/>
          <w:sz w:val="21"/>
          <w:szCs w:val="21"/>
          <w:highlight w:val="none"/>
        </w:rPr>
        <w:t>：</w:t>
      </w:r>
    </w:p>
    <w:p w14:paraId="6AD850B4">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（1）在支付工程进度款时逐次扣留，在此情形下，质量保证金的计算基数不包括预付款的支付、扣回以及价格调整的金额；</w:t>
      </w:r>
    </w:p>
    <w:p w14:paraId="222F8F3E">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（2）工</w:t>
      </w:r>
      <w:bookmarkStart w:id="1140" w:name="#go6"/>
      <w:bookmarkEnd w:id="1140"/>
      <w:r>
        <w:rPr>
          <w:rFonts w:ascii="Times New Roman" w:hAnsi="Times New Roman" w:eastAsia="仿宋_GB2312"/>
          <w:color w:val="auto"/>
          <w:kern w:val="0"/>
          <w:sz w:val="21"/>
          <w:szCs w:val="21"/>
          <w:highlight w:val="none"/>
        </w:rPr>
        <w:t>程竣工结算时一次性扣留质量保证金；</w:t>
      </w:r>
    </w:p>
    <w:p w14:paraId="22C39D18">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（3）双方约定的其他扣留方式。</w:t>
      </w:r>
    </w:p>
    <w:p w14:paraId="5AB63C4A">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除专用合同条款另有约定外，质量保证金</w:t>
      </w:r>
      <w:r>
        <w:rPr>
          <w:rFonts w:hint="eastAsia" w:ascii="Times New Roman" w:hAnsi="Times New Roman" w:eastAsia="仿宋_GB2312"/>
          <w:color w:val="auto"/>
          <w:kern w:val="0"/>
          <w:sz w:val="21"/>
          <w:szCs w:val="21"/>
          <w:highlight w:val="none"/>
        </w:rPr>
        <w:t>的</w:t>
      </w:r>
      <w:r>
        <w:rPr>
          <w:rFonts w:ascii="Times New Roman" w:hAnsi="Times New Roman" w:eastAsia="仿宋_GB2312"/>
          <w:color w:val="auto"/>
          <w:kern w:val="0"/>
          <w:sz w:val="21"/>
          <w:szCs w:val="21"/>
          <w:highlight w:val="none"/>
        </w:rPr>
        <w:t>扣留</w:t>
      </w:r>
      <w:r>
        <w:rPr>
          <w:rFonts w:hint="eastAsia" w:ascii="Times New Roman" w:hAnsi="Times New Roman" w:eastAsia="仿宋_GB2312"/>
          <w:color w:val="auto"/>
          <w:kern w:val="0"/>
          <w:sz w:val="21"/>
          <w:szCs w:val="21"/>
          <w:highlight w:val="none"/>
        </w:rPr>
        <w:t>原则上</w:t>
      </w:r>
      <w:r>
        <w:rPr>
          <w:rFonts w:ascii="Times New Roman" w:hAnsi="Times New Roman" w:eastAsia="仿宋_GB2312"/>
          <w:color w:val="auto"/>
          <w:kern w:val="0"/>
          <w:sz w:val="21"/>
          <w:szCs w:val="21"/>
          <w:highlight w:val="none"/>
        </w:rPr>
        <w:t>采</w:t>
      </w:r>
      <w:r>
        <w:rPr>
          <w:rFonts w:hint="eastAsia" w:ascii="Times New Roman" w:hAnsi="Times New Roman" w:eastAsia="仿宋_GB2312"/>
          <w:color w:val="auto"/>
          <w:kern w:val="0"/>
          <w:sz w:val="21"/>
          <w:szCs w:val="21"/>
          <w:highlight w:val="none"/>
        </w:rPr>
        <w:t>用上述</w:t>
      </w:r>
      <w:r>
        <w:rPr>
          <w:rFonts w:ascii="Times New Roman" w:hAnsi="Times New Roman" w:eastAsia="仿宋_GB2312"/>
          <w:color w:val="auto"/>
          <w:kern w:val="0"/>
          <w:sz w:val="21"/>
          <w:szCs w:val="21"/>
          <w:highlight w:val="none"/>
        </w:rPr>
        <w:t>第（1）种方式</w:t>
      </w:r>
      <w:r>
        <w:rPr>
          <w:rFonts w:hint="eastAsia" w:ascii="Times New Roman" w:hAnsi="Times New Roman" w:eastAsia="仿宋_GB2312"/>
          <w:color w:val="auto"/>
          <w:kern w:val="0"/>
          <w:sz w:val="21"/>
          <w:szCs w:val="21"/>
          <w:highlight w:val="none"/>
        </w:rPr>
        <w:t>。</w:t>
      </w:r>
    </w:p>
    <w:p w14:paraId="2874CCD3">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eastAsia="仿宋_GB2312"/>
          <w:color w:val="auto"/>
          <w:kern w:val="0"/>
          <w:sz w:val="21"/>
          <w:szCs w:val="21"/>
          <w:highlight w:val="none"/>
        </w:rPr>
      </w:pPr>
      <w:r>
        <w:rPr>
          <w:rFonts w:ascii="Times New Roman" w:hAnsi="Times New Roman" w:eastAsia="仿宋_GB2312"/>
          <w:color w:val="auto"/>
          <w:kern w:val="0"/>
          <w:sz w:val="21"/>
          <w:szCs w:val="21"/>
          <w:highlight w:val="none"/>
        </w:rPr>
        <w:t>发</w:t>
      </w:r>
      <w:bookmarkStart w:id="1141" w:name="#go4"/>
      <w:bookmarkEnd w:id="1141"/>
      <w:r>
        <w:rPr>
          <w:rFonts w:ascii="Times New Roman" w:hAnsi="Times New Roman" w:eastAsia="仿宋_GB2312"/>
          <w:color w:val="auto"/>
          <w:kern w:val="0"/>
          <w:sz w:val="21"/>
          <w:szCs w:val="21"/>
          <w:highlight w:val="none"/>
        </w:rPr>
        <w:t>包人累计扣留的质量保证金不得超过</w:t>
      </w:r>
      <w:r>
        <w:rPr>
          <w:rFonts w:hint="eastAsia" w:ascii="Times New Roman" w:hAnsi="Times New Roman" w:eastAsia="仿宋_GB2312"/>
          <w:color w:val="auto"/>
          <w:kern w:val="0"/>
          <w:sz w:val="21"/>
          <w:szCs w:val="21"/>
          <w:highlight w:val="none"/>
        </w:rPr>
        <w:t>工程价款结算总额</w:t>
      </w:r>
      <w:r>
        <w:rPr>
          <w:rFonts w:ascii="Times New Roman" w:hAnsi="Times New Roman" w:eastAsia="仿宋_GB2312"/>
          <w:color w:val="auto"/>
          <w:kern w:val="0"/>
          <w:sz w:val="21"/>
          <w:szCs w:val="21"/>
          <w:highlight w:val="none"/>
        </w:rPr>
        <w:t>的3%</w:t>
      </w:r>
      <w:r>
        <w:rPr>
          <w:rFonts w:hint="eastAsia" w:ascii="Times New Roman" w:hAnsi="Times New Roman" w:eastAsia="仿宋_GB2312"/>
          <w:color w:val="auto"/>
          <w:kern w:val="0"/>
          <w:sz w:val="21"/>
          <w:szCs w:val="21"/>
          <w:highlight w:val="none"/>
        </w:rPr>
        <w:t>。如</w:t>
      </w:r>
      <w:r>
        <w:rPr>
          <w:rFonts w:ascii="Times New Roman" w:hAnsi="Times New Roman" w:eastAsia="仿宋_GB2312"/>
          <w:color w:val="auto"/>
          <w:kern w:val="0"/>
          <w:sz w:val="21"/>
          <w:szCs w:val="21"/>
          <w:highlight w:val="none"/>
        </w:rPr>
        <w:t>承包人在发包人签发竣工付款证书后28天内提交质量保证金保函，发包人应同时退还扣留的作为质量保证金的工程价款</w:t>
      </w:r>
      <w:r>
        <w:rPr>
          <w:rFonts w:hint="eastAsia" w:eastAsia="仿宋_GB2312"/>
          <w:color w:val="auto"/>
          <w:kern w:val="0"/>
          <w:sz w:val="21"/>
          <w:szCs w:val="21"/>
          <w:highlight w:val="none"/>
        </w:rPr>
        <w:t>；保函金额不得超过工程价款结算总额的3%</w:t>
      </w:r>
      <w:r>
        <w:rPr>
          <w:rFonts w:eastAsia="仿宋_GB2312"/>
          <w:color w:val="auto"/>
          <w:kern w:val="0"/>
          <w:sz w:val="21"/>
          <w:szCs w:val="21"/>
          <w:highlight w:val="none"/>
        </w:rPr>
        <w:t>。</w:t>
      </w:r>
    </w:p>
    <w:p w14:paraId="1BFE985F">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eastAsia="仿宋_GB2312"/>
          <w:color w:val="auto"/>
          <w:kern w:val="0"/>
          <w:sz w:val="21"/>
          <w:szCs w:val="21"/>
          <w:highlight w:val="none"/>
        </w:rPr>
      </w:pPr>
      <w:r>
        <w:rPr>
          <w:rFonts w:hint="eastAsia" w:eastAsia="仿宋_GB2312"/>
          <w:color w:val="auto"/>
          <w:kern w:val="0"/>
          <w:sz w:val="21"/>
          <w:szCs w:val="21"/>
          <w:highlight w:val="none"/>
        </w:rPr>
        <w:t>发包人在退还质量保证金的同时</w:t>
      </w:r>
      <w:r>
        <w:rPr>
          <w:rFonts w:eastAsia="仿宋_GB2312"/>
          <w:color w:val="auto"/>
          <w:kern w:val="0"/>
          <w:sz w:val="21"/>
          <w:szCs w:val="21"/>
          <w:highlight w:val="none"/>
        </w:rPr>
        <w:t>按照中国人民银行发布的同期同类贷款基准利率支付</w:t>
      </w:r>
      <w:r>
        <w:rPr>
          <w:rFonts w:hint="eastAsia" w:eastAsia="仿宋_GB2312"/>
          <w:color w:val="auto"/>
          <w:kern w:val="0"/>
          <w:sz w:val="21"/>
          <w:szCs w:val="21"/>
          <w:highlight w:val="none"/>
        </w:rPr>
        <w:t>利息。</w:t>
      </w:r>
    </w:p>
    <w:p w14:paraId="4F7772D7">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 xml:space="preserve">15.3.3 </w:t>
      </w:r>
      <w:r>
        <w:rPr>
          <w:rFonts w:ascii="Times New Roman" w:hAnsi="Times New Roman" w:eastAsia="仿宋_GB2312"/>
          <w:color w:val="auto"/>
          <w:sz w:val="21"/>
          <w:szCs w:val="21"/>
          <w:highlight w:val="none"/>
        </w:rPr>
        <w:t>质量保证金</w:t>
      </w:r>
      <w:r>
        <w:rPr>
          <w:rFonts w:ascii="Times New Roman" w:hAnsi="Times New Roman" w:eastAsia="仿宋_GB2312"/>
          <w:color w:val="auto"/>
          <w:kern w:val="0"/>
          <w:sz w:val="21"/>
          <w:szCs w:val="21"/>
          <w:highlight w:val="none"/>
        </w:rPr>
        <w:t>的退还</w:t>
      </w:r>
    </w:p>
    <w:p w14:paraId="385BEDB3">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eastAsia="仿宋_GB2312"/>
          <w:color w:val="auto"/>
          <w:kern w:val="0"/>
          <w:sz w:val="21"/>
          <w:szCs w:val="21"/>
          <w:highlight w:val="none"/>
        </w:rPr>
      </w:pPr>
      <w:r>
        <w:rPr>
          <w:rFonts w:hint="eastAsia" w:eastAsia="仿宋_GB2312"/>
          <w:color w:val="auto"/>
          <w:kern w:val="0"/>
          <w:sz w:val="21"/>
          <w:szCs w:val="21"/>
          <w:highlight w:val="none"/>
        </w:rPr>
        <w:t>缺陷责任期内，承包人认真履行合同约定的责任，到期后，承包人可向发包人申请返还保证金。</w:t>
      </w:r>
    </w:p>
    <w:p w14:paraId="41537856">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eastAsia="仿宋_GB2312"/>
          <w:color w:val="auto"/>
          <w:kern w:val="0"/>
          <w:sz w:val="21"/>
          <w:szCs w:val="21"/>
          <w:highlight w:val="none"/>
        </w:rPr>
      </w:pPr>
      <w:r>
        <w:rPr>
          <w:rFonts w:hint="eastAsia" w:eastAsia="仿宋_GB2312"/>
          <w:color w:val="auto"/>
          <w:kern w:val="0"/>
          <w:sz w:val="21"/>
          <w:szCs w:val="21"/>
          <w:highlight w:val="none"/>
        </w:rPr>
        <w:t>发包人在接到承包人返还保证金申请后，应于14天内会同承包人按照合同约定的内容进行核实。如无异议，发包人应当按照约定将保证金返还给承包人。对返还期限没有约定或者约定不明确的，发包人应当在核实后14天内将保证金返还承包人，逾期未返还的，依法承担违约责任。发包人在接到承包人返还保证金申请后14天内不予答复，经催告后14天内仍不予答复，视同认可承包人的返还保证金申请。</w:t>
      </w:r>
    </w:p>
    <w:p w14:paraId="545E3082">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hint="eastAsia" w:eastAsia="仿宋_GB2312"/>
          <w:color w:val="auto"/>
          <w:kern w:val="0"/>
          <w:sz w:val="21"/>
          <w:szCs w:val="21"/>
          <w:highlight w:val="none"/>
        </w:rPr>
        <w:t>发包人和承包人对保证金预留、返还以及工程维修质量、费用有争议的，按本合同第20条约定的争议和纠纷解决程序处理</w:t>
      </w:r>
      <w:r>
        <w:rPr>
          <w:rFonts w:ascii="Times New Roman" w:hAnsi="Times New Roman" w:eastAsia="仿宋_GB2312"/>
          <w:color w:val="auto"/>
          <w:kern w:val="0"/>
          <w:sz w:val="21"/>
          <w:szCs w:val="21"/>
          <w:highlight w:val="none"/>
        </w:rPr>
        <w:t>。</w:t>
      </w:r>
    </w:p>
    <w:p w14:paraId="1136A70C">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142" w:name="_Toc351203602"/>
      <w:bookmarkStart w:id="1143" w:name="_Toc337558819"/>
      <w:r>
        <w:rPr>
          <w:rFonts w:ascii="Times New Roman" w:hAnsi="Times New Roman" w:eastAsia="黑体"/>
          <w:b w:val="0"/>
          <w:color w:val="auto"/>
          <w:sz w:val="21"/>
          <w:szCs w:val="21"/>
          <w:highlight w:val="none"/>
        </w:rPr>
        <w:t>15.4 保修</w:t>
      </w:r>
      <w:bookmarkEnd w:id="1142"/>
    </w:p>
    <w:bookmarkEnd w:id="1138"/>
    <w:bookmarkEnd w:id="1139"/>
    <w:bookmarkEnd w:id="1143"/>
    <w:p w14:paraId="3B183D9E">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15.4.1保修责任</w:t>
      </w:r>
    </w:p>
    <w:p w14:paraId="3BA4855F">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14:paraId="60B4233F">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发包人未经竣工验收擅自使用工程的，保修期自</w:t>
      </w:r>
      <w:r>
        <w:rPr>
          <w:rFonts w:ascii="Times New Roman" w:hAnsi="Times New Roman" w:eastAsia="仿宋_GB2312"/>
          <w:color w:val="auto"/>
          <w:kern w:val="0"/>
          <w:sz w:val="21"/>
          <w:szCs w:val="21"/>
          <w:highlight w:val="none"/>
        </w:rPr>
        <w:t>转移占有之日起算</w:t>
      </w:r>
      <w:r>
        <w:rPr>
          <w:rFonts w:ascii="Times New Roman" w:hAnsi="Times New Roman" w:eastAsia="仿宋_GB2312"/>
          <w:color w:val="auto"/>
          <w:sz w:val="21"/>
          <w:szCs w:val="21"/>
          <w:highlight w:val="none"/>
        </w:rPr>
        <w:t>。</w:t>
      </w:r>
    </w:p>
    <w:p w14:paraId="77BD120F">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15.4.2 修复费用</w:t>
      </w:r>
    </w:p>
    <w:p w14:paraId="1E32796B">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保修期内，修复的费用按照以下约定处理：</w:t>
      </w:r>
    </w:p>
    <w:p w14:paraId="6EA0706D">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（1）保修期内，因承包人原因造成工程的缺陷、损坏，承包人应负责修复，并承担修复的费用以及因工程的缺陷、损坏造成的人身伤害和财产损失；</w:t>
      </w:r>
    </w:p>
    <w:p w14:paraId="192D046F">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（2）保修期内，因发包人使用不当造成工程的缺陷、损坏，可以委托承包人修复，但发包人应承担修复的费用，并支付承包人合理利润；</w:t>
      </w:r>
    </w:p>
    <w:p w14:paraId="74563242">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（3）因其他原因造成工程的缺陷、损坏，可以委托承包人修复，发包人应承担修复的费用，并支付承包人合理的利润，因工程的缺陷、损坏造成的人身伤害和财产损失由责任方承担。</w:t>
      </w:r>
    </w:p>
    <w:p w14:paraId="21C29030">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15.4.3 修复通知</w:t>
      </w:r>
    </w:p>
    <w:p w14:paraId="1895353C">
      <w:pPr>
        <w:pageBreakBefore w:val="0"/>
        <w:widowControl w:val="0"/>
        <w:kinsoku/>
        <w:wordWrap/>
        <w:overflowPunct/>
        <w:topLinePunct w:val="0"/>
        <w:bidi w:val="0"/>
        <w:adjustRightInd w:val="0"/>
        <w:snapToGrid w:val="0"/>
        <w:spacing w:line="360" w:lineRule="auto"/>
        <w:ind w:firstLine="420" w:firstLineChars="200"/>
        <w:jc w:val="left"/>
        <w:textAlignment w:val="auto"/>
        <w:rPr>
          <w:rFonts w:hint="eastAsia"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专用合同条款约定的合理期限内到达工程现场并修复缺陷或损坏。</w:t>
      </w:r>
    </w:p>
    <w:p w14:paraId="794472A2">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15.4.4 未能修复</w:t>
      </w:r>
    </w:p>
    <w:p w14:paraId="7A89DB78">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因承包人原因造成工程的缺陷或损坏，承包人拒绝维修或未能在合理期限内修复缺陷或损坏，且经发包人书面催告后仍未修复的，发包人有权自行修复或委托第三方修复，所需费用由承包人承担。</w:t>
      </w:r>
      <w:r>
        <w:rPr>
          <w:rFonts w:hint="eastAsia" w:ascii="Times New Roman" w:hAnsi="Times New Roman" w:eastAsia="仿宋_GB2312"/>
          <w:color w:val="auto"/>
          <w:kern w:val="0"/>
          <w:sz w:val="21"/>
          <w:szCs w:val="21"/>
          <w:highlight w:val="none"/>
        </w:rPr>
        <w:t>但修复范围超出缺陷或损坏范围的，超出范围部分的修复费用由发包人承担。</w:t>
      </w:r>
    </w:p>
    <w:p w14:paraId="48005B95">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15.4.5 承包人出入权</w:t>
      </w:r>
    </w:p>
    <w:p w14:paraId="7F7DD9EC">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在保修期内，为了修复缺陷或损坏，承包人有权出入工程现场，除情况紧急必须立即修复缺陷或损坏外，承包人应提前24小时通知发包人进场修复的时间。承包人进入工程现场前应获得发包人同意，且不应影响发包人正常的生产经营，并应遵守发包人有关保安和保密等规定。</w:t>
      </w:r>
    </w:p>
    <w:p w14:paraId="5E0ADFEE">
      <w:pPr>
        <w:pStyle w:val="5"/>
        <w:pageBreakBefore w:val="0"/>
        <w:widowControl w:val="0"/>
        <w:kinsoku/>
        <w:wordWrap/>
        <w:overflowPunct/>
        <w:topLinePunct w:val="0"/>
        <w:bidi w:val="0"/>
        <w:adjustRightInd w:val="0"/>
        <w:snapToGrid w:val="0"/>
        <w:spacing w:before="0" w:after="0" w:line="360" w:lineRule="auto"/>
        <w:textAlignment w:val="auto"/>
        <w:outlineLvl w:val="3"/>
        <w:rPr>
          <w:rFonts w:eastAsia="黑体"/>
          <w:bCs/>
          <w:color w:val="auto"/>
          <w:sz w:val="21"/>
          <w:szCs w:val="21"/>
          <w:highlight w:val="none"/>
        </w:rPr>
      </w:pPr>
      <w:bookmarkStart w:id="1144" w:name="_Toc21838"/>
      <w:bookmarkStart w:id="1145" w:name="_Toc32110"/>
      <w:bookmarkStart w:id="1146" w:name="_Toc351203603"/>
      <w:bookmarkStart w:id="1147" w:name="_Toc337558820"/>
      <w:r>
        <w:rPr>
          <w:rFonts w:eastAsia="黑体"/>
          <w:bCs/>
          <w:color w:val="auto"/>
          <w:sz w:val="21"/>
          <w:szCs w:val="21"/>
          <w:highlight w:val="none"/>
        </w:rPr>
        <w:t>16. 违约</w:t>
      </w:r>
      <w:bookmarkEnd w:id="1144"/>
      <w:bookmarkEnd w:id="1145"/>
      <w:bookmarkEnd w:id="1146"/>
    </w:p>
    <w:bookmarkEnd w:id="1147"/>
    <w:p w14:paraId="5825CC1F">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148" w:name="_Toc296346630"/>
      <w:bookmarkStart w:id="1149" w:name="_Toc296503129"/>
      <w:bookmarkStart w:id="1150" w:name="_Toc351203604"/>
      <w:bookmarkStart w:id="1151" w:name="_Toc337558821"/>
      <w:r>
        <w:rPr>
          <w:rFonts w:ascii="Times New Roman" w:hAnsi="Times New Roman" w:eastAsia="黑体"/>
          <w:b w:val="0"/>
          <w:color w:val="auto"/>
          <w:sz w:val="21"/>
          <w:szCs w:val="21"/>
          <w:highlight w:val="none"/>
        </w:rPr>
        <w:t>16.1 发</w:t>
      </w:r>
      <w:bookmarkEnd w:id="1148"/>
      <w:bookmarkEnd w:id="1149"/>
      <w:r>
        <w:rPr>
          <w:rFonts w:ascii="Times New Roman" w:hAnsi="Times New Roman" w:eastAsia="黑体"/>
          <w:b w:val="0"/>
          <w:color w:val="auto"/>
          <w:sz w:val="21"/>
          <w:szCs w:val="21"/>
          <w:highlight w:val="none"/>
        </w:rPr>
        <w:t>包人违约</w:t>
      </w:r>
      <w:bookmarkEnd w:id="1150"/>
    </w:p>
    <w:bookmarkEnd w:id="1151"/>
    <w:p w14:paraId="1A0995B6">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16.1.1 发包人违约的情形</w:t>
      </w:r>
    </w:p>
    <w:p w14:paraId="1062A1B1">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在合同履行过程中发生的下列情形，属于发包人违约：</w:t>
      </w:r>
    </w:p>
    <w:p w14:paraId="4C9539F4">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（1）因发包人原因未能在计划开工日期前7天内下达开工通知的；</w:t>
      </w:r>
    </w:p>
    <w:p w14:paraId="15DF27D9">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（2）因发包人原因未能按合同约定支付合同价款的；</w:t>
      </w:r>
    </w:p>
    <w:p w14:paraId="5F2CB3B1">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（3）发包人违反第10.1款</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变更的范围</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第（2）项约定，自行实施被取消的工作或转由他人实施的；</w:t>
      </w:r>
    </w:p>
    <w:p w14:paraId="51C49FF7">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（4）发包人提供的材料、工程设备的规格、数量或质量不符合合同约定，或因发包人原因导致交货日期延误或交货地点变更等情况的；</w:t>
      </w:r>
    </w:p>
    <w:p w14:paraId="6CFAA094">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（5）因发包人违反合同约定造成暂停施工的；</w:t>
      </w:r>
    </w:p>
    <w:p w14:paraId="3EE77E86">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（6）发包人无正当理由没有在约定期限内发出复工指示，导致承包人无法复工的；</w:t>
      </w:r>
    </w:p>
    <w:p w14:paraId="3ADA3C3B">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（7）发包人明确表示或者以其行为表明不履行合同主要义务的；</w:t>
      </w:r>
    </w:p>
    <w:p w14:paraId="6C5BCD19">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（8）发包人未能按照合同约定履行其他义务的。</w:t>
      </w:r>
    </w:p>
    <w:p w14:paraId="4079DCE0">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发包人发生除本项第（7）目以外的违约情况时，承包人可向发包人发出通知，要求发包人采取有效措施纠正违约行为。发包人收到承包人通知后28天内仍不纠正违约行为的，承包人有权暂停相应部位工程施工，并通知监理人。</w:t>
      </w:r>
    </w:p>
    <w:p w14:paraId="1A1D6F38">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16.1.2 发包人违约的责任</w:t>
      </w:r>
    </w:p>
    <w:p w14:paraId="27AB1605">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发包人应承担因其违约给承包人增加的费用和（或）延误的工期，并支付承包人合理的利润。此外，合同当事人可在专用合同条款中另行约定发包人违约责任的承担方式和计算方法。</w:t>
      </w:r>
    </w:p>
    <w:p w14:paraId="39F2237F">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16.1.3 因发包人违约解除合同</w:t>
      </w:r>
    </w:p>
    <w:p w14:paraId="1D083C91">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除专用合同条款另有约定外，承包人按第16.1.1项</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发包人违约的情形</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约定暂停施工满28天后</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发包人仍不纠正其违约行为并致使合同目的不能实现的，</w:t>
      </w:r>
      <w:r>
        <w:rPr>
          <w:rFonts w:hint="eastAsia" w:ascii="Times New Roman" w:hAnsi="Times New Roman" w:eastAsia="仿宋_GB2312"/>
          <w:color w:val="auto"/>
          <w:kern w:val="0"/>
          <w:sz w:val="21"/>
          <w:szCs w:val="21"/>
          <w:highlight w:val="none"/>
        </w:rPr>
        <w:t>或</w:t>
      </w:r>
      <w:r>
        <w:rPr>
          <w:rFonts w:ascii="Times New Roman" w:hAnsi="Times New Roman" w:eastAsia="仿宋_GB2312"/>
          <w:color w:val="auto"/>
          <w:kern w:val="0"/>
          <w:sz w:val="21"/>
          <w:szCs w:val="21"/>
          <w:highlight w:val="none"/>
        </w:rPr>
        <w:t>出现第16.1.1项</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发包人违约的情形</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第（7）目约定的违约情况，承包人有权解除合同，发包人应承担由此增加的费用，并支付承包人合理的利润。</w:t>
      </w:r>
    </w:p>
    <w:p w14:paraId="72B41617">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kern w:val="0"/>
          <w:sz w:val="21"/>
          <w:szCs w:val="21"/>
          <w:highlight w:val="none"/>
        </w:rPr>
        <w:t>16.1.4 因发包人违约解除合同后的付款</w:t>
      </w:r>
    </w:p>
    <w:p w14:paraId="05458CAF">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承包人按照本款约定解除合同的，发包人应在解除合同后28天内支付下列款项，并解除履约担保：</w:t>
      </w:r>
    </w:p>
    <w:p w14:paraId="151B29D6">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（1）合同解除前所完成工作的价款；</w:t>
      </w:r>
    </w:p>
    <w:p w14:paraId="01F5B850">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（2）承包人为工程施工订购并已付款的材料、工程设备和其他物品的价款；</w:t>
      </w:r>
    </w:p>
    <w:p w14:paraId="786FAEE7">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（3）承包人撤离施工现场以及遣散承包人人员的款项；</w:t>
      </w:r>
    </w:p>
    <w:p w14:paraId="626B0863">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（4）按照合同约定在合同解除前应支付的违约金；</w:t>
      </w:r>
    </w:p>
    <w:p w14:paraId="4EEE781D">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（5）按照合同约定应当支付给承包人的其他款项；</w:t>
      </w:r>
    </w:p>
    <w:p w14:paraId="34B1C8CD">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（6）按照合同约定应退还的质量保证金；</w:t>
      </w:r>
    </w:p>
    <w:p w14:paraId="17431FAA">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（7）因解除合同给承包人造成的损失。</w:t>
      </w:r>
    </w:p>
    <w:p w14:paraId="452CD203">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合同当事人未能就解除合同后的结清达成一致的，按照第20条</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争议解决</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的约定处理。</w:t>
      </w:r>
    </w:p>
    <w:p w14:paraId="001E1535">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承包人应妥善做好已完工程和与工程有关的已购材料、工程设备的保护和移交工作，并将施工设备和人员撤出施工现场，发包人应为承包人撤出提供必要条件。</w:t>
      </w:r>
    </w:p>
    <w:p w14:paraId="347D7461">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152" w:name="_Toc351203605"/>
      <w:bookmarkStart w:id="1153" w:name="_Toc296503131"/>
      <w:bookmarkStart w:id="1154" w:name="_Toc337558822"/>
      <w:bookmarkStart w:id="1155" w:name="_Toc296346632"/>
      <w:r>
        <w:rPr>
          <w:rFonts w:ascii="Times New Roman" w:hAnsi="Times New Roman" w:eastAsia="黑体"/>
          <w:b w:val="0"/>
          <w:color w:val="auto"/>
          <w:sz w:val="21"/>
          <w:szCs w:val="21"/>
          <w:highlight w:val="none"/>
        </w:rPr>
        <w:t>16.2 承包人违约</w:t>
      </w:r>
      <w:bookmarkEnd w:id="1152"/>
    </w:p>
    <w:bookmarkEnd w:id="1153"/>
    <w:bookmarkEnd w:id="1154"/>
    <w:bookmarkEnd w:id="1155"/>
    <w:p w14:paraId="51136F47">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16.2.1 承包人违约的情形</w:t>
      </w:r>
    </w:p>
    <w:p w14:paraId="447AF51F">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在合同履行过程中发生的下列情形，属于承包人违约：</w:t>
      </w:r>
    </w:p>
    <w:p w14:paraId="686D70A7">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（1）承包人违反合同约定进行转包或违法分包的；</w:t>
      </w:r>
    </w:p>
    <w:p w14:paraId="4F7166C4">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（2）承包人违反合同约定采购和使用不合格的材料和工程设备的；</w:t>
      </w:r>
    </w:p>
    <w:p w14:paraId="0D96562F">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 xml:space="preserve">（3）因承包人原因导致工程质量不符合合同要求的； </w:t>
      </w:r>
    </w:p>
    <w:p w14:paraId="0424057B">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（4）承包人违反第8.9款</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材料与设备专用</w:t>
      </w:r>
      <w:r>
        <w:rPr>
          <w:rFonts w:hint="eastAsia" w:ascii="Times New Roman" w:hAnsi="Times New Roman" w:eastAsia="仿宋_GB2312"/>
          <w:color w:val="auto"/>
          <w:kern w:val="0"/>
          <w:sz w:val="21"/>
          <w:szCs w:val="21"/>
          <w:highlight w:val="none"/>
        </w:rPr>
        <w:t>要求〕</w:t>
      </w:r>
      <w:r>
        <w:rPr>
          <w:rFonts w:ascii="Times New Roman" w:hAnsi="Times New Roman" w:eastAsia="仿宋_GB2312"/>
          <w:color w:val="auto"/>
          <w:kern w:val="0"/>
          <w:sz w:val="21"/>
          <w:szCs w:val="21"/>
          <w:highlight w:val="none"/>
        </w:rPr>
        <w:t>的约定，未经批准，私自将已按照合同约定进入施工现场的材料或设备撤离施工现场的；</w:t>
      </w:r>
    </w:p>
    <w:p w14:paraId="54996B96">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（5）承包人未能按施工进度计划及时完成合同约定的工作，造成工期延误的；</w:t>
      </w:r>
    </w:p>
    <w:p w14:paraId="0A2B55F2">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（6）承包人在缺陷责任期及保修期内，未能在合理期限对工程缺陷进行修复，或拒绝按发包人要求进行修复的；</w:t>
      </w:r>
    </w:p>
    <w:p w14:paraId="21FCA542">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（7）承包人明确表示或者以其行为表明不履行合同主要义务的；</w:t>
      </w:r>
    </w:p>
    <w:p w14:paraId="4930033D">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（8）承包人未能按照合同约定履行其他义务的。</w:t>
      </w:r>
    </w:p>
    <w:p w14:paraId="2ECF6F1F">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承包人发生除本项第（7）目约定以外的其他违约情况时，监理人可向承包人发出整改通知，要求其在指定的期限内改正。</w:t>
      </w:r>
    </w:p>
    <w:p w14:paraId="3E1E4167">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16.2.2 承包人违约的责任</w:t>
      </w:r>
    </w:p>
    <w:p w14:paraId="0C8355B9">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承包人应承担因其违约行为而增加的费用</w:t>
      </w:r>
      <w:r>
        <w:rPr>
          <w:rFonts w:hint="eastAsia" w:ascii="Times New Roman" w:hAnsi="Times New Roman" w:eastAsia="仿宋_GB2312"/>
          <w:color w:val="auto"/>
          <w:kern w:val="0"/>
          <w:sz w:val="21"/>
          <w:szCs w:val="21"/>
          <w:highlight w:val="none"/>
        </w:rPr>
        <w:t>和（或）延误的</w:t>
      </w:r>
      <w:r>
        <w:rPr>
          <w:rFonts w:ascii="Times New Roman" w:hAnsi="Times New Roman" w:eastAsia="仿宋_GB2312"/>
          <w:color w:val="auto"/>
          <w:kern w:val="0"/>
          <w:sz w:val="21"/>
          <w:szCs w:val="21"/>
          <w:highlight w:val="none"/>
        </w:rPr>
        <w:t>工期。此外，合同当事人可在专用合同条款中另行约定承包人违约责任的承担方式和计算方法。</w:t>
      </w:r>
    </w:p>
    <w:p w14:paraId="62ABEA23">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16.2.3 因承包人违约解除合同</w:t>
      </w:r>
    </w:p>
    <w:p w14:paraId="1287D0F0">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除专用合同条款另有约定外，出现第16.2.1项</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承包人违约的情形</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第（7）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w:t>
      </w:r>
      <w:r>
        <w:rPr>
          <w:rFonts w:hint="eastAsia" w:ascii="Times New Roman" w:hAnsi="Times New Roman" w:eastAsia="仿宋_GB2312"/>
          <w:color w:val="auto"/>
          <w:kern w:val="0"/>
          <w:sz w:val="21"/>
          <w:szCs w:val="21"/>
          <w:highlight w:val="none"/>
        </w:rPr>
        <w:t>合同当事人应在专用合同条款约定相应费用的承担方式。</w:t>
      </w:r>
      <w:r>
        <w:rPr>
          <w:rFonts w:ascii="Times New Roman" w:hAnsi="Times New Roman" w:eastAsia="仿宋_GB2312"/>
          <w:color w:val="auto"/>
          <w:kern w:val="0"/>
          <w:sz w:val="21"/>
          <w:szCs w:val="21"/>
          <w:highlight w:val="none"/>
        </w:rPr>
        <w:t>发包人</w:t>
      </w:r>
      <w:r>
        <w:rPr>
          <w:rFonts w:hint="eastAsia" w:ascii="Times New Roman" w:hAnsi="Times New Roman" w:eastAsia="仿宋_GB2312"/>
          <w:color w:val="auto"/>
          <w:kern w:val="0"/>
          <w:sz w:val="21"/>
          <w:szCs w:val="21"/>
          <w:highlight w:val="none"/>
        </w:rPr>
        <w:t>继续使用的</w:t>
      </w:r>
      <w:r>
        <w:rPr>
          <w:rFonts w:ascii="Times New Roman" w:hAnsi="Times New Roman" w:eastAsia="仿宋_GB2312"/>
          <w:color w:val="auto"/>
          <w:kern w:val="0"/>
          <w:sz w:val="21"/>
          <w:szCs w:val="21"/>
          <w:highlight w:val="none"/>
        </w:rPr>
        <w:t>行为不免除或减轻承包人应承担的违约责任。</w:t>
      </w:r>
    </w:p>
    <w:p w14:paraId="634CD483">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16.2.4因承包人违约解除合同后的处理</w:t>
      </w:r>
    </w:p>
    <w:p w14:paraId="119A8DEA">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因承包人原因导致合同解除的，则合同当事人应在合同解除后28天内完成估价、付款和清算，并按以下约定执行：</w:t>
      </w:r>
    </w:p>
    <w:p w14:paraId="3C5BA9E5">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（1）合同解除后，按第4.4款</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商定或确定</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商定或确定承包人实际完成工作对应的合同价款，以及承包人已提供的材料、工程设备、施工设备和临时工程等的价值；</w:t>
      </w:r>
    </w:p>
    <w:p w14:paraId="37FE3137">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（2）合同解除后，承包人应支付的违约金；</w:t>
      </w:r>
    </w:p>
    <w:p w14:paraId="4B737D18">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（3）合同解除后，因解除合同给发包人造成的损失；</w:t>
      </w:r>
    </w:p>
    <w:p w14:paraId="55ED4514">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（4）合同解除后，承包人应按照发包人要求和监理人的指示完成现场的清理和撤离；</w:t>
      </w:r>
    </w:p>
    <w:p w14:paraId="3FA0CAA1">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（5）发包人和承包人应在合同解除后进行清算，出具最终结清付款证书，结清全部款项。</w:t>
      </w:r>
    </w:p>
    <w:p w14:paraId="096094C1">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hint="eastAsia" w:ascii="Times New Roman" w:hAnsi="Times New Roman" w:eastAsia="仿宋_GB2312"/>
          <w:color w:val="auto"/>
          <w:kern w:val="0"/>
          <w:sz w:val="21"/>
          <w:szCs w:val="21"/>
          <w:highlight w:val="none"/>
        </w:rPr>
        <w:t>因承包人违约解除合同的，</w:t>
      </w:r>
      <w:r>
        <w:rPr>
          <w:rFonts w:ascii="Times New Roman" w:hAnsi="Times New Roman" w:eastAsia="仿宋_GB2312"/>
          <w:color w:val="auto"/>
          <w:kern w:val="0"/>
          <w:sz w:val="21"/>
          <w:szCs w:val="21"/>
          <w:highlight w:val="none"/>
        </w:rPr>
        <w:t>发包人有权暂停对承包人的付款，查清各项付款和已扣款项。发包人和承包人未能就合同解除后的清算和款项支付达成一致的，按照第20条</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争议解决</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的约定处理。</w:t>
      </w:r>
    </w:p>
    <w:p w14:paraId="48E2022F">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16.2.5采购合同权益转让</w:t>
      </w:r>
    </w:p>
    <w:p w14:paraId="35B72BC4">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因承包人违约解除合同的，发包人有权要求承包人将其为实施合同而签订的材料和设备的采购合同的权益转让给发包人，承包人应在收到解除合同通知后14天内，协助发包人与采购合同的</w:t>
      </w:r>
      <w:r>
        <w:rPr>
          <w:rFonts w:hint="eastAsia" w:eastAsia="仿宋_GB2312"/>
          <w:color w:val="auto"/>
          <w:kern w:val="0"/>
          <w:sz w:val="21"/>
          <w:szCs w:val="21"/>
          <w:highlight w:val="none"/>
          <w:lang w:eastAsia="zh-CN"/>
        </w:rPr>
        <w:t>投标单位</w:t>
      </w:r>
      <w:r>
        <w:rPr>
          <w:rFonts w:ascii="Times New Roman" w:hAnsi="Times New Roman" w:eastAsia="仿宋_GB2312"/>
          <w:color w:val="auto"/>
          <w:kern w:val="0"/>
          <w:sz w:val="21"/>
          <w:szCs w:val="21"/>
          <w:highlight w:val="none"/>
        </w:rPr>
        <w:t>达成相关的转让协议。</w:t>
      </w:r>
    </w:p>
    <w:p w14:paraId="33A80BF8">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156" w:name="_Toc351203606"/>
      <w:r>
        <w:rPr>
          <w:rFonts w:ascii="Times New Roman" w:hAnsi="Times New Roman" w:eastAsia="黑体"/>
          <w:b w:val="0"/>
          <w:color w:val="auto"/>
          <w:sz w:val="21"/>
          <w:szCs w:val="21"/>
          <w:highlight w:val="none"/>
        </w:rPr>
        <w:t>16.3 第三人造成的违约</w:t>
      </w:r>
      <w:bookmarkEnd w:id="1156"/>
    </w:p>
    <w:p w14:paraId="1CEA50E5">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在履行合同过程中，一方当事人因第三人的原因造成违约的，应当向对方当事人承担违约责任。一方当事人和第三人之间的纠纷，依照法律规定或者按照约定解决。</w:t>
      </w:r>
    </w:p>
    <w:p w14:paraId="76CA1CC3">
      <w:pPr>
        <w:pStyle w:val="5"/>
        <w:pageBreakBefore w:val="0"/>
        <w:widowControl w:val="0"/>
        <w:kinsoku/>
        <w:wordWrap/>
        <w:overflowPunct/>
        <w:topLinePunct w:val="0"/>
        <w:bidi w:val="0"/>
        <w:adjustRightInd w:val="0"/>
        <w:snapToGrid w:val="0"/>
        <w:spacing w:before="0" w:after="0" w:line="360" w:lineRule="auto"/>
        <w:textAlignment w:val="auto"/>
        <w:outlineLvl w:val="3"/>
        <w:rPr>
          <w:rFonts w:eastAsia="黑体"/>
          <w:bCs/>
          <w:color w:val="auto"/>
          <w:sz w:val="21"/>
          <w:szCs w:val="21"/>
          <w:highlight w:val="none"/>
        </w:rPr>
      </w:pPr>
      <w:bookmarkStart w:id="1157" w:name="_Toc351203607"/>
      <w:bookmarkStart w:id="1158" w:name="_Toc13647"/>
      <w:bookmarkStart w:id="1159" w:name="_Toc5540"/>
      <w:bookmarkStart w:id="1160" w:name="_Toc337558823"/>
      <w:bookmarkStart w:id="1161" w:name="_Toc296346617"/>
      <w:bookmarkStart w:id="1162" w:name="_Toc296503116"/>
      <w:r>
        <w:rPr>
          <w:rFonts w:eastAsia="黑体"/>
          <w:bCs/>
          <w:color w:val="auto"/>
          <w:sz w:val="21"/>
          <w:szCs w:val="21"/>
          <w:highlight w:val="none"/>
        </w:rPr>
        <w:t>17. 不可抗力</w:t>
      </w:r>
      <w:bookmarkEnd w:id="1157"/>
      <w:bookmarkEnd w:id="1158"/>
      <w:bookmarkEnd w:id="1159"/>
      <w:r>
        <w:rPr>
          <w:rFonts w:eastAsia="黑体"/>
          <w:bCs/>
          <w:color w:val="auto"/>
          <w:sz w:val="21"/>
          <w:szCs w:val="21"/>
          <w:highlight w:val="none"/>
        </w:rPr>
        <w:t xml:space="preserve"> </w:t>
      </w:r>
      <w:bookmarkEnd w:id="1160"/>
      <w:bookmarkEnd w:id="1161"/>
      <w:bookmarkEnd w:id="1162"/>
    </w:p>
    <w:p w14:paraId="44B3AA6B">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163" w:name="_Toc351203608"/>
      <w:bookmarkStart w:id="1164" w:name="_Toc296346618"/>
      <w:bookmarkStart w:id="1165" w:name="_Toc337558824"/>
      <w:bookmarkStart w:id="1166" w:name="_Toc296503117"/>
      <w:r>
        <w:rPr>
          <w:rFonts w:ascii="Times New Roman" w:hAnsi="Times New Roman" w:eastAsia="黑体"/>
          <w:b w:val="0"/>
          <w:color w:val="auto"/>
          <w:sz w:val="21"/>
          <w:szCs w:val="21"/>
          <w:highlight w:val="none"/>
        </w:rPr>
        <w:t>17.1 不可抗力的确认</w:t>
      </w:r>
      <w:bookmarkEnd w:id="1163"/>
    </w:p>
    <w:bookmarkEnd w:id="1164"/>
    <w:bookmarkEnd w:id="1165"/>
    <w:bookmarkEnd w:id="1166"/>
    <w:p w14:paraId="34EA3AFF">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不可抗力是指合同当事人在签订合同时不可预见，在合同履行过程中不可避免且不能克服的自然灾害和社会性突发事件，如地震、海啸、瘟疫、骚乱、戒严、暴动、战争和专用合同条款中约定的其他情形。</w:t>
      </w:r>
    </w:p>
    <w:p w14:paraId="3C15BFC6">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不可抗力发生后，发包人和承包人应收集证明不可抗力发生及不可抗力造成损失的证据，并及时认真统计所造成的损失。合同当事人对是否属于不可抗力或其损失的意见不一致的，由监理人按第4.4款</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商定或确定</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的约定处理。发生争议时，按第20条</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争议解决</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的约定处理。</w:t>
      </w:r>
    </w:p>
    <w:p w14:paraId="0EA23A81">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167" w:name="_Toc351203609"/>
      <w:bookmarkStart w:id="1168" w:name="_Toc337558825"/>
      <w:bookmarkStart w:id="1169" w:name="_Toc296503118"/>
      <w:bookmarkStart w:id="1170" w:name="_Toc296346619"/>
      <w:r>
        <w:rPr>
          <w:rFonts w:ascii="Times New Roman" w:hAnsi="Times New Roman" w:eastAsia="黑体"/>
          <w:b w:val="0"/>
          <w:color w:val="auto"/>
          <w:sz w:val="21"/>
          <w:szCs w:val="21"/>
          <w:highlight w:val="none"/>
        </w:rPr>
        <w:t>17.2 不可抗力的通知</w:t>
      </w:r>
      <w:bookmarkEnd w:id="1167"/>
    </w:p>
    <w:bookmarkEnd w:id="1168"/>
    <w:bookmarkEnd w:id="1169"/>
    <w:bookmarkEnd w:id="1170"/>
    <w:p w14:paraId="6C40CE18">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hint="eastAsia" w:ascii="Times New Roman" w:hAnsi="Times New Roman" w:eastAsia="仿宋_GB2312"/>
          <w:color w:val="auto"/>
          <w:kern w:val="0"/>
          <w:sz w:val="21"/>
          <w:szCs w:val="21"/>
          <w:highlight w:val="none"/>
        </w:rPr>
        <w:t>合同</w:t>
      </w:r>
      <w:r>
        <w:rPr>
          <w:rFonts w:ascii="Times New Roman" w:hAnsi="Times New Roman" w:eastAsia="仿宋_GB2312"/>
          <w:color w:val="auto"/>
          <w:kern w:val="0"/>
          <w:sz w:val="21"/>
          <w:szCs w:val="21"/>
          <w:highlight w:val="none"/>
        </w:rPr>
        <w:t>一方当事人遇到不可抗力事件，使其履行合同义务受到阻碍时，应立即通知合同另一方当事人和监理人，书面说明不可抗力和受阻碍的详细情况，并提供必要的证明。</w:t>
      </w:r>
    </w:p>
    <w:p w14:paraId="113FDEF6">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不可抗力持续发生的，合同一方当事人应及时向合同另一方当事人和监理人提交中间报告，说明不可抗力和履行合同受阻的情况，并于不可抗力事件结束后28天内提交最终报告及有关资料。</w:t>
      </w:r>
    </w:p>
    <w:p w14:paraId="65BCC0EA">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171" w:name="_Toc351203610"/>
      <w:bookmarkStart w:id="1172" w:name="_Toc296503119"/>
      <w:bookmarkStart w:id="1173" w:name="_Toc296346620"/>
      <w:bookmarkStart w:id="1174" w:name="_Toc337558826"/>
      <w:r>
        <w:rPr>
          <w:rFonts w:ascii="Times New Roman" w:hAnsi="Times New Roman" w:eastAsia="黑体"/>
          <w:b w:val="0"/>
          <w:color w:val="auto"/>
          <w:sz w:val="21"/>
          <w:szCs w:val="21"/>
          <w:highlight w:val="none"/>
        </w:rPr>
        <w:t>17.3 不可抗力后果的承担</w:t>
      </w:r>
      <w:bookmarkEnd w:id="1171"/>
    </w:p>
    <w:bookmarkEnd w:id="1172"/>
    <w:bookmarkEnd w:id="1173"/>
    <w:bookmarkEnd w:id="1174"/>
    <w:p w14:paraId="1942E164">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 xml:space="preserve">17.3.1 </w:t>
      </w:r>
      <w:r>
        <w:rPr>
          <w:rFonts w:hint="eastAsia" w:ascii="Times New Roman" w:hAnsi="Times New Roman" w:eastAsia="仿宋_GB2312"/>
          <w:color w:val="auto"/>
          <w:kern w:val="0"/>
          <w:sz w:val="21"/>
          <w:szCs w:val="21"/>
          <w:highlight w:val="none"/>
        </w:rPr>
        <w:t>不可抗力引起的后果及造成的损失由合同当事人按照法律规定及合同约定各自承担。</w:t>
      </w:r>
      <w:r>
        <w:rPr>
          <w:rFonts w:ascii="Times New Roman" w:hAnsi="Times New Roman" w:eastAsia="仿宋_GB2312"/>
          <w:color w:val="auto"/>
          <w:kern w:val="0"/>
          <w:sz w:val="21"/>
          <w:szCs w:val="21"/>
          <w:highlight w:val="none"/>
        </w:rPr>
        <w:t>不可抗力发生前已完</w:t>
      </w:r>
      <w:r>
        <w:rPr>
          <w:rFonts w:hint="eastAsia" w:ascii="Times New Roman" w:hAnsi="Times New Roman" w:eastAsia="仿宋_GB2312"/>
          <w:color w:val="auto"/>
          <w:kern w:val="0"/>
          <w:sz w:val="21"/>
          <w:szCs w:val="21"/>
          <w:highlight w:val="none"/>
        </w:rPr>
        <w:t>成的</w:t>
      </w:r>
      <w:r>
        <w:rPr>
          <w:rFonts w:ascii="Times New Roman" w:hAnsi="Times New Roman" w:eastAsia="仿宋_GB2312"/>
          <w:color w:val="auto"/>
          <w:kern w:val="0"/>
          <w:sz w:val="21"/>
          <w:szCs w:val="21"/>
          <w:highlight w:val="none"/>
        </w:rPr>
        <w:t>工程应当按照合同约定进行计量</w:t>
      </w:r>
      <w:r>
        <w:rPr>
          <w:rFonts w:hint="eastAsia" w:ascii="Times New Roman" w:hAnsi="Times New Roman" w:eastAsia="仿宋_GB2312"/>
          <w:color w:val="auto"/>
          <w:kern w:val="0"/>
          <w:sz w:val="21"/>
          <w:szCs w:val="21"/>
          <w:highlight w:val="none"/>
        </w:rPr>
        <w:t>支付</w:t>
      </w:r>
      <w:r>
        <w:rPr>
          <w:rFonts w:ascii="Times New Roman" w:hAnsi="Times New Roman" w:eastAsia="仿宋_GB2312"/>
          <w:color w:val="auto"/>
          <w:kern w:val="0"/>
          <w:sz w:val="21"/>
          <w:szCs w:val="21"/>
          <w:highlight w:val="none"/>
        </w:rPr>
        <w:t>。</w:t>
      </w:r>
    </w:p>
    <w:p w14:paraId="77A03FDF">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17.3.2 不可抗力导致的人员伤亡、财产损失、费用增加和（或）工期延误等后果，由合同当事人按以下原则承担：</w:t>
      </w:r>
    </w:p>
    <w:p w14:paraId="14761549">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（1）永久工程、已运至施工现场的材料和工程设备的损坏，以及因工程损坏造成的第三人人员伤亡和财产损失由发包人承担；</w:t>
      </w:r>
    </w:p>
    <w:p w14:paraId="64DFA372">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（2）承包人施工设备的损坏由承包人承担；</w:t>
      </w:r>
    </w:p>
    <w:p w14:paraId="7FB8B628">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（3）发包人和承包人承担各自人员伤亡和财产的损失；</w:t>
      </w:r>
    </w:p>
    <w:p w14:paraId="3827A21B">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（4）因不可抗力影响承包人履行合同约定的义务，已经引起或将引起工期延误的，应当顺延工期，由此导致承包人停工的费用损失由发包人和承包人合理分担，停工期间必须支付的工人工资由发包人承担；</w:t>
      </w:r>
    </w:p>
    <w:p w14:paraId="65854AC6">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（5）因不可抗力引起或将引起工期延误，发包人要求赶工的，由此增加的赶工费用由发包人承担；</w:t>
      </w:r>
    </w:p>
    <w:p w14:paraId="20C59B76">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（6）承包人在停工期间按照发包人要求照管、清理和修复工程的费用由发包人承担。</w:t>
      </w:r>
    </w:p>
    <w:p w14:paraId="6929A357">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不可抗力发生后，合同当事人均应采取措施尽量避免和减少损失的扩大，任何一方当事人没有采取有效措施导致损失扩大的，应对扩大的损失承担责任。</w:t>
      </w:r>
    </w:p>
    <w:p w14:paraId="5396C293">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因合同一方迟延履行合同义务，在迟延履行期间遭遇不可抗力的，不免除其违约责任。</w:t>
      </w:r>
    </w:p>
    <w:p w14:paraId="0081EBA0">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175" w:name="_Toc351203611"/>
      <w:bookmarkStart w:id="1176" w:name="_Toc337558827"/>
      <w:r>
        <w:rPr>
          <w:rFonts w:ascii="Times New Roman" w:hAnsi="Times New Roman" w:eastAsia="黑体"/>
          <w:b w:val="0"/>
          <w:color w:val="auto"/>
          <w:sz w:val="21"/>
          <w:szCs w:val="21"/>
          <w:highlight w:val="none"/>
        </w:rPr>
        <w:t>17.4 因不可抗力解除合同</w:t>
      </w:r>
      <w:bookmarkEnd w:id="1175"/>
    </w:p>
    <w:bookmarkEnd w:id="1176"/>
    <w:p w14:paraId="4ED0B588">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因不可抗力导致合同无法履行连续超过84天或累计超过140天的，发包人和承包人均有权解除合同。合同解除后，由双方当事人按照第4.4款</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商定或确定</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商定或确定发包人应支付的款项，该款项包括：</w:t>
      </w:r>
    </w:p>
    <w:p w14:paraId="616DF933">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（1）合同解除前承包人已完成工作的价款；</w:t>
      </w:r>
    </w:p>
    <w:p w14:paraId="4029B403">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（2）承包人为工程订购的并已交付给承包人，或承包人有责任接受交付的材料、工程设备和其他物品的价款；</w:t>
      </w:r>
    </w:p>
    <w:p w14:paraId="057CBCBB">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（3）发包人要求承包人退货或解除订货合同而产生的费用，或因不能退货或解除合同而产生的损失；</w:t>
      </w:r>
    </w:p>
    <w:p w14:paraId="07E3CD14">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（4）承包人撤离施工现场以及遣散承包人人员的费用；</w:t>
      </w:r>
    </w:p>
    <w:p w14:paraId="36C08AD8">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（5）按照合同约定在合同解除前应支付给承包人的其他款项；</w:t>
      </w:r>
    </w:p>
    <w:p w14:paraId="20F28B98">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（6）扣减承包人按照合同约定应向发包人支付的款项；</w:t>
      </w:r>
    </w:p>
    <w:p w14:paraId="426CEE3F">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（7）双方商定或确定的其他款项。</w:t>
      </w:r>
    </w:p>
    <w:p w14:paraId="5358D2D6">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除专用合同条款另有约定外，合同解除后，发包人应在商定或确定上述款项后28天内完成上述款项的支付。</w:t>
      </w:r>
    </w:p>
    <w:p w14:paraId="1BC13FF9">
      <w:pPr>
        <w:pStyle w:val="5"/>
        <w:pageBreakBefore w:val="0"/>
        <w:widowControl w:val="0"/>
        <w:kinsoku/>
        <w:wordWrap/>
        <w:overflowPunct/>
        <w:topLinePunct w:val="0"/>
        <w:bidi w:val="0"/>
        <w:adjustRightInd w:val="0"/>
        <w:snapToGrid w:val="0"/>
        <w:spacing w:before="0" w:after="0" w:line="360" w:lineRule="auto"/>
        <w:textAlignment w:val="auto"/>
        <w:outlineLvl w:val="3"/>
        <w:rPr>
          <w:rFonts w:eastAsia="黑体"/>
          <w:bCs/>
          <w:color w:val="auto"/>
          <w:sz w:val="21"/>
          <w:szCs w:val="21"/>
          <w:highlight w:val="none"/>
        </w:rPr>
      </w:pPr>
      <w:bookmarkStart w:id="1177" w:name="_Toc351203612"/>
      <w:bookmarkStart w:id="1178" w:name="_Toc28977"/>
      <w:bookmarkStart w:id="1179" w:name="_Toc1455"/>
      <w:bookmarkStart w:id="1180" w:name="_Toc337558828"/>
      <w:bookmarkStart w:id="1181" w:name="_Toc296503120"/>
      <w:bookmarkStart w:id="1182" w:name="_Toc296346621"/>
      <w:r>
        <w:rPr>
          <w:rFonts w:eastAsia="黑体"/>
          <w:bCs/>
          <w:color w:val="auto"/>
          <w:sz w:val="21"/>
          <w:szCs w:val="21"/>
          <w:highlight w:val="none"/>
        </w:rPr>
        <w:t>18. 保险</w:t>
      </w:r>
      <w:bookmarkEnd w:id="1177"/>
      <w:bookmarkEnd w:id="1178"/>
      <w:bookmarkEnd w:id="1179"/>
    </w:p>
    <w:bookmarkEnd w:id="1180"/>
    <w:bookmarkEnd w:id="1181"/>
    <w:bookmarkEnd w:id="1182"/>
    <w:p w14:paraId="789DA087">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183" w:name="_Toc351203613"/>
      <w:bookmarkStart w:id="1184" w:name="_Toc296346622"/>
      <w:bookmarkStart w:id="1185" w:name="_Toc337558829"/>
      <w:bookmarkStart w:id="1186" w:name="_Toc296503121"/>
      <w:r>
        <w:rPr>
          <w:rFonts w:ascii="Times New Roman" w:hAnsi="Times New Roman" w:eastAsia="黑体"/>
          <w:b w:val="0"/>
          <w:color w:val="auto"/>
          <w:sz w:val="21"/>
          <w:szCs w:val="21"/>
          <w:highlight w:val="none"/>
        </w:rPr>
        <w:t>18.1 工程保险</w:t>
      </w:r>
      <w:bookmarkEnd w:id="1183"/>
    </w:p>
    <w:bookmarkEnd w:id="1184"/>
    <w:bookmarkEnd w:id="1185"/>
    <w:bookmarkEnd w:id="1186"/>
    <w:p w14:paraId="73794348">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除专用合同条款另有约定外，发包人应投保建筑工程一切险或安装工程一切险；发包人委托承包人投保的，因投保产生的保险费和其他相关费用由发包人承担。</w:t>
      </w:r>
    </w:p>
    <w:p w14:paraId="57268C4D">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187" w:name="_Toc351203614"/>
      <w:bookmarkStart w:id="1188" w:name="_Toc296503122"/>
      <w:bookmarkStart w:id="1189" w:name="_Toc296346623"/>
      <w:bookmarkStart w:id="1190" w:name="_Toc337558830"/>
      <w:r>
        <w:rPr>
          <w:rFonts w:ascii="Times New Roman" w:hAnsi="Times New Roman" w:eastAsia="黑体"/>
          <w:b w:val="0"/>
          <w:color w:val="auto"/>
          <w:sz w:val="21"/>
          <w:szCs w:val="21"/>
          <w:highlight w:val="none"/>
        </w:rPr>
        <w:t>18.2 工伤保险</w:t>
      </w:r>
      <w:bookmarkEnd w:id="1187"/>
    </w:p>
    <w:bookmarkEnd w:id="1188"/>
    <w:bookmarkEnd w:id="1189"/>
    <w:bookmarkEnd w:id="1190"/>
    <w:p w14:paraId="64B0D746">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18.2.1 发包人应依照法律规定参加工伤保险，并为在施工现场的全部员工办理工伤保险，缴纳工伤保险费，并要求监理人及由发包人为履行合同聘请的第三方依法参加工伤保险。</w:t>
      </w:r>
    </w:p>
    <w:p w14:paraId="61D8EE64">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18.2.2 承包人应依照法律规定参加工伤保险，并为其履行合同的全部员工办理工伤保险，缴纳工伤保险费，并要求分包人及由承包人为履行合同聘请的第三方依法参加工伤保险。</w:t>
      </w:r>
    </w:p>
    <w:p w14:paraId="46064B67">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191" w:name="_Toc351203615"/>
      <w:bookmarkStart w:id="1192" w:name="_Toc296503125"/>
      <w:bookmarkStart w:id="1193" w:name="_Toc337558831"/>
      <w:bookmarkStart w:id="1194" w:name="_Toc296346626"/>
      <w:r>
        <w:rPr>
          <w:rFonts w:ascii="Times New Roman" w:hAnsi="Times New Roman" w:eastAsia="黑体"/>
          <w:b w:val="0"/>
          <w:color w:val="auto"/>
          <w:sz w:val="21"/>
          <w:szCs w:val="21"/>
          <w:highlight w:val="none"/>
        </w:rPr>
        <w:t>18.3其他保险</w:t>
      </w:r>
      <w:bookmarkEnd w:id="1191"/>
    </w:p>
    <w:bookmarkEnd w:id="1192"/>
    <w:bookmarkEnd w:id="1193"/>
    <w:bookmarkEnd w:id="1194"/>
    <w:p w14:paraId="646A84CD">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发包人和承包人可以为其施工现场的全部人员办理意外伤害保险并支付保险费，包括其员工及为履行合同聘请的第三方的人员，具体事项由合同当事人在专用合同条款约定。</w:t>
      </w:r>
    </w:p>
    <w:p w14:paraId="6303CC15">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除专用合同条款另有约定外，承包人应为其施工设备等办理财产保险。</w:t>
      </w:r>
    </w:p>
    <w:p w14:paraId="46CA3DE0">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195" w:name="_Toc351203616"/>
      <w:r>
        <w:rPr>
          <w:rFonts w:ascii="Times New Roman" w:hAnsi="Times New Roman" w:eastAsia="黑体"/>
          <w:b w:val="0"/>
          <w:color w:val="auto"/>
          <w:sz w:val="21"/>
          <w:szCs w:val="21"/>
          <w:highlight w:val="none"/>
        </w:rPr>
        <w:t>18.4持续保险</w:t>
      </w:r>
      <w:bookmarkEnd w:id="1195"/>
    </w:p>
    <w:p w14:paraId="5EC80014">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合同当事人应与保险人保持联系，使保险人能够随时了解工程实施中的变动，并确保按保险合同条款要求持续保险。</w:t>
      </w:r>
    </w:p>
    <w:p w14:paraId="060AF095">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196" w:name="_Toc351203617"/>
      <w:bookmarkStart w:id="1197" w:name="_Toc337558832"/>
      <w:bookmarkStart w:id="1198" w:name="_Toc296503126"/>
      <w:bookmarkStart w:id="1199" w:name="_Toc296346627"/>
      <w:r>
        <w:rPr>
          <w:rFonts w:ascii="Times New Roman" w:hAnsi="Times New Roman" w:eastAsia="黑体"/>
          <w:b w:val="0"/>
          <w:color w:val="auto"/>
          <w:sz w:val="21"/>
          <w:szCs w:val="21"/>
          <w:highlight w:val="none"/>
        </w:rPr>
        <w:t>18.5 保险凭证</w:t>
      </w:r>
      <w:bookmarkEnd w:id="1196"/>
    </w:p>
    <w:bookmarkEnd w:id="1197"/>
    <w:bookmarkEnd w:id="1198"/>
    <w:bookmarkEnd w:id="1199"/>
    <w:p w14:paraId="7B90FCB3">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合同当事人应及时向另一方当事人提交其已投保的各项保险的凭证和保险单复印件。</w:t>
      </w:r>
    </w:p>
    <w:p w14:paraId="6186D916">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200" w:name="_Toc351203618"/>
      <w:bookmarkStart w:id="1201" w:name="_Toc296346628"/>
      <w:bookmarkStart w:id="1202" w:name="_Toc337558833"/>
      <w:bookmarkStart w:id="1203" w:name="_Toc296503127"/>
      <w:r>
        <w:rPr>
          <w:rFonts w:ascii="Times New Roman" w:hAnsi="Times New Roman" w:eastAsia="黑体"/>
          <w:b w:val="0"/>
          <w:color w:val="auto"/>
          <w:sz w:val="21"/>
          <w:szCs w:val="21"/>
          <w:highlight w:val="none"/>
        </w:rPr>
        <w:t>18.6 未按约定投保的补救</w:t>
      </w:r>
      <w:bookmarkEnd w:id="1200"/>
    </w:p>
    <w:bookmarkEnd w:id="1201"/>
    <w:bookmarkEnd w:id="1202"/>
    <w:bookmarkEnd w:id="1203"/>
    <w:p w14:paraId="7FE0DECF">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18.6.1发包人未按合同约定办理保险，或未能使保险持续有效的，则承包人可代为办理，所需费用由发包人承担。发包人未按合同约定办理保险，导致未能得到足额赔偿的，由发包人负责补足。</w:t>
      </w:r>
    </w:p>
    <w:p w14:paraId="433F7E32">
      <w:pPr>
        <w:pageBreakBefore w:val="0"/>
        <w:widowControl w:val="0"/>
        <w:kinsoku/>
        <w:wordWrap/>
        <w:overflowPunct/>
        <w:topLinePunct w:val="0"/>
        <w:bidi w:val="0"/>
        <w:adjustRightInd w:val="0"/>
        <w:snapToGrid w:val="0"/>
        <w:spacing w:line="360" w:lineRule="auto"/>
        <w:ind w:firstLine="420" w:firstLineChars="200"/>
        <w:jc w:val="left"/>
        <w:textAlignment w:val="auto"/>
        <w:rPr>
          <w:rFonts w:hint="eastAsia"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18.6.2承包人未按合同约定办理保险，或未能使保险持续有效的，则发包人可代为办理，所需费用由承包人承担。承包人未按合同约定办理保险，导致未能得到足额赔偿的，由承包人负责补足。</w:t>
      </w:r>
    </w:p>
    <w:p w14:paraId="762774B4">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204" w:name="_Toc351203619"/>
      <w:bookmarkStart w:id="1205" w:name="_Toc337558834"/>
      <w:r>
        <w:rPr>
          <w:rFonts w:ascii="Times New Roman" w:hAnsi="Times New Roman" w:eastAsia="黑体"/>
          <w:b w:val="0"/>
          <w:color w:val="auto"/>
          <w:sz w:val="21"/>
          <w:szCs w:val="21"/>
          <w:highlight w:val="none"/>
        </w:rPr>
        <w:t>18.7 通知义务</w:t>
      </w:r>
      <w:bookmarkEnd w:id="1204"/>
    </w:p>
    <w:bookmarkEnd w:id="1205"/>
    <w:p w14:paraId="6474AB73">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除专用合同条款另有约定外，发包人变更除工伤保险之外的保险合同时，应事先征得承包人同意，并通知监理人；承包人变更除工伤保险之外的保险合同时，应事先征得发包人同意，并通知监理人。</w:t>
      </w:r>
    </w:p>
    <w:p w14:paraId="5E2F72B4">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保险事故发生时，投保人应按照保险合同规定的条件和期限及时向保险人报告。发包人和承包人应当在知道保险事故发生后及时通知对方。</w:t>
      </w:r>
    </w:p>
    <w:p w14:paraId="035472D9">
      <w:pPr>
        <w:pStyle w:val="5"/>
        <w:pageBreakBefore w:val="0"/>
        <w:widowControl w:val="0"/>
        <w:kinsoku/>
        <w:wordWrap/>
        <w:overflowPunct/>
        <w:topLinePunct w:val="0"/>
        <w:bidi w:val="0"/>
        <w:adjustRightInd w:val="0"/>
        <w:snapToGrid w:val="0"/>
        <w:spacing w:before="0" w:after="0" w:line="360" w:lineRule="auto"/>
        <w:textAlignment w:val="auto"/>
        <w:outlineLvl w:val="3"/>
        <w:rPr>
          <w:rFonts w:eastAsia="黑体"/>
          <w:bCs/>
          <w:color w:val="auto"/>
          <w:sz w:val="21"/>
          <w:szCs w:val="21"/>
          <w:highlight w:val="none"/>
        </w:rPr>
      </w:pPr>
      <w:bookmarkStart w:id="1206" w:name="_Toc26799"/>
      <w:bookmarkStart w:id="1207" w:name="_Toc5271"/>
      <w:bookmarkStart w:id="1208" w:name="_Toc351203620"/>
      <w:bookmarkStart w:id="1209" w:name="_Toc296346641"/>
      <w:bookmarkStart w:id="1210" w:name="_Toc337558835"/>
      <w:bookmarkStart w:id="1211" w:name="_Toc296503140"/>
      <w:r>
        <w:rPr>
          <w:rFonts w:eastAsia="黑体"/>
          <w:bCs/>
          <w:color w:val="auto"/>
          <w:sz w:val="21"/>
          <w:szCs w:val="21"/>
          <w:highlight w:val="none"/>
        </w:rPr>
        <w:t>19. 索赔</w:t>
      </w:r>
      <w:bookmarkEnd w:id="1206"/>
      <w:bookmarkEnd w:id="1207"/>
      <w:bookmarkEnd w:id="1208"/>
    </w:p>
    <w:bookmarkEnd w:id="1209"/>
    <w:bookmarkEnd w:id="1210"/>
    <w:bookmarkEnd w:id="1211"/>
    <w:p w14:paraId="13343788">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212" w:name="_Toc351203621"/>
      <w:bookmarkStart w:id="1213" w:name="_Toc296503141"/>
      <w:bookmarkStart w:id="1214" w:name="_Toc337558836"/>
      <w:bookmarkStart w:id="1215" w:name="_Toc296346642"/>
      <w:r>
        <w:rPr>
          <w:rFonts w:ascii="Times New Roman" w:hAnsi="Times New Roman" w:eastAsia="黑体"/>
          <w:b w:val="0"/>
          <w:color w:val="auto"/>
          <w:sz w:val="21"/>
          <w:szCs w:val="21"/>
          <w:highlight w:val="none"/>
        </w:rPr>
        <w:t>19.1承包人的索赔</w:t>
      </w:r>
      <w:bookmarkEnd w:id="1212"/>
    </w:p>
    <w:bookmarkEnd w:id="1213"/>
    <w:bookmarkEnd w:id="1214"/>
    <w:bookmarkEnd w:id="1215"/>
    <w:p w14:paraId="685DADF2">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根据合同约定，承包人认为有权得到追加付款和（或）延长工期的，应按以下程序向</w:t>
      </w:r>
      <w:r>
        <w:rPr>
          <w:rFonts w:hint="eastAsia" w:ascii="Times New Roman" w:hAnsi="Times New Roman" w:eastAsia="仿宋_GB2312"/>
          <w:color w:val="auto"/>
          <w:kern w:val="0"/>
          <w:sz w:val="21"/>
          <w:szCs w:val="21"/>
          <w:highlight w:val="none"/>
        </w:rPr>
        <w:t>发包</w:t>
      </w:r>
      <w:r>
        <w:rPr>
          <w:rFonts w:ascii="Times New Roman" w:hAnsi="Times New Roman" w:eastAsia="仿宋_GB2312"/>
          <w:color w:val="auto"/>
          <w:kern w:val="0"/>
          <w:sz w:val="21"/>
          <w:szCs w:val="21"/>
          <w:highlight w:val="none"/>
        </w:rPr>
        <w:t>人提出索赔：</w:t>
      </w:r>
    </w:p>
    <w:p w14:paraId="6C879913">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4F09D7C5">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（2）承包人应在发出索赔意向通知书后28天内，向监理人正式递交索赔报告；索赔报告应详细说明索赔理由以及要求追加的付款金额和（或）延长的工期，并附必要的记录和证明材料；</w:t>
      </w:r>
    </w:p>
    <w:p w14:paraId="0E539A31">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（3）索赔事件具有持续影响的，承包人应按合理时间间隔继续递交延续索赔通知，说明持续影响的实际情况和记录，列出累计的追加付款金额和（或）工期延长天数；</w:t>
      </w:r>
    </w:p>
    <w:p w14:paraId="40C6B3BB">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（4）在索赔事件影响结束后28天内，承包人应向监理人递交最终索赔报告，说明最终要求索赔的追加付款金额和（或）延长的工期，并附必要的记录和证明材料。</w:t>
      </w:r>
    </w:p>
    <w:p w14:paraId="00ED3E9E">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216" w:name="_Toc351203622"/>
      <w:bookmarkStart w:id="1217" w:name="_Toc337558837"/>
      <w:bookmarkStart w:id="1218" w:name="_Toc296346643"/>
      <w:bookmarkStart w:id="1219" w:name="_Toc296503142"/>
      <w:r>
        <w:rPr>
          <w:rFonts w:ascii="Times New Roman" w:hAnsi="Times New Roman" w:eastAsia="黑体"/>
          <w:b w:val="0"/>
          <w:color w:val="auto"/>
          <w:sz w:val="21"/>
          <w:szCs w:val="21"/>
          <w:highlight w:val="none"/>
        </w:rPr>
        <w:t>19.2 对承包人索赔的处理</w:t>
      </w:r>
      <w:bookmarkEnd w:id="1216"/>
    </w:p>
    <w:bookmarkEnd w:id="1217"/>
    <w:bookmarkEnd w:id="1218"/>
    <w:bookmarkEnd w:id="1219"/>
    <w:p w14:paraId="0C815919">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对承包人索赔的处理如下：</w:t>
      </w:r>
    </w:p>
    <w:p w14:paraId="601E44BD">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（1）监理人应在收到索赔报告后14天内完成审查并报送发包人。监理人对索赔报告存在异议的，有权要求承包人提交全部原始记录副本；</w:t>
      </w:r>
    </w:p>
    <w:p w14:paraId="047890FB">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（2）发包人应在监理人收到索赔报告或有关索赔的进一步证明材料后的28天内，由监理人向承包人出具经发包人签认的索赔处理结果。发包人逾期答复的，则视为认可承包人的索赔要求；</w:t>
      </w:r>
    </w:p>
    <w:p w14:paraId="19E8434C">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（3）承包人接受索赔处理结果的，索赔款项在当期进度款中进行支付；承包人不接受索赔处理结果的，按照第20条</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争议解决</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约定处理。</w:t>
      </w:r>
    </w:p>
    <w:p w14:paraId="3902BE30">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220" w:name="_Toc351203623"/>
      <w:bookmarkStart w:id="1221" w:name="_Toc296346644"/>
      <w:bookmarkStart w:id="1222" w:name="_Toc337558838"/>
      <w:bookmarkStart w:id="1223" w:name="_Toc296503143"/>
      <w:r>
        <w:rPr>
          <w:rFonts w:ascii="Times New Roman" w:hAnsi="Times New Roman" w:eastAsia="黑体"/>
          <w:b w:val="0"/>
          <w:color w:val="auto"/>
          <w:sz w:val="21"/>
          <w:szCs w:val="21"/>
          <w:highlight w:val="none"/>
        </w:rPr>
        <w:t>19.3发包人的索赔</w:t>
      </w:r>
      <w:bookmarkEnd w:id="1220"/>
    </w:p>
    <w:bookmarkEnd w:id="1221"/>
    <w:bookmarkEnd w:id="1222"/>
    <w:bookmarkEnd w:id="1223"/>
    <w:p w14:paraId="26E2A9C5">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根据合同约定，发包人认为有权得到赔付金额和（或）延长缺陷责任期的，监理人应向承包人发出通知并附有详细的证明。</w:t>
      </w:r>
    </w:p>
    <w:p w14:paraId="6CF2CF3C">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发包人应在知道或应当知道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w:t>
      </w:r>
    </w:p>
    <w:p w14:paraId="24121A61">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224" w:name="_Toc351203624"/>
      <w:bookmarkStart w:id="1225" w:name="_Toc296346645"/>
      <w:bookmarkStart w:id="1226" w:name="_Toc337558839"/>
      <w:bookmarkStart w:id="1227" w:name="_Toc296503144"/>
      <w:r>
        <w:rPr>
          <w:rFonts w:ascii="Times New Roman" w:hAnsi="Times New Roman" w:eastAsia="黑体"/>
          <w:b w:val="0"/>
          <w:color w:val="auto"/>
          <w:sz w:val="21"/>
          <w:szCs w:val="21"/>
          <w:highlight w:val="none"/>
        </w:rPr>
        <w:t>19.4 对发包人索赔的处理</w:t>
      </w:r>
      <w:bookmarkEnd w:id="1224"/>
    </w:p>
    <w:bookmarkEnd w:id="1225"/>
    <w:bookmarkEnd w:id="1226"/>
    <w:bookmarkEnd w:id="1227"/>
    <w:p w14:paraId="65C06B7E">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对发包人索赔的处理如下：</w:t>
      </w:r>
    </w:p>
    <w:p w14:paraId="5E9CE6E3">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（1）承包人收到发包人提交的索赔报告后，应及时审查索赔报告的内容、查验发包人证明材料；</w:t>
      </w:r>
    </w:p>
    <w:p w14:paraId="4D2C10DE">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（2）承包人应在收到索赔报告或有关索赔的进一步证明材料后28天内，将索赔处理结果答复发包人。如果承包人未在上述期限内作出答复的，则视为对发包人索赔要求的认可；</w:t>
      </w:r>
    </w:p>
    <w:p w14:paraId="265E1978">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（3）承包人接受索赔处理结果的，发包人可从应支付给承包人的合同价款中扣除赔付的金额或延长缺陷责任期；发包人不接受索赔处理结果的，按第20条</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争议解决</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约定处理。</w:t>
      </w:r>
    </w:p>
    <w:p w14:paraId="07D4A1E2">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228" w:name="_Toc351203625"/>
      <w:r>
        <w:rPr>
          <w:rFonts w:ascii="Times New Roman" w:hAnsi="Times New Roman" w:eastAsia="黑体"/>
          <w:b w:val="0"/>
          <w:color w:val="auto"/>
          <w:sz w:val="21"/>
          <w:szCs w:val="21"/>
          <w:highlight w:val="none"/>
        </w:rPr>
        <w:t>19.5 提出索赔的期限</w:t>
      </w:r>
      <w:bookmarkEnd w:id="1228"/>
    </w:p>
    <w:p w14:paraId="024C5B37">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（1）承包人按第14.2款</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竣工结算审核</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约定接收竣工付款证书后，应被视为已无权再提出在工程接收证书颁发前所发生的任何索赔。</w:t>
      </w:r>
    </w:p>
    <w:p w14:paraId="2DC5AE90">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（2）承包人按第14.4款</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最终结清</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提交的最终结清申请单中，只限于提出工程接收证书颁发后发生的索赔。提出索赔的期限自接受最终结清证书时终止。</w:t>
      </w:r>
    </w:p>
    <w:p w14:paraId="64F86600">
      <w:pPr>
        <w:pStyle w:val="5"/>
        <w:pageBreakBefore w:val="0"/>
        <w:widowControl w:val="0"/>
        <w:kinsoku/>
        <w:wordWrap/>
        <w:overflowPunct/>
        <w:topLinePunct w:val="0"/>
        <w:bidi w:val="0"/>
        <w:adjustRightInd w:val="0"/>
        <w:snapToGrid w:val="0"/>
        <w:spacing w:before="0" w:after="0" w:line="360" w:lineRule="auto"/>
        <w:textAlignment w:val="auto"/>
        <w:outlineLvl w:val="3"/>
        <w:rPr>
          <w:rFonts w:eastAsia="黑体"/>
          <w:bCs/>
          <w:color w:val="auto"/>
          <w:sz w:val="21"/>
          <w:szCs w:val="21"/>
          <w:highlight w:val="none"/>
        </w:rPr>
      </w:pPr>
      <w:bookmarkStart w:id="1229" w:name="_Toc351203626"/>
      <w:bookmarkStart w:id="1230" w:name="_Toc13367"/>
      <w:bookmarkStart w:id="1231" w:name="_Toc16307"/>
      <w:r>
        <w:rPr>
          <w:rFonts w:eastAsia="黑体"/>
          <w:bCs/>
          <w:color w:val="auto"/>
          <w:sz w:val="21"/>
          <w:szCs w:val="21"/>
          <w:highlight w:val="none"/>
        </w:rPr>
        <w:t>20</w:t>
      </w:r>
      <w:bookmarkStart w:id="1232" w:name="_Toc296503146"/>
      <w:bookmarkStart w:id="1233" w:name="_Toc296346647"/>
      <w:bookmarkStart w:id="1234" w:name="_Toc337558840"/>
      <w:r>
        <w:rPr>
          <w:rFonts w:eastAsia="黑体"/>
          <w:bCs/>
          <w:color w:val="auto"/>
          <w:sz w:val="21"/>
          <w:szCs w:val="21"/>
          <w:highlight w:val="none"/>
        </w:rPr>
        <w:t>. 争议解决</w:t>
      </w:r>
      <w:bookmarkEnd w:id="1229"/>
      <w:bookmarkEnd w:id="1230"/>
      <w:bookmarkEnd w:id="1231"/>
    </w:p>
    <w:bookmarkEnd w:id="1232"/>
    <w:bookmarkEnd w:id="1233"/>
    <w:bookmarkEnd w:id="1234"/>
    <w:p w14:paraId="54660CFE">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235" w:name="_Toc351203627"/>
      <w:bookmarkStart w:id="1236" w:name="_Toc337558841"/>
      <w:bookmarkStart w:id="1237" w:name="_Toc296503147"/>
      <w:bookmarkStart w:id="1238" w:name="_Toc296346648"/>
      <w:r>
        <w:rPr>
          <w:rFonts w:ascii="Times New Roman" w:hAnsi="Times New Roman" w:eastAsia="黑体"/>
          <w:b w:val="0"/>
          <w:color w:val="auto"/>
          <w:sz w:val="21"/>
          <w:szCs w:val="21"/>
          <w:highlight w:val="none"/>
        </w:rPr>
        <w:t>20.1和解</w:t>
      </w:r>
      <w:bookmarkEnd w:id="1235"/>
    </w:p>
    <w:bookmarkEnd w:id="1236"/>
    <w:bookmarkEnd w:id="1237"/>
    <w:bookmarkEnd w:id="1238"/>
    <w:p w14:paraId="4FC81569">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合同当事人可以就争议自行和解，自行和解达成协议的经双方签字并盖章后作为合同补充文件，双方均应遵照执行。</w:t>
      </w:r>
    </w:p>
    <w:p w14:paraId="799B4A29">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239" w:name="_Toc351203628"/>
      <w:r>
        <w:rPr>
          <w:rFonts w:ascii="Times New Roman" w:hAnsi="Times New Roman" w:eastAsia="黑体"/>
          <w:b w:val="0"/>
          <w:color w:val="auto"/>
          <w:sz w:val="21"/>
          <w:szCs w:val="21"/>
          <w:highlight w:val="none"/>
        </w:rPr>
        <w:t>20</w:t>
      </w:r>
      <w:bookmarkStart w:id="1240" w:name="_Toc296346649"/>
      <w:bookmarkStart w:id="1241" w:name="_Toc337558842"/>
      <w:bookmarkStart w:id="1242" w:name="_Toc296503148"/>
      <w:r>
        <w:rPr>
          <w:rFonts w:ascii="Times New Roman" w:hAnsi="Times New Roman" w:eastAsia="黑体"/>
          <w:b w:val="0"/>
          <w:color w:val="auto"/>
          <w:sz w:val="21"/>
          <w:szCs w:val="21"/>
          <w:highlight w:val="none"/>
        </w:rPr>
        <w:t>.2调解</w:t>
      </w:r>
      <w:bookmarkEnd w:id="1239"/>
    </w:p>
    <w:bookmarkEnd w:id="1240"/>
    <w:bookmarkEnd w:id="1241"/>
    <w:bookmarkEnd w:id="1242"/>
    <w:p w14:paraId="0BA6B713">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合同当事人可以就争议请求建设行政主管部门</w:t>
      </w:r>
      <w:r>
        <w:rPr>
          <w:rFonts w:hint="eastAsia" w:ascii="Times New Roman" w:hAnsi="Times New Roman" w:eastAsia="仿宋_GB2312"/>
          <w:color w:val="auto"/>
          <w:kern w:val="0"/>
          <w:sz w:val="21"/>
          <w:szCs w:val="21"/>
          <w:highlight w:val="none"/>
        </w:rPr>
        <w:t>、行业协会</w:t>
      </w:r>
      <w:r>
        <w:rPr>
          <w:rFonts w:ascii="Times New Roman" w:hAnsi="Times New Roman" w:eastAsia="仿宋_GB2312"/>
          <w:color w:val="auto"/>
          <w:kern w:val="0"/>
          <w:sz w:val="21"/>
          <w:szCs w:val="21"/>
          <w:highlight w:val="none"/>
        </w:rPr>
        <w:t>或</w:t>
      </w:r>
      <w:r>
        <w:rPr>
          <w:rFonts w:hint="eastAsia" w:ascii="Times New Roman" w:hAnsi="Times New Roman" w:eastAsia="仿宋_GB2312"/>
          <w:color w:val="auto"/>
          <w:kern w:val="0"/>
          <w:sz w:val="21"/>
          <w:szCs w:val="21"/>
          <w:highlight w:val="none"/>
        </w:rPr>
        <w:t>其他</w:t>
      </w:r>
      <w:r>
        <w:rPr>
          <w:rFonts w:ascii="Times New Roman" w:hAnsi="Times New Roman" w:eastAsia="仿宋_GB2312"/>
          <w:color w:val="auto"/>
          <w:kern w:val="0"/>
          <w:sz w:val="21"/>
          <w:szCs w:val="21"/>
          <w:highlight w:val="none"/>
        </w:rPr>
        <w:t>第三方进行调解，调解达成协议的，经双方签字并盖章后作为合同补充文件，双方均应遵照执行。</w:t>
      </w:r>
    </w:p>
    <w:p w14:paraId="255D6000">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243" w:name="_Toc351203629"/>
      <w:bookmarkStart w:id="1244" w:name="_Toc296346650"/>
      <w:bookmarkStart w:id="1245" w:name="_Toc296503149"/>
      <w:bookmarkStart w:id="1246" w:name="_Toc337558843"/>
      <w:r>
        <w:rPr>
          <w:rFonts w:ascii="Times New Roman" w:hAnsi="Times New Roman" w:eastAsia="黑体"/>
          <w:b w:val="0"/>
          <w:color w:val="auto"/>
          <w:sz w:val="21"/>
          <w:szCs w:val="21"/>
          <w:highlight w:val="none"/>
        </w:rPr>
        <w:t>20.3争议评审</w:t>
      </w:r>
      <w:bookmarkEnd w:id="1243"/>
    </w:p>
    <w:bookmarkEnd w:id="1244"/>
    <w:bookmarkEnd w:id="1245"/>
    <w:bookmarkEnd w:id="1246"/>
    <w:p w14:paraId="46024CD7">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合同当事人在专用合同条款中约定采取争议评审方式解决争议</w:t>
      </w:r>
      <w:r>
        <w:rPr>
          <w:rFonts w:hint="eastAsia" w:ascii="Times New Roman" w:hAnsi="Times New Roman" w:eastAsia="仿宋_GB2312"/>
          <w:color w:val="auto"/>
          <w:kern w:val="0"/>
          <w:sz w:val="21"/>
          <w:szCs w:val="21"/>
          <w:highlight w:val="none"/>
        </w:rPr>
        <w:t>以及评审规则，并</w:t>
      </w:r>
      <w:r>
        <w:rPr>
          <w:rFonts w:ascii="Times New Roman" w:hAnsi="Times New Roman" w:eastAsia="仿宋_GB2312"/>
          <w:color w:val="auto"/>
          <w:kern w:val="0"/>
          <w:sz w:val="21"/>
          <w:szCs w:val="21"/>
          <w:highlight w:val="none"/>
        </w:rPr>
        <w:t xml:space="preserve">按下列约定执行： </w:t>
      </w:r>
    </w:p>
    <w:p w14:paraId="07036525">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20.3.1 争议评审小组的确定</w:t>
      </w:r>
    </w:p>
    <w:p w14:paraId="6C10ECBD">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合同当事人可以共同选择一名或三名争议评审员，组成争议评审小组。除专用合同条款另有约定外，合同当事人应当自合同签订后28天内，或者争议发生后14天内，选定争议评审员。</w:t>
      </w:r>
    </w:p>
    <w:p w14:paraId="1FFE6567">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选择一名争议评审员的，由合同当事人共同确定；选择三名争议评审员的，各自选定一名，第三名成员为首席争议评审员，由合同当事人共同确定或由合同当事人委托已选定的争议评审员共同确定，或由专用合同条款约定的</w:t>
      </w:r>
      <w:r>
        <w:rPr>
          <w:rFonts w:hint="eastAsia" w:ascii="Times New Roman" w:hAnsi="Times New Roman" w:eastAsia="仿宋_GB2312"/>
          <w:color w:val="auto"/>
          <w:kern w:val="0"/>
          <w:sz w:val="21"/>
          <w:szCs w:val="21"/>
          <w:highlight w:val="none"/>
        </w:rPr>
        <w:t>评审</w:t>
      </w:r>
      <w:r>
        <w:rPr>
          <w:rFonts w:ascii="Times New Roman" w:hAnsi="Times New Roman" w:eastAsia="仿宋_GB2312"/>
          <w:color w:val="auto"/>
          <w:kern w:val="0"/>
          <w:sz w:val="21"/>
          <w:szCs w:val="21"/>
          <w:highlight w:val="none"/>
        </w:rPr>
        <w:t xml:space="preserve">机构指定第三名首席争议评审员。 </w:t>
      </w:r>
    </w:p>
    <w:p w14:paraId="1AE00C68">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除专用合同条款另有约定外，评审员报酬由发包人和承包人各承担一半。</w:t>
      </w:r>
    </w:p>
    <w:p w14:paraId="481609FD">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20.3.2 争议评审小组的决定</w:t>
      </w:r>
    </w:p>
    <w:p w14:paraId="3B051D94">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14天内作出书面决定，并说明理由。合同当事人可以在专用合同条款中对本项事项另行约定。</w:t>
      </w:r>
    </w:p>
    <w:p w14:paraId="13A33EED">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20.3.3 争议评审小组决定的效力</w:t>
      </w:r>
    </w:p>
    <w:p w14:paraId="4A47C0F6">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争议评审小组作出的书面决定经合同当事人签字确认后，对双方具有约束力，双方应遵照执行。</w:t>
      </w:r>
    </w:p>
    <w:p w14:paraId="01F31027">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任何一方当事人不接受争议评审小组决定</w:t>
      </w:r>
      <w:r>
        <w:rPr>
          <w:rFonts w:hint="eastAsia" w:ascii="Times New Roman" w:hAnsi="Times New Roman" w:eastAsia="仿宋_GB2312"/>
          <w:color w:val="auto"/>
          <w:kern w:val="0"/>
          <w:sz w:val="21"/>
          <w:szCs w:val="21"/>
          <w:highlight w:val="none"/>
        </w:rPr>
        <w:t>或不履行争议评审小组决定的</w:t>
      </w:r>
      <w:r>
        <w:rPr>
          <w:rFonts w:ascii="Times New Roman" w:hAnsi="Times New Roman" w:eastAsia="仿宋_GB2312"/>
          <w:color w:val="auto"/>
          <w:kern w:val="0"/>
          <w:sz w:val="21"/>
          <w:szCs w:val="21"/>
          <w:highlight w:val="none"/>
        </w:rPr>
        <w:t>，双方可选择采用其他争议解决方式。</w:t>
      </w:r>
    </w:p>
    <w:p w14:paraId="50FBDBCF">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247" w:name="_Toc351203630"/>
      <w:bookmarkStart w:id="1248" w:name="_Toc337558844"/>
      <w:bookmarkStart w:id="1249" w:name="_Toc296503150"/>
      <w:bookmarkStart w:id="1250" w:name="_Toc296346651"/>
      <w:r>
        <w:rPr>
          <w:rFonts w:ascii="Times New Roman" w:hAnsi="Times New Roman" w:eastAsia="黑体"/>
          <w:b w:val="0"/>
          <w:color w:val="auto"/>
          <w:sz w:val="21"/>
          <w:szCs w:val="21"/>
          <w:highlight w:val="none"/>
        </w:rPr>
        <w:t>20.4仲裁或诉讼</w:t>
      </w:r>
      <w:bookmarkEnd w:id="1247"/>
    </w:p>
    <w:bookmarkEnd w:id="1248"/>
    <w:bookmarkEnd w:id="1249"/>
    <w:bookmarkEnd w:id="1250"/>
    <w:p w14:paraId="1E6F42F3">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因合同及合同有关事项产生的争议，合同当事人可以在专用合同条款中约定以下一种方式解决争议：</w:t>
      </w:r>
    </w:p>
    <w:p w14:paraId="2D5CBAF1">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（1）向约定的仲裁委员会申请仲裁；</w:t>
      </w:r>
    </w:p>
    <w:p w14:paraId="1697A3B4">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（2）向有管辖权的人民法院起诉。</w:t>
      </w:r>
    </w:p>
    <w:p w14:paraId="26813380">
      <w:pPr>
        <w:pStyle w:val="6"/>
        <w:pageBreakBefore w:val="0"/>
        <w:widowControl w:val="0"/>
        <w:kinsoku/>
        <w:wordWrap/>
        <w:overflowPunct/>
        <w:topLinePunct w:val="0"/>
        <w:bidi w:val="0"/>
        <w:adjustRightInd w:val="0"/>
        <w:snapToGrid w:val="0"/>
        <w:spacing w:before="0" w:after="0" w:line="360" w:lineRule="auto"/>
        <w:ind w:firstLine="420" w:firstLineChars="200"/>
        <w:textAlignment w:val="auto"/>
        <w:rPr>
          <w:rFonts w:ascii="Times New Roman" w:hAnsi="Times New Roman" w:eastAsia="黑体"/>
          <w:b w:val="0"/>
          <w:color w:val="auto"/>
          <w:sz w:val="21"/>
          <w:szCs w:val="21"/>
          <w:highlight w:val="none"/>
        </w:rPr>
      </w:pPr>
      <w:bookmarkStart w:id="1251" w:name="_Toc351203631"/>
      <w:bookmarkStart w:id="1252" w:name="_Toc296346653"/>
      <w:bookmarkStart w:id="1253" w:name="_Toc296503152"/>
      <w:bookmarkStart w:id="1254" w:name="_Toc337558845"/>
      <w:r>
        <w:rPr>
          <w:rFonts w:ascii="Times New Roman" w:hAnsi="Times New Roman" w:eastAsia="黑体"/>
          <w:b w:val="0"/>
          <w:color w:val="auto"/>
          <w:sz w:val="21"/>
          <w:szCs w:val="21"/>
          <w:highlight w:val="none"/>
        </w:rPr>
        <w:t>20.5争议解决条款效力</w:t>
      </w:r>
      <w:bookmarkEnd w:id="1251"/>
    </w:p>
    <w:bookmarkEnd w:id="1252"/>
    <w:bookmarkEnd w:id="1253"/>
    <w:bookmarkEnd w:id="1254"/>
    <w:p w14:paraId="12F20D92">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30"/>
          <w:szCs w:val="32"/>
          <w:highlight w:val="none"/>
        </w:rPr>
      </w:pPr>
      <w:r>
        <w:rPr>
          <w:rFonts w:ascii="Times New Roman" w:hAnsi="Times New Roman" w:eastAsia="仿宋_GB2312"/>
          <w:color w:val="auto"/>
          <w:kern w:val="0"/>
          <w:sz w:val="21"/>
          <w:szCs w:val="21"/>
          <w:highlight w:val="none"/>
        </w:rPr>
        <w:t>合同有关争议解决的条款独立存在，合同的变更、解除、终止、无效或者被撤销均不影响其效力。</w:t>
      </w:r>
      <w:r>
        <w:rPr>
          <w:rFonts w:ascii="Times New Roman" w:hAnsi="Times New Roman" w:eastAsia="仿宋_GB2312"/>
          <w:color w:val="auto"/>
          <w:kern w:val="0"/>
          <w:sz w:val="30"/>
          <w:szCs w:val="32"/>
          <w:highlight w:val="none"/>
        </w:rPr>
        <w:t xml:space="preserve"> </w:t>
      </w:r>
    </w:p>
    <w:p w14:paraId="1DBD4DDA">
      <w:pPr>
        <w:pStyle w:val="4"/>
        <w:jc w:val="center"/>
        <w:outlineLvl w:val="2"/>
        <w:rPr>
          <w:rFonts w:ascii="华文中宋" w:hAnsi="华文中宋" w:eastAsia="华文中宋"/>
          <w:color w:val="auto"/>
          <w:sz w:val="44"/>
          <w:szCs w:val="44"/>
          <w:highlight w:val="none"/>
        </w:rPr>
      </w:pPr>
      <w:bookmarkStart w:id="1255" w:name="_Toc351203632"/>
      <w:r>
        <w:rPr>
          <w:rFonts w:ascii="华文中宋" w:hAnsi="华文中宋" w:eastAsia="华文中宋"/>
          <w:color w:val="auto"/>
          <w:sz w:val="44"/>
          <w:szCs w:val="44"/>
          <w:highlight w:val="none"/>
        </w:rPr>
        <w:br w:type="page"/>
      </w:r>
      <w:bookmarkStart w:id="1256" w:name="_Toc18060"/>
      <w:bookmarkStart w:id="1257" w:name="_Toc11871"/>
      <w:bookmarkStart w:id="1258" w:name="_Toc19201"/>
      <w:r>
        <w:rPr>
          <w:rFonts w:ascii="华文中宋" w:hAnsi="华文中宋" w:eastAsia="华文中宋"/>
          <w:color w:val="auto"/>
          <w:sz w:val="44"/>
          <w:szCs w:val="44"/>
          <w:highlight w:val="none"/>
        </w:rPr>
        <w:t xml:space="preserve">第三部分 </w:t>
      </w:r>
      <w:r>
        <w:rPr>
          <w:rFonts w:hint="eastAsia" w:ascii="华文中宋" w:hAnsi="华文中宋" w:eastAsia="华文中宋"/>
          <w:color w:val="auto"/>
          <w:sz w:val="44"/>
          <w:szCs w:val="44"/>
          <w:highlight w:val="none"/>
        </w:rPr>
        <w:t>专用合同条款</w:t>
      </w:r>
      <w:bookmarkEnd w:id="1255"/>
      <w:bookmarkEnd w:id="1256"/>
      <w:bookmarkEnd w:id="1257"/>
      <w:bookmarkEnd w:id="1258"/>
    </w:p>
    <w:p w14:paraId="714689F2">
      <w:pPr>
        <w:pStyle w:val="5"/>
        <w:pageBreakBefore w:val="0"/>
        <w:widowControl w:val="0"/>
        <w:kinsoku/>
        <w:wordWrap/>
        <w:overflowPunct/>
        <w:topLinePunct w:val="0"/>
        <w:bidi w:val="0"/>
        <w:adjustRightInd w:val="0"/>
        <w:snapToGrid w:val="0"/>
        <w:spacing w:before="0" w:after="0" w:line="360" w:lineRule="auto"/>
        <w:textAlignment w:val="auto"/>
        <w:outlineLvl w:val="3"/>
        <w:rPr>
          <w:rFonts w:eastAsia="黑体"/>
          <w:bCs/>
          <w:color w:val="auto"/>
          <w:sz w:val="21"/>
          <w:szCs w:val="21"/>
          <w:highlight w:val="none"/>
        </w:rPr>
      </w:pPr>
      <w:bookmarkStart w:id="1259" w:name="_Toc17058"/>
      <w:bookmarkStart w:id="1260" w:name="_Toc21907"/>
      <w:bookmarkStart w:id="1261" w:name="_Toc351203633"/>
      <w:r>
        <w:rPr>
          <w:rFonts w:eastAsia="黑体"/>
          <w:bCs/>
          <w:color w:val="auto"/>
          <w:sz w:val="21"/>
          <w:szCs w:val="21"/>
          <w:highlight w:val="none"/>
        </w:rPr>
        <w:t>1</w:t>
      </w:r>
      <w:bookmarkStart w:id="1262" w:name="_Toc297048342"/>
      <w:bookmarkStart w:id="1263" w:name="_Toc296944495"/>
      <w:bookmarkStart w:id="1264" w:name="_Toc292559361"/>
      <w:bookmarkStart w:id="1265" w:name="_Toc296891196"/>
      <w:bookmarkStart w:id="1266" w:name="_Toc297120456"/>
      <w:bookmarkStart w:id="1267" w:name="_Toc296503156"/>
      <w:bookmarkStart w:id="1268" w:name="_Toc296347155"/>
      <w:bookmarkStart w:id="1269" w:name="_Toc292559866"/>
      <w:bookmarkStart w:id="1270" w:name="_Toc296346657"/>
      <w:bookmarkStart w:id="1271" w:name="_Toc296890984"/>
      <w:r>
        <w:rPr>
          <w:rFonts w:eastAsia="黑体"/>
          <w:bCs/>
          <w:color w:val="auto"/>
          <w:sz w:val="21"/>
          <w:szCs w:val="21"/>
          <w:highlight w:val="none"/>
        </w:rPr>
        <w:t>. 一般约定</w:t>
      </w:r>
      <w:bookmarkEnd w:id="1259"/>
      <w:bookmarkEnd w:id="1260"/>
      <w:bookmarkEnd w:id="1261"/>
    </w:p>
    <w:bookmarkEnd w:id="1262"/>
    <w:bookmarkEnd w:id="1263"/>
    <w:bookmarkEnd w:id="1264"/>
    <w:bookmarkEnd w:id="1265"/>
    <w:bookmarkEnd w:id="1266"/>
    <w:bookmarkEnd w:id="1267"/>
    <w:bookmarkEnd w:id="1268"/>
    <w:bookmarkEnd w:id="1269"/>
    <w:bookmarkEnd w:id="1270"/>
    <w:bookmarkEnd w:id="1271"/>
    <w:p w14:paraId="14369D6A">
      <w:pPr>
        <w:pageBreakBefore w:val="0"/>
        <w:widowControl w:val="0"/>
        <w:kinsoku/>
        <w:wordWrap/>
        <w:overflowPunct/>
        <w:topLinePunct w:val="0"/>
        <w:bidi w:val="0"/>
        <w:adjustRightInd w:val="0"/>
        <w:snapToGrid w:val="0"/>
        <w:spacing w:line="360" w:lineRule="auto"/>
        <w:ind w:firstLine="420" w:firstLineChars="200"/>
        <w:textAlignment w:val="auto"/>
        <w:outlineLvl w:val="4"/>
        <w:rPr>
          <w:rFonts w:ascii="Times New Roman" w:hAnsi="Times New Roman" w:eastAsia="黑体"/>
          <w:color w:val="auto"/>
          <w:sz w:val="21"/>
          <w:szCs w:val="21"/>
          <w:highlight w:val="none"/>
        </w:rPr>
      </w:pPr>
      <w:bookmarkStart w:id="1272" w:name="_Toc31042"/>
      <w:r>
        <w:rPr>
          <w:rFonts w:ascii="Times New Roman" w:hAnsi="Times New Roman" w:eastAsia="黑体"/>
          <w:color w:val="auto"/>
          <w:sz w:val="21"/>
          <w:szCs w:val="21"/>
          <w:highlight w:val="none"/>
        </w:rPr>
        <w:t>1.1 词语定义</w:t>
      </w:r>
      <w:bookmarkEnd w:id="1272"/>
    </w:p>
    <w:p w14:paraId="5AEFF515">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1.1.1合同</w:t>
      </w:r>
    </w:p>
    <w:p w14:paraId="3E2E0BF8">
      <w:pPr>
        <w:keepNext w:val="0"/>
        <w:keepLines w:val="0"/>
        <w:pageBreakBefore w:val="0"/>
        <w:widowControl w:val="0"/>
        <w:kinsoku/>
        <w:wordWrap/>
        <w:overflowPunct/>
        <w:topLinePunct w:val="0"/>
        <w:autoSpaceDE/>
        <w:autoSpaceDN/>
        <w:bidi w:val="0"/>
        <w:adjustRightInd w:val="0"/>
        <w:snapToGrid w:val="0"/>
        <w:spacing w:line="360" w:lineRule="auto"/>
        <w:ind w:left="596" w:leftChars="284" w:firstLine="0" w:firstLineChars="0"/>
        <w:textAlignment w:val="auto"/>
        <w:rPr>
          <w:rFonts w:ascii="Times New Roman" w:hAnsi="Times New Roman" w:eastAsia="仿宋_GB2312"/>
          <w:color w:val="auto"/>
          <w:sz w:val="21"/>
          <w:szCs w:val="21"/>
          <w:highlight w:val="none"/>
          <w:u w:val="single"/>
        </w:rPr>
      </w:pPr>
      <w:r>
        <w:rPr>
          <w:rFonts w:ascii="Times New Roman" w:hAnsi="Times New Roman" w:eastAsia="仿宋_GB2312"/>
          <w:color w:val="auto"/>
          <w:kern w:val="0"/>
          <w:sz w:val="21"/>
          <w:szCs w:val="21"/>
          <w:highlight w:val="none"/>
        </w:rPr>
        <w:t>1.1.1.10其他合同文件包括：</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合同履行过程中双方共同签署或确认的施工组织设计、会议纪要及有关工程的洽商、变更等书面协议或文件</w:t>
      </w:r>
      <w:r>
        <w:rPr>
          <w:rFonts w:ascii="Times New Roman" w:hAnsi="Times New Roman" w:eastAsia="仿宋_GB2312"/>
          <w:color w:val="auto"/>
          <w:sz w:val="21"/>
          <w:szCs w:val="21"/>
          <w:highlight w:val="none"/>
          <w:u w:val="single"/>
        </w:rPr>
        <w:t>。</w:t>
      </w:r>
    </w:p>
    <w:p w14:paraId="23875CFA">
      <w:pPr>
        <w:pageBreakBefore w:val="0"/>
        <w:widowControl w:val="0"/>
        <w:kinsoku/>
        <w:wordWrap/>
        <w:overflowPunct/>
        <w:topLinePunct w:val="0"/>
        <w:bidi w:val="0"/>
        <w:adjustRightInd w:val="0"/>
        <w:snapToGrid w:val="0"/>
        <w:spacing w:line="360" w:lineRule="auto"/>
        <w:ind w:firstLine="420" w:firstLineChars="200"/>
        <w:textAlignment w:val="auto"/>
        <w:rPr>
          <w:rFonts w:hint="eastAsia" w:ascii="Times New Roman" w:hAnsi="Times New Roman" w:eastAsia="仿宋_GB2312"/>
          <w:color w:val="auto"/>
          <w:sz w:val="21"/>
          <w:szCs w:val="21"/>
          <w:highlight w:val="yellow"/>
          <w:u w:val="single"/>
        </w:rPr>
      </w:pPr>
      <w:r>
        <w:rPr>
          <w:rFonts w:hint="eastAsia" w:ascii="Times New Roman" w:hAnsi="Times New Roman" w:eastAsia="仿宋_GB2312"/>
          <w:color w:val="auto"/>
          <w:sz w:val="21"/>
          <w:szCs w:val="21"/>
          <w:highlight w:val="yellow"/>
          <w:u w:val="single"/>
        </w:rPr>
        <w:t>进一步规定如下：</w:t>
      </w:r>
    </w:p>
    <w:p w14:paraId="4AD4184B">
      <w:pPr>
        <w:pageBreakBefore w:val="0"/>
        <w:widowControl w:val="0"/>
        <w:kinsoku/>
        <w:wordWrap/>
        <w:overflowPunct/>
        <w:topLinePunct w:val="0"/>
        <w:bidi w:val="0"/>
        <w:adjustRightInd w:val="0"/>
        <w:snapToGrid w:val="0"/>
        <w:spacing w:line="360" w:lineRule="auto"/>
        <w:ind w:firstLine="420" w:firstLineChars="200"/>
        <w:textAlignment w:val="auto"/>
        <w:rPr>
          <w:rFonts w:hint="eastAsia" w:ascii="Times New Roman" w:hAnsi="Times New Roman" w:eastAsia="仿宋_GB2312"/>
          <w:color w:val="auto"/>
          <w:sz w:val="21"/>
          <w:szCs w:val="21"/>
          <w:highlight w:val="yellow"/>
          <w:u w:val="single"/>
        </w:rPr>
      </w:pPr>
      <w:r>
        <w:rPr>
          <w:rFonts w:hint="eastAsia" w:ascii="Times New Roman" w:hAnsi="Times New Roman" w:eastAsia="仿宋_GB2312"/>
          <w:color w:val="auto"/>
          <w:sz w:val="21"/>
          <w:szCs w:val="21"/>
          <w:highlight w:val="yellow"/>
          <w:u w:val="single"/>
        </w:rPr>
        <w:t>本承包合同履行中，发包人与承包人之间或者双方授权代表之间就有关工程的洽商、变更等订立的书面协议或文件视为本承包合同的组成部分。</w:t>
      </w:r>
    </w:p>
    <w:p w14:paraId="5065BB2B">
      <w:pPr>
        <w:pageBreakBefore w:val="0"/>
        <w:widowControl w:val="0"/>
        <w:kinsoku/>
        <w:wordWrap/>
        <w:overflowPunct/>
        <w:topLinePunct w:val="0"/>
        <w:bidi w:val="0"/>
        <w:adjustRightInd w:val="0"/>
        <w:snapToGrid w:val="0"/>
        <w:spacing w:line="360" w:lineRule="auto"/>
        <w:ind w:firstLine="420" w:firstLineChars="200"/>
        <w:textAlignment w:val="auto"/>
        <w:rPr>
          <w:rFonts w:hint="eastAsia" w:ascii="Times New Roman" w:hAnsi="Times New Roman" w:eastAsia="仿宋_GB2312"/>
          <w:color w:val="auto"/>
          <w:sz w:val="21"/>
          <w:szCs w:val="21"/>
          <w:highlight w:val="yellow"/>
          <w:u w:val="single"/>
        </w:rPr>
      </w:pPr>
      <w:r>
        <w:rPr>
          <w:rFonts w:hint="eastAsia" w:ascii="Times New Roman" w:hAnsi="Times New Roman" w:eastAsia="仿宋_GB2312"/>
          <w:color w:val="auto"/>
          <w:sz w:val="21"/>
          <w:szCs w:val="21"/>
          <w:highlight w:val="yellow"/>
          <w:u w:val="single"/>
        </w:rPr>
        <w:t>双方特别约定：非双方授权代表对任何文件的签署均不构成对有关事实的认可以及更不能增加或者减少本承包合同项下双方的权利或者义务。承包人授权代表为项目经理，发包人授权代表为现场代表、基建办负责人及基建主管副</w:t>
      </w:r>
      <w:r>
        <w:rPr>
          <w:rFonts w:hint="eastAsia" w:eastAsia="仿宋_GB2312"/>
          <w:color w:val="auto"/>
          <w:sz w:val="21"/>
          <w:szCs w:val="21"/>
          <w:highlight w:val="yellow"/>
          <w:u w:val="single"/>
          <w:lang w:val="en-US" w:eastAsia="zh-CN"/>
        </w:rPr>
        <w:t>局</w:t>
      </w:r>
      <w:r>
        <w:rPr>
          <w:rFonts w:hint="eastAsia" w:ascii="Times New Roman" w:hAnsi="Times New Roman" w:eastAsia="仿宋_GB2312"/>
          <w:color w:val="auto"/>
          <w:sz w:val="21"/>
          <w:szCs w:val="21"/>
          <w:highlight w:val="yellow"/>
          <w:u w:val="single"/>
        </w:rPr>
        <w:t>长共同确认方可生效。</w:t>
      </w:r>
    </w:p>
    <w:p w14:paraId="236D133C">
      <w:pPr>
        <w:pageBreakBefore w:val="0"/>
        <w:widowControl w:val="0"/>
        <w:kinsoku/>
        <w:wordWrap/>
        <w:overflowPunct/>
        <w:topLinePunct w:val="0"/>
        <w:bidi w:val="0"/>
        <w:adjustRightInd w:val="0"/>
        <w:snapToGrid w:val="0"/>
        <w:spacing w:line="360" w:lineRule="auto"/>
        <w:ind w:firstLine="420" w:firstLineChars="200"/>
        <w:textAlignment w:val="auto"/>
        <w:rPr>
          <w:rFonts w:hint="eastAsia" w:ascii="Times New Roman" w:hAnsi="Times New Roman" w:eastAsia="仿宋_GB2312"/>
          <w:color w:val="auto"/>
          <w:sz w:val="21"/>
          <w:szCs w:val="21"/>
          <w:highlight w:val="yellow"/>
          <w:u w:val="single"/>
        </w:rPr>
      </w:pPr>
      <w:r>
        <w:rPr>
          <w:rFonts w:hint="eastAsia" w:ascii="Times New Roman" w:hAnsi="Times New Roman" w:eastAsia="仿宋_GB2312"/>
          <w:color w:val="auto"/>
          <w:sz w:val="21"/>
          <w:szCs w:val="21"/>
          <w:highlight w:val="yellow"/>
          <w:u w:val="single"/>
        </w:rPr>
        <w:t>对于同一类合同文件及招投标过程中的往来函件，除非双方另有约定，以其最新版本或最新发布的为准；</w:t>
      </w:r>
    </w:p>
    <w:p w14:paraId="32D81D65">
      <w:pPr>
        <w:pageBreakBefore w:val="0"/>
        <w:widowControl w:val="0"/>
        <w:kinsoku/>
        <w:wordWrap/>
        <w:overflowPunct/>
        <w:topLinePunct w:val="0"/>
        <w:bidi w:val="0"/>
        <w:adjustRightInd w:val="0"/>
        <w:snapToGrid w:val="0"/>
        <w:spacing w:line="360" w:lineRule="auto"/>
        <w:ind w:firstLine="420" w:firstLineChars="200"/>
        <w:textAlignment w:val="auto"/>
        <w:rPr>
          <w:rFonts w:hint="eastAsia" w:ascii="Times New Roman" w:hAnsi="Times New Roman" w:eastAsia="仿宋_GB2312"/>
          <w:color w:val="auto"/>
          <w:sz w:val="21"/>
          <w:szCs w:val="21"/>
          <w:highlight w:val="yellow"/>
          <w:u w:val="single"/>
        </w:rPr>
      </w:pPr>
      <w:r>
        <w:rPr>
          <w:rFonts w:hint="eastAsia" w:ascii="Times New Roman" w:hAnsi="Times New Roman" w:eastAsia="仿宋_GB2312"/>
          <w:color w:val="auto"/>
          <w:sz w:val="21"/>
          <w:szCs w:val="21"/>
          <w:highlight w:val="yellow"/>
          <w:u w:val="single"/>
        </w:rPr>
        <w:t>发包人、承包人双方在履行合同过程中的通知、函件应以书面形式向对方发出，签收或签收邮件时，即表示该函件或通知已送达。</w:t>
      </w:r>
    </w:p>
    <w:p w14:paraId="7361B910">
      <w:pPr>
        <w:pageBreakBefore w:val="0"/>
        <w:widowControl w:val="0"/>
        <w:kinsoku/>
        <w:wordWrap/>
        <w:overflowPunct/>
        <w:topLinePunct w:val="0"/>
        <w:bidi w:val="0"/>
        <w:adjustRightInd w:val="0"/>
        <w:snapToGrid w:val="0"/>
        <w:spacing w:line="360" w:lineRule="auto"/>
        <w:ind w:firstLine="420" w:firstLineChars="200"/>
        <w:textAlignment w:val="auto"/>
        <w:rPr>
          <w:rFonts w:hint="eastAsia" w:ascii="Times New Roman" w:hAnsi="Times New Roman" w:eastAsia="仿宋_GB2312"/>
          <w:color w:val="auto"/>
          <w:sz w:val="21"/>
          <w:szCs w:val="21"/>
          <w:highlight w:val="yellow"/>
          <w:u w:val="single"/>
        </w:rPr>
      </w:pPr>
      <w:r>
        <w:rPr>
          <w:rFonts w:hint="eastAsia" w:ascii="Times New Roman" w:hAnsi="Times New Roman" w:eastAsia="仿宋_GB2312"/>
          <w:color w:val="auto"/>
          <w:sz w:val="21"/>
          <w:szCs w:val="21"/>
          <w:highlight w:val="yellow"/>
          <w:u w:val="single"/>
        </w:rPr>
        <w:t>构成本承包合同的所有合同文件所包含、涉及的一切内容与含义，都应作为对承包人合同工作内容的定义。由上述合同文件所定义的合同工作内容包括合同中明确约定的工作、发包人所发出的任何指令所带来的工作、合同中写明的或隐含的由承包人的任何义务产生的任何工作以及合同中虽未提及但可合理推论得到的对工程的稳定、完整、安全、可靠及有效运行或为了符合及实现合同目的所必须的全部工作。</w:t>
      </w:r>
    </w:p>
    <w:p w14:paraId="7C9D5761">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1.1.2 合同当事人及其他相关方</w:t>
      </w:r>
    </w:p>
    <w:p w14:paraId="326D6EC3">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1.1.2.4监理人：</w:t>
      </w:r>
    </w:p>
    <w:p w14:paraId="0F8761CB">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名    称：</w:t>
      </w:r>
      <w:r>
        <w:rPr>
          <w:rFonts w:ascii="Times New Roman" w:hAnsi="Times New Roman" w:eastAsia="仿宋_GB2312"/>
          <w:color w:val="auto"/>
          <w:sz w:val="21"/>
          <w:szCs w:val="21"/>
          <w:highlight w:val="none"/>
          <w:u w:val="single"/>
        </w:rPr>
        <w:t></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   </w:t>
      </w:r>
      <w:r>
        <w:rPr>
          <w:rFonts w:ascii="Times New Roman" w:hAnsi="Times New Roman" w:eastAsia="仿宋_GB2312"/>
          <w:color w:val="auto"/>
          <w:sz w:val="21"/>
          <w:szCs w:val="21"/>
          <w:highlight w:val="none"/>
        </w:rPr>
        <w:t>；</w:t>
      </w:r>
    </w:p>
    <w:p w14:paraId="5A6C1D30">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资质类别和等级：</w:t>
      </w:r>
      <w:r>
        <w:rPr>
          <w:rFonts w:ascii="Times New Roman" w:hAnsi="Times New Roman" w:eastAsia="仿宋_GB2312"/>
          <w:color w:val="auto"/>
          <w:sz w:val="21"/>
          <w:szCs w:val="21"/>
          <w:highlight w:val="none"/>
          <w:u w:val="single"/>
        </w:rPr>
        <w:t></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w:t>
      </w:r>
      <w:r>
        <w:rPr>
          <w:rFonts w:ascii="Times New Roman" w:hAnsi="Times New Roman" w:eastAsia="仿宋_GB2312"/>
          <w:color w:val="auto"/>
          <w:sz w:val="21"/>
          <w:szCs w:val="21"/>
          <w:highlight w:val="none"/>
        </w:rPr>
        <w:t>；</w:t>
      </w:r>
    </w:p>
    <w:p w14:paraId="23D481BD">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联系电话：</w:t>
      </w:r>
      <w:r>
        <w:rPr>
          <w:rFonts w:ascii="Times New Roman" w:hAnsi="Times New Roman" w:eastAsia="仿宋_GB2312"/>
          <w:color w:val="auto"/>
          <w:sz w:val="21"/>
          <w:szCs w:val="21"/>
          <w:highlight w:val="none"/>
          <w:u w:val="single"/>
        </w:rPr>
        <w:t>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w:t>
      </w:r>
      <w:r>
        <w:rPr>
          <w:rFonts w:ascii="Times New Roman" w:hAnsi="Times New Roman" w:eastAsia="仿宋_GB2312"/>
          <w:color w:val="auto"/>
          <w:sz w:val="21"/>
          <w:szCs w:val="21"/>
          <w:highlight w:val="none"/>
        </w:rPr>
        <w:t>；</w:t>
      </w:r>
    </w:p>
    <w:p w14:paraId="1C96D686">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电子信箱：</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34F0A959">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通信地址：</w:t>
      </w:r>
      <w:r>
        <w:rPr>
          <w:rFonts w:ascii="Times New Roman" w:hAnsi="Times New Roman" w:eastAsia="仿宋_GB2312"/>
          <w:color w:val="auto"/>
          <w:sz w:val="21"/>
          <w:szCs w:val="21"/>
          <w:highlight w:val="none"/>
          <w:u w:val="single"/>
        </w:rPr>
        <w:t>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w:t>
      </w:r>
      <w:r>
        <w:rPr>
          <w:rFonts w:ascii="Times New Roman" w:hAnsi="Times New Roman" w:eastAsia="仿宋_GB2312"/>
          <w:color w:val="auto"/>
          <w:sz w:val="21"/>
          <w:szCs w:val="21"/>
          <w:highlight w:val="none"/>
        </w:rPr>
        <w:t>。</w:t>
      </w:r>
    </w:p>
    <w:p w14:paraId="09D26FBC">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1.1.2.5 设计人：</w:t>
      </w:r>
    </w:p>
    <w:p w14:paraId="195CF12D">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名    称：</w:t>
      </w:r>
      <w:r>
        <w:rPr>
          <w:rFonts w:ascii="Times New Roman" w:hAnsi="Times New Roman" w:eastAsia="仿宋_GB2312"/>
          <w:color w:val="auto"/>
          <w:sz w:val="21"/>
          <w:szCs w:val="21"/>
          <w:highlight w:val="none"/>
          <w:u w:val="single"/>
        </w:rPr>
        <w:t></w:t>
      </w:r>
      <w:r>
        <w:rPr>
          <w:rFonts w:hint="eastAsia" w:ascii="Times New Roman" w:hAnsi="Times New Roman" w:eastAsia="仿宋_GB2312"/>
          <w:color w:val="auto"/>
          <w:sz w:val="21"/>
          <w:szCs w:val="21"/>
          <w:highlight w:val="none"/>
          <w:u w:val="single"/>
        </w:rPr>
        <w:t>营口同济建筑设计有限公司</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38E9FC39">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资质类别和等级：</w:t>
      </w:r>
      <w:r>
        <w:rPr>
          <w:rFonts w:ascii="Times New Roman" w:hAnsi="Times New Roman" w:eastAsia="仿宋_GB2312"/>
          <w:color w:val="auto"/>
          <w:sz w:val="21"/>
          <w:szCs w:val="21"/>
          <w:highlight w:val="none"/>
          <w:u w:val="single"/>
        </w:rPr>
        <w:t></w:t>
      </w:r>
      <w:r>
        <w:rPr>
          <w:rFonts w:hint="eastAsia" w:ascii="Times New Roman" w:hAnsi="Times New Roman" w:eastAsia="仿宋_GB2312"/>
          <w:color w:val="auto"/>
          <w:sz w:val="21"/>
          <w:szCs w:val="21"/>
          <w:highlight w:val="none"/>
          <w:u w:val="single"/>
        </w:rPr>
        <w:t>建筑行业（建筑工程）</w:t>
      </w:r>
      <w:r>
        <w:rPr>
          <w:rFonts w:hint="eastAsia" w:eastAsia="仿宋_GB2312"/>
          <w:color w:val="auto"/>
          <w:sz w:val="21"/>
          <w:szCs w:val="21"/>
          <w:highlight w:val="none"/>
          <w:u w:val="single"/>
          <w:lang w:val="en-US" w:eastAsia="zh-CN"/>
        </w:rPr>
        <w:t>专业乙</w:t>
      </w:r>
      <w:r>
        <w:rPr>
          <w:rFonts w:hint="eastAsia" w:ascii="Times New Roman" w:hAnsi="Times New Roman" w:eastAsia="仿宋_GB2312"/>
          <w:color w:val="auto"/>
          <w:sz w:val="21"/>
          <w:szCs w:val="21"/>
          <w:highlight w:val="none"/>
          <w:u w:val="single"/>
        </w:rPr>
        <w:t xml:space="preserve">级    </w:t>
      </w:r>
      <w:r>
        <w:rPr>
          <w:rFonts w:ascii="Times New Roman" w:hAnsi="Times New Roman" w:eastAsia="仿宋_GB2312"/>
          <w:color w:val="auto"/>
          <w:sz w:val="21"/>
          <w:szCs w:val="21"/>
          <w:highlight w:val="none"/>
        </w:rPr>
        <w:t>；</w:t>
      </w:r>
    </w:p>
    <w:p w14:paraId="3A1468A0">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联系电话：</w:t>
      </w:r>
      <w:r>
        <w:rPr>
          <w:rFonts w:ascii="Times New Roman" w:hAnsi="Times New Roman" w:eastAsia="仿宋_GB2312"/>
          <w:color w:val="auto"/>
          <w:sz w:val="21"/>
          <w:szCs w:val="21"/>
          <w:highlight w:val="none"/>
          <w:u w:val="single"/>
        </w:rPr>
        <w:t></w:t>
      </w:r>
      <w:r>
        <w:rPr>
          <w:rFonts w:hint="eastAsia" w:eastAsia="仿宋_GB2312"/>
          <w:color w:val="auto"/>
          <w:sz w:val="21"/>
          <w:szCs w:val="21"/>
          <w:highlight w:val="none"/>
          <w:u w:val="single"/>
          <w:lang w:val="en-US" w:eastAsia="zh-CN"/>
        </w:rPr>
        <w:t>/</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w:t>
      </w:r>
      <w:r>
        <w:rPr>
          <w:rFonts w:ascii="Times New Roman" w:hAnsi="Times New Roman" w:eastAsia="仿宋_GB2312"/>
          <w:color w:val="auto"/>
          <w:sz w:val="21"/>
          <w:szCs w:val="21"/>
          <w:highlight w:val="none"/>
        </w:rPr>
        <w:t>；</w:t>
      </w:r>
    </w:p>
    <w:p w14:paraId="7335DCAE">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电子信箱：</w:t>
      </w:r>
      <w:r>
        <w:rPr>
          <w:rFonts w:ascii="Times New Roman" w:hAnsi="Times New Roman" w:eastAsia="仿宋_GB2312"/>
          <w:color w:val="auto"/>
          <w:sz w:val="21"/>
          <w:szCs w:val="21"/>
          <w:highlight w:val="none"/>
          <w:u w:val="single"/>
        </w:rPr>
        <w:t></w:t>
      </w:r>
      <w:r>
        <w:rPr>
          <w:rFonts w:hint="eastAsia" w:eastAsia="仿宋_GB2312"/>
          <w:color w:val="auto"/>
          <w:sz w:val="21"/>
          <w:szCs w:val="21"/>
          <w:highlight w:val="none"/>
          <w:u w:val="single"/>
          <w:lang w:val="en-US" w:eastAsia="zh-CN"/>
        </w:rPr>
        <w:t>/</w:t>
      </w:r>
      <w:r>
        <w:rPr>
          <w:rFonts w:ascii="Times New Roman" w:hAnsi="Times New Roman" w:eastAsia="仿宋_GB2312"/>
          <w:color w:val="auto"/>
          <w:sz w:val="21"/>
          <w:szCs w:val="21"/>
          <w:highlight w:val="none"/>
          <w:u w:val="single"/>
        </w:rPr>
        <w:t>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29B52851">
      <w:pPr>
        <w:pageBreakBefore w:val="0"/>
        <w:widowControl w:val="0"/>
        <w:kinsoku/>
        <w:wordWrap/>
        <w:overflowPunct/>
        <w:topLinePunct w:val="0"/>
        <w:bidi w:val="0"/>
        <w:adjustRightInd w:val="0"/>
        <w:snapToGrid w:val="0"/>
        <w:spacing w:line="360" w:lineRule="auto"/>
        <w:ind w:firstLine="420" w:firstLineChars="200"/>
        <w:textAlignment w:val="auto"/>
        <w:rPr>
          <w:rFonts w:hint="eastAsia"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通信地址：</w:t>
      </w:r>
      <w:r>
        <w:rPr>
          <w:rFonts w:ascii="Times New Roman" w:hAnsi="Times New Roman" w:eastAsia="仿宋_GB2312"/>
          <w:color w:val="auto"/>
          <w:sz w:val="21"/>
          <w:szCs w:val="21"/>
          <w:highlight w:val="none"/>
          <w:u w:val="single"/>
        </w:rPr>
        <w:t></w:t>
      </w:r>
      <w:r>
        <w:rPr>
          <w:rFonts w:hint="eastAsia" w:eastAsia="仿宋_GB2312"/>
          <w:color w:val="auto"/>
          <w:sz w:val="21"/>
          <w:szCs w:val="21"/>
          <w:highlight w:val="none"/>
          <w:u w:val="single"/>
          <w:lang w:val="en-US" w:eastAsia="zh-CN"/>
        </w:rPr>
        <w:t>辽宁省营口市西市区渤海大街西49-甲36号</w:t>
      </w:r>
      <w:r>
        <w:rPr>
          <w:rFonts w:ascii="Times New Roman" w:hAnsi="Times New Roman" w:eastAsia="仿宋_GB2312"/>
          <w:color w:val="auto"/>
          <w:sz w:val="21"/>
          <w:szCs w:val="21"/>
          <w:highlight w:val="none"/>
          <w:u w:val="single"/>
        </w:rPr>
        <w:t></w:t>
      </w:r>
      <w:r>
        <w:rPr>
          <w:rFonts w:ascii="Times New Roman" w:hAnsi="Times New Roman" w:eastAsia="仿宋_GB2312"/>
          <w:color w:val="auto"/>
          <w:sz w:val="21"/>
          <w:szCs w:val="21"/>
          <w:highlight w:val="none"/>
        </w:rPr>
        <w:t>。</w:t>
      </w:r>
    </w:p>
    <w:p w14:paraId="608849CB">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1.1.3 工程和设备</w:t>
      </w:r>
    </w:p>
    <w:p w14:paraId="77BCEC47">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1.1.3.7 作为施工现场组成部分的其他场所包括：</w:t>
      </w:r>
      <w:r>
        <w:rPr>
          <w:rFonts w:hint="eastAsia"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sz w:val="21"/>
          <w:szCs w:val="21"/>
          <w:highlight w:val="none"/>
          <w:u w:val="single"/>
        </w:rPr>
        <w:t xml:space="preserve">施工现场临时办公及施工场地 </w:t>
      </w:r>
      <w:r>
        <w:rPr>
          <w:rFonts w:ascii="Times New Roman" w:hAnsi="Times New Roman" w:eastAsia="仿宋_GB2312"/>
          <w:color w:val="auto"/>
          <w:sz w:val="21"/>
          <w:szCs w:val="21"/>
          <w:highlight w:val="none"/>
        </w:rPr>
        <w:t>。</w:t>
      </w:r>
    </w:p>
    <w:p w14:paraId="6E44EB00">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1.1.3.9 永久占地包括：</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按照设计图纸确定</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kern w:val="0"/>
          <w:sz w:val="21"/>
          <w:szCs w:val="21"/>
          <w:highlight w:val="none"/>
        </w:rPr>
        <w:t>。</w:t>
      </w:r>
    </w:p>
    <w:p w14:paraId="551DCF63">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kern w:val="0"/>
          <w:sz w:val="21"/>
          <w:szCs w:val="21"/>
          <w:highlight w:val="none"/>
        </w:rPr>
        <w:t>1.1.3.10 临时占地包括：</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在合同履行中确定</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kern w:val="0"/>
          <w:sz w:val="21"/>
          <w:szCs w:val="21"/>
          <w:highlight w:val="none"/>
        </w:rPr>
        <w:t>。</w:t>
      </w:r>
    </w:p>
    <w:p w14:paraId="549BA9AF">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黑体"/>
          <w:color w:val="auto"/>
          <w:sz w:val="21"/>
          <w:szCs w:val="21"/>
          <w:highlight w:val="none"/>
        </w:rPr>
      </w:pPr>
      <w:r>
        <w:rPr>
          <w:rFonts w:ascii="Times New Roman" w:hAnsi="Times New Roman" w:eastAsia="黑体"/>
          <w:color w:val="auto"/>
          <w:sz w:val="21"/>
          <w:szCs w:val="21"/>
          <w:highlight w:val="none"/>
        </w:rPr>
        <w:t xml:space="preserve">1.3法律 </w:t>
      </w:r>
    </w:p>
    <w:p w14:paraId="6983E86D">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适用于合同的其他规范性文件：</w:t>
      </w:r>
      <w:r>
        <w:rPr>
          <w:rFonts w:hint="eastAsia" w:ascii="Times New Roman" w:hAnsi="Times New Roman" w:eastAsia="仿宋_GB2312"/>
          <w:color w:val="auto"/>
          <w:sz w:val="21"/>
          <w:szCs w:val="21"/>
          <w:highlight w:val="none"/>
          <w:u w:val="single"/>
        </w:rPr>
        <w:t>《建设工程质量管理条例》《建筑业企业资质管理规定》《建设工程安全生产管理条例》等现行的国家、省、市建设行政管理部门或机构有关工程质量、安全、造价等相关规范性文件</w:t>
      </w:r>
      <w:r>
        <w:rPr>
          <w:rFonts w:ascii="Times New Roman" w:hAnsi="Times New Roman" w:eastAsia="仿宋_GB2312"/>
          <w:color w:val="auto"/>
          <w:sz w:val="21"/>
          <w:szCs w:val="21"/>
          <w:highlight w:val="none"/>
        </w:rPr>
        <w:t>。</w:t>
      </w:r>
    </w:p>
    <w:p w14:paraId="2EE74480">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黑体"/>
          <w:color w:val="auto"/>
          <w:sz w:val="21"/>
          <w:szCs w:val="21"/>
          <w:highlight w:val="none"/>
        </w:rPr>
      </w:pPr>
      <w:r>
        <w:rPr>
          <w:rFonts w:ascii="Times New Roman" w:hAnsi="Times New Roman" w:eastAsia="黑体"/>
          <w:color w:val="auto"/>
          <w:sz w:val="21"/>
          <w:szCs w:val="21"/>
          <w:highlight w:val="none"/>
        </w:rPr>
        <w:t>1.4 标准和规范</w:t>
      </w:r>
    </w:p>
    <w:p w14:paraId="65EB0D9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ascii="Times New Roman" w:hAnsi="Times New Roman" w:eastAsia="仿宋_GB2312" w:cs="Times New Roman"/>
          <w:color w:val="auto"/>
          <w:sz w:val="21"/>
          <w:szCs w:val="21"/>
          <w:highlight w:val="none"/>
          <w:u w:val="single"/>
        </w:rPr>
      </w:pPr>
      <w:r>
        <w:rPr>
          <w:rFonts w:ascii="Times New Roman" w:hAnsi="Times New Roman" w:eastAsia="仿宋_GB2312"/>
          <w:color w:val="auto"/>
          <w:sz w:val="21"/>
          <w:szCs w:val="21"/>
          <w:highlight w:val="none"/>
        </w:rPr>
        <w:t>1.4.1适用于工程的标准规范包括：</w:t>
      </w:r>
      <w:r>
        <w:rPr>
          <w:rFonts w:hint="eastAsia" w:ascii="Times New Roman" w:hAnsi="Times New Roman" w:eastAsia="仿宋_GB2312" w:cs="Times New Roman"/>
          <w:color w:val="auto"/>
          <w:kern w:val="0"/>
          <w:sz w:val="21"/>
          <w:szCs w:val="21"/>
          <w:highlight w:val="none"/>
          <w:u w:val="single"/>
          <w:lang w:val="en-US" w:eastAsia="zh-CN"/>
        </w:rPr>
        <w:t>《建筑装饰装修工程质量验收标准》</w:t>
      </w:r>
      <w:r>
        <w:rPr>
          <w:rFonts w:hint="eastAsia" w:eastAsia="仿宋_GB2312" w:cs="Times New Roman"/>
          <w:color w:val="auto"/>
          <w:kern w:val="0"/>
          <w:sz w:val="21"/>
          <w:szCs w:val="21"/>
          <w:highlight w:val="none"/>
          <w:u w:val="single"/>
          <w:lang w:val="en-US" w:eastAsia="zh-CN"/>
        </w:rPr>
        <w:t>（</w:t>
      </w:r>
      <w:r>
        <w:rPr>
          <w:rFonts w:hint="eastAsia" w:ascii="Times New Roman" w:hAnsi="Times New Roman" w:eastAsia="仿宋_GB2312" w:cs="Times New Roman"/>
          <w:color w:val="auto"/>
          <w:kern w:val="0"/>
          <w:sz w:val="21"/>
          <w:szCs w:val="21"/>
          <w:highlight w:val="none"/>
          <w:u w:val="single"/>
          <w:lang w:val="en-US" w:eastAsia="zh-CN"/>
        </w:rPr>
        <w:t>GB50210-2018</w:t>
      </w:r>
      <w:r>
        <w:rPr>
          <w:rFonts w:hint="eastAsia" w:eastAsia="仿宋_GB2312" w:cs="Times New Roman"/>
          <w:color w:val="auto"/>
          <w:kern w:val="0"/>
          <w:sz w:val="21"/>
          <w:szCs w:val="21"/>
          <w:highlight w:val="none"/>
          <w:u w:val="single"/>
          <w:lang w:val="en-US" w:eastAsia="zh-CN"/>
        </w:rPr>
        <w:t>）</w:t>
      </w:r>
      <w:r>
        <w:rPr>
          <w:rFonts w:hint="eastAsia" w:ascii="Times New Roman" w:hAnsi="Times New Roman" w:eastAsia="仿宋_GB2312" w:cs="Times New Roman"/>
          <w:color w:val="auto"/>
          <w:kern w:val="0"/>
          <w:sz w:val="21"/>
          <w:szCs w:val="21"/>
          <w:highlight w:val="none"/>
          <w:u w:val="single"/>
          <w:lang w:val="en-US" w:eastAsia="zh-CN"/>
        </w:rPr>
        <w:t>等国家、行业和地区现行的标准和规范，如果上述标准和规范之间出现歧义或矛盾时，以标准较高或最有利于发包人工程的标准和规范执行</w:t>
      </w:r>
      <w:r>
        <w:rPr>
          <w:rFonts w:hint="eastAsia" w:ascii="Times New Roman" w:hAnsi="Times New Roman" w:eastAsia="仿宋_GB2312" w:cs="Times New Roman"/>
          <w:color w:val="auto"/>
          <w:sz w:val="21"/>
          <w:szCs w:val="21"/>
          <w:highlight w:val="none"/>
          <w:u w:val="none"/>
        </w:rPr>
        <w:t>。</w:t>
      </w:r>
    </w:p>
    <w:p w14:paraId="294C467E">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1.4.2 发包人提供国外标准、规范的名称：</w:t>
      </w:r>
      <w:r>
        <w:rPr>
          <w:rFonts w:ascii="Times New Roman" w:hAnsi="Times New Roman" w:eastAsia="仿宋_GB2312"/>
          <w:color w:val="auto"/>
          <w:kern w:val="0"/>
          <w:sz w:val="21"/>
          <w:szCs w:val="21"/>
          <w:highlight w:val="none"/>
          <w:u w:val="single"/>
        </w:rPr>
        <w:t xml:space="preserve">       </w:t>
      </w:r>
      <w:r>
        <w:rPr>
          <w:rFonts w:hint="eastAsia" w:ascii="Times New Roman" w:hAnsi="Times New Roman" w:eastAsia="仿宋_GB2312"/>
          <w:color w:val="auto"/>
          <w:kern w:val="0"/>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 xml:space="preserve"> </w:t>
      </w:r>
      <w:r>
        <w:rPr>
          <w:rFonts w:hint="eastAsia" w:ascii="Times New Roman" w:hAnsi="Times New Roman" w:eastAsia="仿宋_GB2312"/>
          <w:color w:val="auto"/>
          <w:kern w:val="0"/>
          <w:sz w:val="21"/>
          <w:szCs w:val="21"/>
          <w:highlight w:val="none"/>
          <w:u w:val="single"/>
        </w:rPr>
        <w:t xml:space="preserve">   </w:t>
      </w:r>
      <w:r>
        <w:rPr>
          <w:rFonts w:ascii="Times New Roman" w:hAnsi="Times New Roman" w:eastAsia="仿宋_GB2312"/>
          <w:color w:val="auto"/>
          <w:kern w:val="0"/>
          <w:sz w:val="21"/>
          <w:szCs w:val="21"/>
          <w:highlight w:val="none"/>
          <w:u w:val="single"/>
        </w:rPr>
        <w:t xml:space="preserve">  </w:t>
      </w:r>
      <w:r>
        <w:rPr>
          <w:rFonts w:ascii="Times New Roman" w:hAnsi="Times New Roman" w:eastAsia="仿宋_GB2312"/>
          <w:color w:val="auto"/>
          <w:kern w:val="0"/>
          <w:sz w:val="21"/>
          <w:szCs w:val="21"/>
          <w:highlight w:val="none"/>
        </w:rPr>
        <w:t>；</w:t>
      </w:r>
    </w:p>
    <w:p w14:paraId="3CDF96E6">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发包人提供国外标准、规范的份数：</w:t>
      </w:r>
      <w:r>
        <w:rPr>
          <w:rFonts w:ascii="Times New Roman" w:hAnsi="Times New Roman" w:eastAsia="仿宋_GB2312"/>
          <w:color w:val="auto"/>
          <w:kern w:val="0"/>
          <w:sz w:val="21"/>
          <w:szCs w:val="21"/>
          <w:highlight w:val="none"/>
          <w:u w:val="single"/>
        </w:rPr>
        <w:t xml:space="preserve">     </w:t>
      </w:r>
      <w:r>
        <w:rPr>
          <w:rFonts w:hint="eastAsia" w:ascii="Times New Roman" w:hAnsi="Times New Roman" w:eastAsia="仿宋_GB2312"/>
          <w:color w:val="auto"/>
          <w:kern w:val="0"/>
          <w:sz w:val="21"/>
          <w:szCs w:val="21"/>
          <w:highlight w:val="none"/>
          <w:u w:val="single"/>
        </w:rPr>
        <w:t xml:space="preserve">  </w:t>
      </w:r>
      <w:r>
        <w:rPr>
          <w:rFonts w:ascii="Times New Roman" w:hAnsi="Times New Roman" w:eastAsia="仿宋_GB2312"/>
          <w:color w:val="auto"/>
          <w:kern w:val="0"/>
          <w:sz w:val="21"/>
          <w:szCs w:val="21"/>
          <w:highlight w:val="none"/>
          <w:u w:val="single"/>
        </w:rPr>
        <w:t xml:space="preserve"> </w:t>
      </w:r>
      <w:r>
        <w:rPr>
          <w:rFonts w:hint="eastAsia" w:ascii="Times New Roman" w:hAnsi="Times New Roman" w:eastAsia="仿宋_GB2312"/>
          <w:color w:val="auto"/>
          <w:kern w:val="0"/>
          <w:sz w:val="21"/>
          <w:szCs w:val="21"/>
          <w:highlight w:val="none"/>
          <w:u w:val="single"/>
        </w:rPr>
        <w:t xml:space="preserve">    /</w:t>
      </w:r>
      <w:r>
        <w:rPr>
          <w:rFonts w:ascii="Times New Roman" w:hAnsi="Times New Roman" w:eastAsia="仿宋_GB2312"/>
          <w:color w:val="auto"/>
          <w:kern w:val="0"/>
          <w:sz w:val="21"/>
          <w:szCs w:val="21"/>
          <w:highlight w:val="none"/>
          <w:u w:val="single"/>
        </w:rPr>
        <w:t xml:space="preserve">           </w:t>
      </w:r>
      <w:r>
        <w:rPr>
          <w:rFonts w:ascii="Times New Roman" w:hAnsi="Times New Roman" w:eastAsia="仿宋_GB2312"/>
          <w:color w:val="auto"/>
          <w:kern w:val="0"/>
          <w:sz w:val="21"/>
          <w:szCs w:val="21"/>
          <w:highlight w:val="none"/>
        </w:rPr>
        <w:t>；</w:t>
      </w:r>
    </w:p>
    <w:p w14:paraId="4E3566C3">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kern w:val="0"/>
          <w:sz w:val="21"/>
          <w:szCs w:val="21"/>
          <w:highlight w:val="none"/>
        </w:rPr>
        <w:t>发包人提供国外标准、规范的名称：</w:t>
      </w:r>
      <w:r>
        <w:rPr>
          <w:rFonts w:ascii="Times New Roman" w:hAnsi="Times New Roman" w:eastAsia="仿宋_GB2312"/>
          <w:color w:val="auto"/>
          <w:kern w:val="0"/>
          <w:sz w:val="21"/>
          <w:szCs w:val="21"/>
          <w:highlight w:val="none"/>
          <w:u w:val="single"/>
        </w:rPr>
        <w:t xml:space="preserve">   </w:t>
      </w:r>
      <w:r>
        <w:rPr>
          <w:rFonts w:hint="eastAsia" w:ascii="Times New Roman" w:hAnsi="Times New Roman" w:eastAsia="仿宋_GB2312"/>
          <w:color w:val="auto"/>
          <w:kern w:val="0"/>
          <w:sz w:val="21"/>
          <w:szCs w:val="21"/>
          <w:highlight w:val="none"/>
          <w:u w:val="single"/>
        </w:rPr>
        <w:t xml:space="preserve">  </w:t>
      </w:r>
      <w:r>
        <w:rPr>
          <w:rFonts w:ascii="Times New Roman" w:hAnsi="Times New Roman" w:eastAsia="仿宋_GB2312"/>
          <w:color w:val="auto"/>
          <w:kern w:val="0"/>
          <w:sz w:val="21"/>
          <w:szCs w:val="21"/>
          <w:highlight w:val="none"/>
          <w:u w:val="single"/>
        </w:rPr>
        <w:t xml:space="preserve">  </w:t>
      </w:r>
      <w:r>
        <w:rPr>
          <w:rFonts w:hint="eastAsia" w:ascii="Times New Roman" w:hAnsi="Times New Roman" w:eastAsia="仿宋_GB2312"/>
          <w:color w:val="auto"/>
          <w:kern w:val="0"/>
          <w:sz w:val="21"/>
          <w:szCs w:val="21"/>
          <w:highlight w:val="none"/>
          <w:u w:val="single"/>
        </w:rPr>
        <w:t xml:space="preserve"> </w:t>
      </w:r>
      <w:r>
        <w:rPr>
          <w:rFonts w:ascii="Times New Roman" w:hAnsi="Times New Roman" w:eastAsia="仿宋_GB2312"/>
          <w:color w:val="auto"/>
          <w:kern w:val="0"/>
          <w:sz w:val="21"/>
          <w:szCs w:val="21"/>
          <w:highlight w:val="none"/>
          <w:u w:val="single"/>
        </w:rPr>
        <w:t xml:space="preserve">  </w:t>
      </w:r>
      <w:r>
        <w:rPr>
          <w:rFonts w:hint="eastAsia" w:ascii="Times New Roman" w:hAnsi="Times New Roman" w:eastAsia="仿宋_GB2312"/>
          <w:color w:val="auto"/>
          <w:kern w:val="0"/>
          <w:sz w:val="21"/>
          <w:szCs w:val="21"/>
          <w:highlight w:val="none"/>
          <w:u w:val="single"/>
        </w:rPr>
        <w:t xml:space="preserve"> /</w:t>
      </w:r>
      <w:r>
        <w:rPr>
          <w:rFonts w:ascii="Times New Roman" w:hAnsi="Times New Roman" w:eastAsia="仿宋_GB2312"/>
          <w:color w:val="auto"/>
          <w:kern w:val="0"/>
          <w:sz w:val="21"/>
          <w:szCs w:val="21"/>
          <w:highlight w:val="none"/>
          <w:u w:val="single"/>
        </w:rPr>
        <w:t xml:space="preserve">  </w:t>
      </w:r>
      <w:r>
        <w:rPr>
          <w:rFonts w:hint="eastAsia" w:ascii="Times New Roman" w:hAnsi="Times New Roman" w:eastAsia="仿宋_GB2312"/>
          <w:color w:val="auto"/>
          <w:kern w:val="0"/>
          <w:sz w:val="21"/>
          <w:szCs w:val="21"/>
          <w:highlight w:val="none"/>
          <w:u w:val="single"/>
        </w:rPr>
        <w:t xml:space="preserve">   </w:t>
      </w:r>
      <w:r>
        <w:rPr>
          <w:rFonts w:ascii="Times New Roman" w:hAnsi="Times New Roman" w:eastAsia="仿宋_GB2312"/>
          <w:color w:val="auto"/>
          <w:kern w:val="0"/>
          <w:sz w:val="21"/>
          <w:szCs w:val="21"/>
          <w:highlight w:val="none"/>
          <w:u w:val="single"/>
        </w:rPr>
        <w:t xml:space="preserve">       </w:t>
      </w:r>
      <w:r>
        <w:rPr>
          <w:rFonts w:ascii="Times New Roman" w:hAnsi="Times New Roman" w:eastAsia="仿宋_GB2312"/>
          <w:color w:val="auto"/>
          <w:kern w:val="0"/>
          <w:sz w:val="21"/>
          <w:szCs w:val="21"/>
          <w:highlight w:val="none"/>
        </w:rPr>
        <w:t>。</w:t>
      </w:r>
    </w:p>
    <w:p w14:paraId="50A20623">
      <w:pPr>
        <w:pageBreakBefore w:val="0"/>
        <w:widowControl w:val="0"/>
        <w:kinsoku/>
        <w:wordWrap/>
        <w:overflowPunct/>
        <w:topLinePunct w:val="0"/>
        <w:bidi w:val="0"/>
        <w:adjustRightInd w:val="0"/>
        <w:snapToGrid w:val="0"/>
        <w:spacing w:line="360" w:lineRule="auto"/>
        <w:ind w:left="596" w:leftChars="284"/>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1.4.3发包人对工程的技术标准和功能要求的特殊要求：</w:t>
      </w:r>
      <w:r>
        <w:rPr>
          <w:rFonts w:hint="eastAsia" w:ascii="Times New Roman" w:hAnsi="Times New Roman" w:eastAsia="仿宋_GB2312" w:cs="Times New Roman"/>
          <w:color w:val="auto"/>
          <w:kern w:val="0"/>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详见招标文件第七章“技术标准和要求”</w:t>
      </w:r>
      <w:r>
        <w:rPr>
          <w:rFonts w:hint="eastAsia" w:ascii="Times New Roman" w:hAnsi="Times New Roman" w:eastAsia="仿宋_GB2312" w:cs="Times New Roman"/>
          <w:color w:val="auto"/>
          <w:kern w:val="0"/>
          <w:sz w:val="21"/>
          <w:szCs w:val="21"/>
          <w:highlight w:val="none"/>
          <w:u w:val="single"/>
        </w:rPr>
        <w:t xml:space="preserve"> </w:t>
      </w:r>
      <w:r>
        <w:rPr>
          <w:rFonts w:ascii="Times New Roman" w:hAnsi="Times New Roman" w:eastAsia="仿宋_GB2312"/>
          <w:color w:val="auto"/>
          <w:sz w:val="21"/>
          <w:szCs w:val="21"/>
          <w:highlight w:val="none"/>
        </w:rPr>
        <w:t>。</w:t>
      </w:r>
    </w:p>
    <w:p w14:paraId="7D85E61A">
      <w:pPr>
        <w:pageBreakBefore w:val="0"/>
        <w:widowControl w:val="0"/>
        <w:kinsoku/>
        <w:wordWrap/>
        <w:overflowPunct/>
        <w:topLinePunct w:val="0"/>
        <w:bidi w:val="0"/>
        <w:adjustRightInd w:val="0"/>
        <w:snapToGrid w:val="0"/>
        <w:spacing w:line="360" w:lineRule="auto"/>
        <w:ind w:firstLine="420" w:firstLineChars="200"/>
        <w:textAlignment w:val="auto"/>
        <w:outlineLvl w:val="4"/>
        <w:rPr>
          <w:rFonts w:ascii="Times New Roman" w:hAnsi="Times New Roman" w:eastAsia="黑体"/>
          <w:color w:val="auto"/>
          <w:sz w:val="21"/>
          <w:szCs w:val="21"/>
          <w:highlight w:val="none"/>
        </w:rPr>
      </w:pPr>
      <w:bookmarkStart w:id="1273" w:name="_Toc29557"/>
      <w:r>
        <w:rPr>
          <w:rFonts w:ascii="Times New Roman" w:hAnsi="Times New Roman" w:eastAsia="黑体"/>
          <w:color w:val="auto"/>
          <w:sz w:val="21"/>
          <w:szCs w:val="21"/>
          <w:highlight w:val="none"/>
        </w:rPr>
        <w:t>1.5 合同文件的优先顺序</w:t>
      </w:r>
      <w:bookmarkEnd w:id="1273"/>
    </w:p>
    <w:p w14:paraId="5061E6AA">
      <w:pPr>
        <w:pageBreakBefore w:val="0"/>
        <w:widowControl w:val="0"/>
        <w:kinsoku/>
        <w:wordWrap/>
        <w:overflowPunct/>
        <w:topLinePunct w:val="0"/>
        <w:bidi w:val="0"/>
        <w:adjustRightInd w:val="0"/>
        <w:snapToGrid w:val="0"/>
        <w:spacing w:line="360" w:lineRule="auto"/>
        <w:ind w:firstLine="420" w:firstLineChars="200"/>
        <w:textAlignment w:val="auto"/>
        <w:rPr>
          <w:rFonts w:hint="eastAsia"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合同文件组成及优先顺序为：</w:t>
      </w:r>
      <w:r>
        <w:rPr>
          <w:rFonts w:hint="eastAsia" w:ascii="Times New Roman" w:hAnsi="Times New Roman" w:eastAsia="仿宋_GB2312" w:cs="Times New Roman"/>
          <w:color w:val="auto"/>
          <w:kern w:val="0"/>
          <w:sz w:val="21"/>
          <w:szCs w:val="21"/>
          <w:highlight w:val="none"/>
          <w:u w:val="single"/>
          <w:lang w:val="en-US" w:eastAsia="zh-CN"/>
        </w:rPr>
        <w:t>执行通用合同条款</w:t>
      </w:r>
      <w:r>
        <w:rPr>
          <w:rFonts w:ascii="Times New Roman" w:hAnsi="Times New Roman" w:eastAsia="仿宋_GB2312"/>
          <w:color w:val="auto"/>
          <w:sz w:val="21"/>
          <w:szCs w:val="21"/>
          <w:highlight w:val="none"/>
        </w:rPr>
        <w:t>。</w:t>
      </w:r>
    </w:p>
    <w:p w14:paraId="51A4BF5A">
      <w:pPr>
        <w:pageBreakBefore w:val="0"/>
        <w:widowControl w:val="0"/>
        <w:kinsoku/>
        <w:wordWrap/>
        <w:overflowPunct/>
        <w:topLinePunct w:val="0"/>
        <w:bidi w:val="0"/>
        <w:adjustRightInd w:val="0"/>
        <w:snapToGrid w:val="0"/>
        <w:spacing w:line="360" w:lineRule="auto"/>
        <w:ind w:firstLine="420" w:firstLineChars="200"/>
        <w:textAlignment w:val="auto"/>
        <w:outlineLvl w:val="4"/>
        <w:rPr>
          <w:rFonts w:ascii="Times New Roman" w:hAnsi="Times New Roman" w:eastAsia="黑体"/>
          <w:color w:val="auto"/>
          <w:sz w:val="21"/>
          <w:szCs w:val="21"/>
          <w:highlight w:val="none"/>
        </w:rPr>
      </w:pPr>
      <w:bookmarkStart w:id="1274" w:name="_Toc1737"/>
      <w:r>
        <w:rPr>
          <w:rFonts w:ascii="Times New Roman" w:hAnsi="Times New Roman" w:eastAsia="黑体"/>
          <w:color w:val="auto"/>
          <w:sz w:val="21"/>
          <w:szCs w:val="21"/>
          <w:highlight w:val="none"/>
        </w:rPr>
        <w:t>1.6 图纸和承包人文件</w:t>
      </w:r>
      <w:bookmarkEnd w:id="1274"/>
      <w:r>
        <w:rPr>
          <w:rFonts w:ascii="Times New Roman" w:hAnsi="Times New Roman" w:eastAsia="黑体"/>
          <w:color w:val="auto"/>
          <w:sz w:val="21"/>
          <w:szCs w:val="21"/>
          <w:highlight w:val="none"/>
        </w:rPr>
        <w:tab/>
      </w:r>
    </w:p>
    <w:p w14:paraId="30070931">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1.6.1 图纸的提供</w:t>
      </w:r>
    </w:p>
    <w:p w14:paraId="174EA90E">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发包人向承包人提供图纸的期限：</w:t>
      </w:r>
      <w:r>
        <w:rPr>
          <w:rFonts w:hint="eastAsia" w:ascii="Times New Roman" w:hAnsi="Times New Roman" w:eastAsia="仿宋_GB2312" w:cs="Times New Roman"/>
          <w:color w:val="auto"/>
          <w:kern w:val="0"/>
          <w:sz w:val="21"/>
          <w:szCs w:val="21"/>
          <w:highlight w:val="none"/>
          <w:u w:val="single"/>
          <w:lang w:val="en-US" w:eastAsia="zh-CN"/>
        </w:rPr>
        <w:t>开工日期前</w:t>
      </w:r>
      <w:r>
        <w:rPr>
          <w:rFonts w:hint="eastAsia" w:eastAsia="仿宋_GB2312" w:cs="Times New Roman"/>
          <w:color w:val="auto"/>
          <w:kern w:val="0"/>
          <w:sz w:val="21"/>
          <w:szCs w:val="21"/>
          <w:highlight w:val="none"/>
          <w:u w:val="single"/>
          <w:lang w:val="en-US" w:eastAsia="zh-CN"/>
        </w:rPr>
        <w:t>14</w:t>
      </w:r>
      <w:r>
        <w:rPr>
          <w:rFonts w:hint="eastAsia" w:ascii="Times New Roman" w:hAnsi="Times New Roman" w:eastAsia="仿宋_GB2312" w:cs="Times New Roman"/>
          <w:color w:val="auto"/>
          <w:kern w:val="0"/>
          <w:sz w:val="21"/>
          <w:szCs w:val="21"/>
          <w:highlight w:val="none"/>
          <w:u w:val="single"/>
          <w:lang w:val="en-US" w:eastAsia="zh-CN"/>
        </w:rPr>
        <w:t>天内</w:t>
      </w:r>
      <w:r>
        <w:rPr>
          <w:rFonts w:ascii="Times New Roman" w:hAnsi="Times New Roman" w:eastAsia="仿宋_GB2312"/>
          <w:color w:val="auto"/>
          <w:sz w:val="21"/>
          <w:szCs w:val="21"/>
          <w:highlight w:val="none"/>
        </w:rPr>
        <w:t>；</w:t>
      </w:r>
    </w:p>
    <w:p w14:paraId="2EE82CB1">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发包人向承包人提供图纸的数量：</w:t>
      </w:r>
      <w:r>
        <w:rPr>
          <w:rFonts w:hint="eastAsia" w:ascii="Times New Roman" w:hAnsi="Times New Roman" w:eastAsia="仿宋_GB2312" w:cs="Times New Roman"/>
          <w:color w:val="auto"/>
          <w:kern w:val="0"/>
          <w:sz w:val="21"/>
          <w:szCs w:val="21"/>
          <w:highlight w:val="none"/>
          <w:u w:val="single"/>
          <w:lang w:val="en-US" w:eastAsia="zh-CN"/>
        </w:rPr>
        <w:t>3套蓝图，其中1套盖审图章</w:t>
      </w:r>
      <w:r>
        <w:rPr>
          <w:rFonts w:hint="eastAsia" w:eastAsia="仿宋_GB2312" w:cs="Times New Roman"/>
          <w:color w:val="auto"/>
          <w:kern w:val="0"/>
          <w:sz w:val="21"/>
          <w:szCs w:val="21"/>
          <w:highlight w:val="none"/>
          <w:u w:val="single"/>
          <w:lang w:val="en-US" w:eastAsia="zh-CN"/>
        </w:rPr>
        <w:t>，</w:t>
      </w:r>
      <w:r>
        <w:rPr>
          <w:rFonts w:hint="eastAsia" w:ascii="Times New Roman" w:hAnsi="Times New Roman" w:eastAsia="仿宋_GB2312" w:cs="Times New Roman"/>
          <w:color w:val="auto"/>
          <w:kern w:val="0"/>
          <w:sz w:val="21"/>
          <w:szCs w:val="21"/>
          <w:highlight w:val="none"/>
          <w:u w:val="single"/>
          <w:lang w:val="en-US" w:eastAsia="zh-CN"/>
        </w:rPr>
        <w:t>承包人需要增加图纸套数的发包人可代为复制，复制费用由承包人负担</w:t>
      </w:r>
      <w:r>
        <w:rPr>
          <w:rFonts w:ascii="Times New Roman" w:hAnsi="Times New Roman" w:eastAsia="仿宋_GB2312"/>
          <w:color w:val="auto"/>
          <w:sz w:val="21"/>
          <w:szCs w:val="21"/>
          <w:highlight w:val="none"/>
        </w:rPr>
        <w:t>；</w:t>
      </w:r>
    </w:p>
    <w:p w14:paraId="496FFD66">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发包人向承包人提供图纸的内容：</w:t>
      </w:r>
      <w:r>
        <w:rPr>
          <w:rFonts w:hint="eastAsia" w:ascii="Times New Roman" w:hAnsi="Times New Roman" w:eastAsia="仿宋_GB2312" w:cs="Times New Roman"/>
          <w:color w:val="auto"/>
          <w:kern w:val="0"/>
          <w:sz w:val="21"/>
          <w:szCs w:val="21"/>
          <w:highlight w:val="none"/>
          <w:u w:val="single"/>
          <w:lang w:val="en-US" w:eastAsia="zh-CN"/>
        </w:rPr>
        <w:t>发包人掌握的全部承包范围内施工图纸</w:t>
      </w:r>
      <w:r>
        <w:rPr>
          <w:rFonts w:ascii="Times New Roman" w:hAnsi="Times New Roman" w:eastAsia="仿宋_GB2312"/>
          <w:color w:val="auto"/>
          <w:sz w:val="21"/>
          <w:szCs w:val="21"/>
          <w:highlight w:val="none"/>
        </w:rPr>
        <w:t>。</w:t>
      </w:r>
    </w:p>
    <w:p w14:paraId="5748EF3C">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1.6.4 承包人文件</w:t>
      </w:r>
    </w:p>
    <w:p w14:paraId="7863C54F">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u w:val="single"/>
        </w:rPr>
      </w:pPr>
      <w:r>
        <w:rPr>
          <w:rFonts w:ascii="Times New Roman" w:hAnsi="Times New Roman" w:eastAsia="仿宋_GB2312"/>
          <w:color w:val="auto"/>
          <w:sz w:val="21"/>
          <w:szCs w:val="21"/>
          <w:highlight w:val="none"/>
        </w:rPr>
        <w:t>需要由承包人提供的文件，包括：</w:t>
      </w:r>
      <w:r>
        <w:rPr>
          <w:rFonts w:hint="eastAsia" w:eastAsia="仿宋_GB2312"/>
          <w:color w:val="auto"/>
          <w:sz w:val="21"/>
          <w:szCs w:val="21"/>
          <w:highlight w:val="none"/>
          <w:lang w:eastAsia="zh-CN"/>
        </w:rPr>
        <w:t>（</w:t>
      </w:r>
      <w:r>
        <w:rPr>
          <w:rFonts w:hint="eastAsia" w:ascii="Times New Roman" w:hAnsi="Times New Roman" w:eastAsia="仿宋_GB2312"/>
          <w:color w:val="auto"/>
          <w:sz w:val="21"/>
          <w:szCs w:val="21"/>
          <w:highlight w:val="none"/>
          <w:u w:val="single"/>
        </w:rPr>
        <w:t>1</w:t>
      </w:r>
      <w:r>
        <w:rPr>
          <w:rFonts w:hint="eastAsia" w:eastAsia="仿宋_GB2312"/>
          <w:color w:val="auto"/>
          <w:sz w:val="21"/>
          <w:szCs w:val="21"/>
          <w:highlight w:val="none"/>
          <w:u w:val="single"/>
          <w:lang w:eastAsia="zh-CN"/>
        </w:rPr>
        <w:t>）</w:t>
      </w:r>
      <w:r>
        <w:rPr>
          <w:rFonts w:hint="eastAsia" w:ascii="Times New Roman" w:hAnsi="Times New Roman" w:eastAsia="仿宋_GB2312" w:cs="Times New Roman"/>
          <w:color w:val="auto"/>
          <w:kern w:val="0"/>
          <w:sz w:val="21"/>
          <w:szCs w:val="21"/>
          <w:highlight w:val="none"/>
          <w:u w:val="single"/>
          <w:lang w:val="en-US" w:eastAsia="zh-CN"/>
        </w:rPr>
        <w:t>详细、切实可行的</w:t>
      </w:r>
      <w:r>
        <w:rPr>
          <w:rFonts w:hint="eastAsia" w:ascii="Times New Roman" w:hAnsi="Times New Roman" w:eastAsia="仿宋_GB2312"/>
          <w:color w:val="auto"/>
          <w:sz w:val="21"/>
          <w:szCs w:val="21"/>
          <w:highlight w:val="none"/>
          <w:u w:val="single"/>
        </w:rPr>
        <w:t>现场施工组织设计、施工总进度计划、</w:t>
      </w:r>
      <w:r>
        <w:rPr>
          <w:rFonts w:hint="eastAsia" w:ascii="Times New Roman" w:hAnsi="Times New Roman" w:eastAsia="仿宋_GB2312" w:cs="Times New Roman"/>
          <w:color w:val="auto"/>
          <w:kern w:val="0"/>
          <w:sz w:val="21"/>
          <w:szCs w:val="21"/>
          <w:highlight w:val="none"/>
          <w:u w:val="single"/>
          <w:lang w:val="en-US" w:eastAsia="zh-CN"/>
        </w:rPr>
        <w:t>工程进度计划</w:t>
      </w:r>
      <w:r>
        <w:rPr>
          <w:rFonts w:hint="eastAsia" w:eastAsia="仿宋_GB2312" w:cs="Times New Roman"/>
          <w:color w:val="auto"/>
          <w:kern w:val="0"/>
          <w:sz w:val="21"/>
          <w:szCs w:val="21"/>
          <w:highlight w:val="none"/>
          <w:u w:val="single"/>
          <w:lang w:val="en-US" w:eastAsia="zh-CN"/>
        </w:rPr>
        <w:t>、项目管理机构</w:t>
      </w:r>
      <w:r>
        <w:rPr>
          <w:rFonts w:hint="eastAsia" w:ascii="Times New Roman" w:hAnsi="Times New Roman" w:eastAsia="仿宋_GB2312"/>
          <w:color w:val="auto"/>
          <w:sz w:val="21"/>
          <w:szCs w:val="21"/>
          <w:highlight w:val="none"/>
          <w:u w:val="single"/>
        </w:rPr>
        <w:t>等；</w:t>
      </w:r>
      <w:r>
        <w:rPr>
          <w:rFonts w:hint="eastAsia" w:eastAsia="仿宋_GB2312"/>
          <w:color w:val="auto"/>
          <w:sz w:val="21"/>
          <w:szCs w:val="21"/>
          <w:highlight w:val="none"/>
          <w:u w:val="single"/>
          <w:lang w:eastAsia="zh-CN"/>
        </w:rPr>
        <w:t>（</w:t>
      </w:r>
      <w:r>
        <w:rPr>
          <w:rFonts w:hint="eastAsia" w:ascii="Times New Roman" w:hAnsi="Times New Roman" w:eastAsia="仿宋_GB2312"/>
          <w:color w:val="auto"/>
          <w:sz w:val="21"/>
          <w:szCs w:val="21"/>
          <w:highlight w:val="none"/>
          <w:u w:val="single"/>
        </w:rPr>
        <w:t>2</w:t>
      </w:r>
      <w:r>
        <w:rPr>
          <w:rFonts w:hint="eastAsia" w:eastAsia="仿宋_GB2312"/>
          <w:color w:val="auto"/>
          <w:sz w:val="21"/>
          <w:szCs w:val="21"/>
          <w:highlight w:val="none"/>
          <w:u w:val="single"/>
          <w:lang w:eastAsia="zh-CN"/>
        </w:rPr>
        <w:t>）</w:t>
      </w:r>
      <w:r>
        <w:rPr>
          <w:rFonts w:hint="eastAsia" w:ascii="Times New Roman" w:hAnsi="Times New Roman" w:eastAsia="仿宋_GB2312"/>
          <w:color w:val="auto"/>
          <w:sz w:val="21"/>
          <w:szCs w:val="21"/>
          <w:highlight w:val="none"/>
          <w:u w:val="single"/>
        </w:rPr>
        <w:t>有关的安全文明施工方案等</w:t>
      </w:r>
      <w:r>
        <w:rPr>
          <w:rFonts w:hint="eastAsia" w:eastAsia="仿宋_GB2312"/>
          <w:color w:val="auto"/>
          <w:sz w:val="21"/>
          <w:szCs w:val="21"/>
          <w:highlight w:val="none"/>
          <w:u w:val="single"/>
          <w:lang w:eastAsia="zh-CN"/>
        </w:rPr>
        <w:t>；（</w:t>
      </w:r>
      <w:r>
        <w:rPr>
          <w:rFonts w:hint="eastAsia" w:ascii="Times New Roman" w:hAnsi="Times New Roman" w:eastAsia="仿宋_GB2312"/>
          <w:color w:val="auto"/>
          <w:sz w:val="21"/>
          <w:szCs w:val="21"/>
          <w:highlight w:val="none"/>
          <w:u w:val="single"/>
        </w:rPr>
        <w:t>3</w:t>
      </w:r>
      <w:r>
        <w:rPr>
          <w:rFonts w:hint="eastAsia" w:eastAsia="仿宋_GB2312"/>
          <w:color w:val="auto"/>
          <w:sz w:val="21"/>
          <w:szCs w:val="21"/>
          <w:highlight w:val="none"/>
          <w:u w:val="single"/>
          <w:lang w:eastAsia="zh-CN"/>
        </w:rPr>
        <w:t>）</w:t>
      </w:r>
      <w:r>
        <w:rPr>
          <w:rFonts w:hint="eastAsia" w:ascii="Times New Roman" w:hAnsi="Times New Roman" w:eastAsia="仿宋_GB2312"/>
          <w:color w:val="auto"/>
          <w:sz w:val="21"/>
          <w:szCs w:val="21"/>
          <w:highlight w:val="none"/>
          <w:u w:val="single"/>
        </w:rPr>
        <w:t>工程竣工备案资料</w:t>
      </w:r>
      <w:r>
        <w:rPr>
          <w:rFonts w:hint="eastAsia" w:eastAsia="仿宋_GB2312"/>
          <w:color w:val="auto"/>
          <w:sz w:val="21"/>
          <w:szCs w:val="21"/>
          <w:highlight w:val="none"/>
          <w:u w:val="single"/>
          <w:lang w:eastAsia="zh-CN"/>
        </w:rPr>
        <w:t>（</w:t>
      </w:r>
      <w:r>
        <w:rPr>
          <w:rFonts w:hint="eastAsia" w:ascii="Times New Roman" w:hAnsi="Times New Roman" w:eastAsia="仿宋_GB2312"/>
          <w:color w:val="auto"/>
          <w:sz w:val="21"/>
          <w:szCs w:val="21"/>
          <w:highlight w:val="none"/>
          <w:u w:val="single"/>
        </w:rPr>
        <w:t>含竣工图</w:t>
      </w:r>
      <w:r>
        <w:rPr>
          <w:rFonts w:hint="eastAsia" w:eastAsia="仿宋_GB2312"/>
          <w:color w:val="auto"/>
          <w:sz w:val="21"/>
          <w:szCs w:val="21"/>
          <w:highlight w:val="none"/>
          <w:u w:val="single"/>
          <w:lang w:eastAsia="zh-CN"/>
        </w:rPr>
        <w:t>）</w:t>
      </w:r>
      <w:r>
        <w:rPr>
          <w:rFonts w:hint="eastAsia" w:ascii="Times New Roman" w:hAnsi="Times New Roman" w:eastAsia="仿宋_GB2312"/>
          <w:color w:val="auto"/>
          <w:sz w:val="21"/>
          <w:szCs w:val="21"/>
          <w:highlight w:val="none"/>
          <w:u w:val="single"/>
        </w:rPr>
        <w:t>、工程结算书及资料</w:t>
      </w:r>
      <w:r>
        <w:rPr>
          <w:rFonts w:hint="eastAsia" w:eastAsia="仿宋_GB2312"/>
          <w:color w:val="auto"/>
          <w:sz w:val="21"/>
          <w:szCs w:val="21"/>
          <w:highlight w:val="none"/>
          <w:u w:val="single"/>
          <w:lang w:eastAsia="zh-CN"/>
        </w:rPr>
        <w:t>；（</w:t>
      </w:r>
      <w:r>
        <w:rPr>
          <w:rFonts w:hint="eastAsia" w:ascii="Times New Roman" w:hAnsi="Times New Roman" w:eastAsia="仿宋_GB2312"/>
          <w:color w:val="auto"/>
          <w:sz w:val="21"/>
          <w:szCs w:val="21"/>
          <w:highlight w:val="none"/>
          <w:u w:val="single"/>
        </w:rPr>
        <w:t>4</w:t>
      </w:r>
      <w:r>
        <w:rPr>
          <w:rFonts w:hint="eastAsia" w:eastAsia="仿宋_GB2312"/>
          <w:color w:val="auto"/>
          <w:sz w:val="21"/>
          <w:szCs w:val="21"/>
          <w:highlight w:val="none"/>
          <w:u w:val="single"/>
          <w:lang w:eastAsia="zh-CN"/>
        </w:rPr>
        <w:t>）</w:t>
      </w:r>
      <w:r>
        <w:rPr>
          <w:rFonts w:hint="eastAsia" w:ascii="Times New Roman" w:hAnsi="Times New Roman" w:eastAsia="仿宋_GB2312"/>
          <w:color w:val="auto"/>
          <w:sz w:val="21"/>
          <w:szCs w:val="21"/>
          <w:highlight w:val="none"/>
          <w:u w:val="single"/>
        </w:rPr>
        <w:t>其他发包人或监理单位要求提交的文件</w:t>
      </w:r>
      <w:r>
        <w:rPr>
          <w:rFonts w:hint="eastAsia" w:eastAsia="仿宋_GB2312" w:cs="Times New Roman"/>
          <w:color w:val="auto"/>
          <w:kern w:val="0"/>
          <w:sz w:val="21"/>
          <w:szCs w:val="21"/>
          <w:highlight w:val="none"/>
          <w:u w:val="single"/>
          <w:lang w:val="en-US" w:eastAsia="zh-CN"/>
        </w:rPr>
        <w:t>。</w:t>
      </w:r>
    </w:p>
    <w:p w14:paraId="54736DB7">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承包人提供的文件的期限为：</w:t>
      </w:r>
      <w:r>
        <w:rPr>
          <w:rFonts w:hint="eastAsia" w:ascii="Times New Roman" w:hAnsi="Times New Roman" w:eastAsia="仿宋_GB2312" w:cs="Times New Roman"/>
          <w:color w:val="auto"/>
          <w:kern w:val="0"/>
          <w:sz w:val="21"/>
          <w:szCs w:val="21"/>
          <w:highlight w:val="none"/>
          <w:u w:val="single"/>
          <w:lang w:val="en-US" w:eastAsia="zh-CN"/>
        </w:rPr>
        <w:t>施工组织设计、进度计划等文件合同签订后2</w:t>
      </w:r>
      <w:r>
        <w:rPr>
          <w:rFonts w:hint="eastAsia" w:eastAsia="仿宋_GB2312" w:cs="Times New Roman"/>
          <w:color w:val="auto"/>
          <w:kern w:val="0"/>
          <w:sz w:val="21"/>
          <w:szCs w:val="21"/>
          <w:highlight w:val="none"/>
          <w:u w:val="single"/>
          <w:lang w:val="en-US" w:eastAsia="zh-CN"/>
        </w:rPr>
        <w:t>5</w:t>
      </w:r>
      <w:r>
        <w:rPr>
          <w:rFonts w:hint="eastAsia" w:ascii="Times New Roman" w:hAnsi="Times New Roman" w:eastAsia="仿宋_GB2312" w:cs="Times New Roman"/>
          <w:color w:val="auto"/>
          <w:kern w:val="0"/>
          <w:sz w:val="21"/>
          <w:szCs w:val="21"/>
          <w:highlight w:val="none"/>
          <w:u w:val="single"/>
          <w:lang w:val="en-US" w:eastAsia="zh-CN"/>
        </w:rPr>
        <w:t>日内，竣工验收后30日内提供本工程整套竣工资料及竣工图纸</w:t>
      </w:r>
      <w:r>
        <w:rPr>
          <w:rFonts w:ascii="Times New Roman" w:hAnsi="Times New Roman" w:eastAsia="仿宋_GB2312"/>
          <w:color w:val="auto"/>
          <w:sz w:val="21"/>
          <w:szCs w:val="21"/>
          <w:highlight w:val="none"/>
        </w:rPr>
        <w:t>；</w:t>
      </w:r>
    </w:p>
    <w:p w14:paraId="210ACB67">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承包人提供的文件的数量为：</w:t>
      </w:r>
      <w:r>
        <w:rPr>
          <w:rFonts w:hint="eastAsia" w:ascii="Times New Roman" w:hAnsi="Times New Roman" w:eastAsia="仿宋_GB2312" w:cs="Times New Roman"/>
          <w:color w:val="auto"/>
          <w:kern w:val="0"/>
          <w:sz w:val="21"/>
          <w:szCs w:val="21"/>
          <w:highlight w:val="none"/>
          <w:u w:val="single"/>
          <w:lang w:val="en-US" w:eastAsia="zh-CN"/>
        </w:rPr>
        <w:t>一式四份纸质文件及电子文件</w:t>
      </w:r>
      <w:r>
        <w:rPr>
          <w:rFonts w:ascii="Times New Roman" w:hAnsi="Times New Roman" w:eastAsia="仿宋_GB2312"/>
          <w:color w:val="auto"/>
          <w:sz w:val="21"/>
          <w:szCs w:val="21"/>
          <w:highlight w:val="none"/>
        </w:rPr>
        <w:t>；</w:t>
      </w:r>
    </w:p>
    <w:p w14:paraId="35F4645D">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承包人提供的文件的形式为：</w:t>
      </w:r>
      <w:r>
        <w:rPr>
          <w:rFonts w:hint="eastAsia" w:ascii="Times New Roman" w:hAnsi="Times New Roman" w:eastAsia="仿宋_GB2312" w:cs="Times New Roman"/>
          <w:color w:val="auto"/>
          <w:kern w:val="0"/>
          <w:sz w:val="21"/>
          <w:szCs w:val="21"/>
          <w:highlight w:val="none"/>
          <w:u w:val="single"/>
          <w:lang w:val="en-US" w:eastAsia="zh-CN"/>
        </w:rPr>
        <w:t>经签字盖章审批的书面及电子文档形式</w:t>
      </w:r>
      <w:r>
        <w:rPr>
          <w:rFonts w:ascii="Times New Roman" w:hAnsi="Times New Roman" w:eastAsia="仿宋_GB2312"/>
          <w:color w:val="auto"/>
          <w:sz w:val="21"/>
          <w:szCs w:val="21"/>
          <w:highlight w:val="none"/>
        </w:rPr>
        <w:t>；</w:t>
      </w:r>
    </w:p>
    <w:p w14:paraId="51F32F03">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发包人</w:t>
      </w:r>
      <w:r>
        <w:rPr>
          <w:rFonts w:hint="eastAsia" w:ascii="Times New Roman" w:hAnsi="Times New Roman" w:eastAsia="仿宋_GB2312"/>
          <w:color w:val="auto"/>
          <w:sz w:val="21"/>
          <w:szCs w:val="21"/>
          <w:highlight w:val="none"/>
        </w:rPr>
        <w:t>审批</w:t>
      </w:r>
      <w:r>
        <w:rPr>
          <w:rFonts w:ascii="Times New Roman" w:hAnsi="Times New Roman" w:eastAsia="仿宋_GB2312"/>
          <w:color w:val="auto"/>
          <w:sz w:val="21"/>
          <w:szCs w:val="21"/>
          <w:highlight w:val="none"/>
        </w:rPr>
        <w:t>承包人文件的期限：</w:t>
      </w:r>
      <w:r>
        <w:rPr>
          <w:rFonts w:hint="eastAsia" w:ascii="Times New Roman" w:hAnsi="Times New Roman" w:eastAsia="仿宋_GB2312" w:cs="Times New Roman"/>
          <w:color w:val="auto"/>
          <w:kern w:val="0"/>
          <w:sz w:val="21"/>
          <w:szCs w:val="21"/>
          <w:highlight w:val="none"/>
          <w:u w:val="single"/>
          <w:lang w:val="en-US" w:eastAsia="zh-CN"/>
        </w:rPr>
        <w:t>执行通用合同条款</w:t>
      </w:r>
      <w:r>
        <w:rPr>
          <w:rFonts w:ascii="Times New Roman" w:hAnsi="Times New Roman" w:eastAsia="仿宋_GB2312"/>
          <w:color w:val="auto"/>
          <w:sz w:val="21"/>
          <w:szCs w:val="21"/>
          <w:highlight w:val="none"/>
        </w:rPr>
        <w:t>。</w:t>
      </w:r>
    </w:p>
    <w:p w14:paraId="4B8918FC">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1.6.5 现场图纸准备</w:t>
      </w:r>
    </w:p>
    <w:p w14:paraId="28F52403">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关于现场图纸准备的约定：</w:t>
      </w:r>
      <w:r>
        <w:rPr>
          <w:rFonts w:hint="eastAsia" w:ascii="Times New Roman" w:hAnsi="Times New Roman" w:eastAsia="仿宋_GB2312" w:cs="Times New Roman"/>
          <w:color w:val="auto"/>
          <w:kern w:val="0"/>
          <w:sz w:val="21"/>
          <w:szCs w:val="21"/>
          <w:highlight w:val="none"/>
          <w:u w:val="single"/>
          <w:lang w:val="en-US" w:eastAsia="zh-CN"/>
        </w:rPr>
        <w:t>由承包人在其现场办公室保存一整套完整的设计图纸供发包人、监理人等参建单位查阅，承包人应确保现场图纸的完整性、有效性</w:t>
      </w:r>
      <w:r>
        <w:rPr>
          <w:rFonts w:ascii="Times New Roman" w:hAnsi="Times New Roman" w:eastAsia="仿宋_GB2312"/>
          <w:color w:val="auto"/>
          <w:sz w:val="21"/>
          <w:szCs w:val="21"/>
          <w:highlight w:val="none"/>
        </w:rPr>
        <w:t>。</w:t>
      </w:r>
    </w:p>
    <w:p w14:paraId="12A570AF">
      <w:pPr>
        <w:pageBreakBefore w:val="0"/>
        <w:widowControl w:val="0"/>
        <w:kinsoku/>
        <w:wordWrap/>
        <w:overflowPunct/>
        <w:topLinePunct w:val="0"/>
        <w:bidi w:val="0"/>
        <w:adjustRightInd w:val="0"/>
        <w:snapToGrid w:val="0"/>
        <w:spacing w:line="360" w:lineRule="auto"/>
        <w:ind w:firstLine="420" w:firstLineChars="200"/>
        <w:textAlignment w:val="auto"/>
        <w:outlineLvl w:val="4"/>
        <w:rPr>
          <w:rFonts w:ascii="Times New Roman" w:hAnsi="Times New Roman" w:eastAsia="黑体"/>
          <w:color w:val="auto"/>
          <w:sz w:val="21"/>
          <w:szCs w:val="21"/>
          <w:highlight w:val="none"/>
        </w:rPr>
      </w:pPr>
      <w:bookmarkStart w:id="1275" w:name="_Toc29171"/>
      <w:r>
        <w:rPr>
          <w:rFonts w:ascii="Times New Roman" w:hAnsi="Times New Roman" w:eastAsia="黑体"/>
          <w:color w:val="auto"/>
          <w:sz w:val="21"/>
          <w:szCs w:val="21"/>
          <w:highlight w:val="none"/>
        </w:rPr>
        <w:t>1.7 联络</w:t>
      </w:r>
      <w:bookmarkEnd w:id="1275"/>
    </w:p>
    <w:p w14:paraId="52C8022E">
      <w:pPr>
        <w:pageBreakBefore w:val="0"/>
        <w:widowControl w:val="0"/>
        <w:kinsoku/>
        <w:wordWrap/>
        <w:overflowPunct/>
        <w:topLinePunct w:val="0"/>
        <w:bidi w:val="0"/>
        <w:adjustRightInd w:val="0"/>
        <w:snapToGrid w:val="0"/>
        <w:spacing w:line="360" w:lineRule="auto"/>
        <w:ind w:firstLine="420" w:firstLineChars="200"/>
        <w:textAlignment w:val="auto"/>
        <w:rPr>
          <w:rFonts w:hint="eastAsia"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1.7.1发包人和承包人应当在</w:t>
      </w:r>
      <w:r>
        <w:rPr>
          <w:rFonts w:hint="eastAsia" w:ascii="Times New Roman" w:hAnsi="Times New Roman" w:eastAsia="仿宋_GB2312" w:cs="Times New Roman"/>
          <w:color w:val="auto"/>
          <w:kern w:val="0"/>
          <w:sz w:val="21"/>
          <w:szCs w:val="21"/>
          <w:highlight w:val="none"/>
          <w:u w:val="single"/>
          <w:lang w:val="en-US" w:eastAsia="zh-CN"/>
        </w:rPr>
        <w:t>3 天</w:t>
      </w:r>
      <w:r>
        <w:rPr>
          <w:rFonts w:ascii="Times New Roman" w:hAnsi="Times New Roman" w:eastAsia="仿宋_GB2312"/>
          <w:color w:val="auto"/>
          <w:kern w:val="0"/>
          <w:sz w:val="21"/>
          <w:szCs w:val="21"/>
          <w:highlight w:val="none"/>
        </w:rPr>
        <w:t>内将与合同有关的通知、批准、证明、证书、指示、指令、要求、请求、同意、意见、确定和决定等书面函件送达对方当事人</w:t>
      </w:r>
      <w:r>
        <w:rPr>
          <w:rFonts w:hint="eastAsia" w:ascii="Times New Roman" w:hAnsi="Times New Roman" w:eastAsia="仿宋_GB2312"/>
          <w:color w:val="auto"/>
          <w:kern w:val="0"/>
          <w:sz w:val="21"/>
          <w:szCs w:val="21"/>
          <w:highlight w:val="none"/>
        </w:rPr>
        <w:t>。</w:t>
      </w:r>
    </w:p>
    <w:p w14:paraId="5FD0F142">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1.7.2 发包人接收文件的地点：</w:t>
      </w:r>
      <w:r>
        <w:rPr>
          <w:rFonts w:hint="eastAsia" w:ascii="Times New Roman" w:hAnsi="Times New Roman" w:eastAsia="仿宋_GB2312" w:cs="Times New Roman"/>
          <w:color w:val="auto"/>
          <w:kern w:val="0"/>
          <w:sz w:val="21"/>
          <w:szCs w:val="21"/>
          <w:highlight w:val="none"/>
          <w:u w:val="single"/>
          <w:lang w:val="en-US" w:eastAsia="zh-CN"/>
        </w:rPr>
        <w:t xml:space="preserve">本项目所在地  </w:t>
      </w:r>
      <w:r>
        <w:rPr>
          <w:rFonts w:ascii="Times New Roman" w:hAnsi="Times New Roman" w:eastAsia="仿宋_GB2312"/>
          <w:color w:val="auto"/>
          <w:kern w:val="0"/>
          <w:sz w:val="21"/>
          <w:szCs w:val="21"/>
          <w:highlight w:val="none"/>
        </w:rPr>
        <w:t>；</w:t>
      </w:r>
    </w:p>
    <w:p w14:paraId="465B07B7">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发包人指定的接收人为：</w:t>
      </w:r>
      <w:r>
        <w:rPr>
          <w:rFonts w:ascii="Times New Roman" w:hAnsi="Times New Roman" w:eastAsia="仿宋_GB2312"/>
          <w:color w:val="auto"/>
          <w:sz w:val="21"/>
          <w:szCs w:val="21"/>
          <w:highlight w:val="none"/>
          <w:u w:val="single"/>
        </w:rPr>
        <w:t></w:t>
      </w:r>
      <w:r>
        <w:rPr>
          <w:rFonts w:hint="eastAsia" w:ascii="Times New Roman" w:hAnsi="Times New Roman" w:eastAsia="仿宋_GB2312"/>
          <w:color w:val="auto"/>
          <w:sz w:val="21"/>
          <w:szCs w:val="21"/>
          <w:highlight w:val="none"/>
          <w:u w:val="single"/>
        </w:rPr>
        <w:t>发包人代表</w:t>
      </w:r>
      <w:r>
        <w:rPr>
          <w:rFonts w:ascii="Times New Roman" w:hAnsi="Times New Roman" w:eastAsia="仿宋_GB2312"/>
          <w:color w:val="auto"/>
          <w:sz w:val="21"/>
          <w:szCs w:val="21"/>
          <w:highlight w:val="none"/>
          <w:u w:val="single"/>
        </w:rPr>
        <w:t></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w:t>
      </w:r>
      <w:r>
        <w:rPr>
          <w:rFonts w:ascii="Times New Roman" w:hAnsi="Times New Roman" w:eastAsia="仿宋_GB2312"/>
          <w:color w:val="auto"/>
          <w:kern w:val="0"/>
          <w:sz w:val="21"/>
          <w:szCs w:val="21"/>
          <w:highlight w:val="none"/>
        </w:rPr>
        <w:t>。</w:t>
      </w:r>
    </w:p>
    <w:p w14:paraId="20397E4B">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承包人接收文件的地点：</w:t>
      </w:r>
      <w:r>
        <w:rPr>
          <w:rFonts w:ascii="Times New Roman" w:hAnsi="Times New Roman" w:eastAsia="仿宋_GB2312"/>
          <w:color w:val="auto"/>
          <w:sz w:val="21"/>
          <w:szCs w:val="21"/>
          <w:highlight w:val="none"/>
          <w:u w:val="single"/>
        </w:rPr>
        <w:t></w:t>
      </w:r>
      <w:r>
        <w:rPr>
          <w:rFonts w:hint="eastAsia" w:ascii="Times New Roman" w:hAnsi="Times New Roman" w:eastAsia="仿宋_GB2312" w:cs="Times New Roman"/>
          <w:color w:val="auto"/>
          <w:kern w:val="0"/>
          <w:sz w:val="21"/>
          <w:szCs w:val="21"/>
          <w:highlight w:val="none"/>
          <w:u w:val="single"/>
          <w:lang w:val="en-US" w:eastAsia="zh-CN"/>
        </w:rPr>
        <w:t>本项目所在地</w:t>
      </w:r>
      <w:r>
        <w:rPr>
          <w:rFonts w:ascii="Times New Roman" w:hAnsi="Times New Roman" w:eastAsia="仿宋_GB2312"/>
          <w:color w:val="auto"/>
          <w:sz w:val="21"/>
          <w:szCs w:val="21"/>
          <w:highlight w:val="none"/>
          <w:u w:val="single"/>
        </w:rPr>
        <w:t></w:t>
      </w:r>
      <w:r>
        <w:rPr>
          <w:rFonts w:ascii="Times New Roman" w:hAnsi="Times New Roman" w:eastAsia="仿宋_GB2312"/>
          <w:color w:val="auto"/>
          <w:kern w:val="0"/>
          <w:sz w:val="21"/>
          <w:szCs w:val="21"/>
          <w:highlight w:val="none"/>
        </w:rPr>
        <w:t>；</w:t>
      </w:r>
    </w:p>
    <w:p w14:paraId="0419BDE1">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承包人指定的接收人为：</w:t>
      </w:r>
      <w:r>
        <w:rPr>
          <w:rFonts w:ascii="Times New Roman" w:hAnsi="Times New Roman" w:eastAsia="仿宋_GB2312"/>
          <w:color w:val="auto"/>
          <w:sz w:val="21"/>
          <w:szCs w:val="21"/>
          <w:highlight w:val="none"/>
          <w:u w:val="single"/>
        </w:rPr>
        <w:t></w:t>
      </w:r>
      <w:r>
        <w:rPr>
          <w:rFonts w:hint="eastAsia" w:ascii="Times New Roman" w:hAnsi="Times New Roman" w:eastAsia="仿宋_GB2312"/>
          <w:color w:val="auto"/>
          <w:sz w:val="21"/>
          <w:szCs w:val="21"/>
          <w:highlight w:val="none"/>
          <w:u w:val="single"/>
        </w:rPr>
        <w:t>项目经理</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w:t>
      </w:r>
      <w:r>
        <w:rPr>
          <w:rFonts w:ascii="Times New Roman" w:hAnsi="Times New Roman" w:eastAsia="仿宋_GB2312"/>
          <w:color w:val="auto"/>
          <w:kern w:val="0"/>
          <w:sz w:val="21"/>
          <w:szCs w:val="21"/>
          <w:highlight w:val="none"/>
        </w:rPr>
        <w:t>。</w:t>
      </w:r>
    </w:p>
    <w:p w14:paraId="2191F5B2">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监理人接收文件的地点：</w:t>
      </w:r>
      <w:r>
        <w:rPr>
          <w:rFonts w:ascii="Times New Roman" w:hAnsi="Times New Roman" w:eastAsia="仿宋_GB2312"/>
          <w:color w:val="auto"/>
          <w:sz w:val="21"/>
          <w:szCs w:val="21"/>
          <w:highlight w:val="none"/>
          <w:u w:val="single"/>
        </w:rPr>
        <w:t></w:t>
      </w:r>
      <w:r>
        <w:rPr>
          <w:rFonts w:hint="eastAsia" w:ascii="Times New Roman" w:hAnsi="Times New Roman" w:eastAsia="仿宋_GB2312" w:cs="Times New Roman"/>
          <w:color w:val="auto"/>
          <w:kern w:val="0"/>
          <w:sz w:val="21"/>
          <w:szCs w:val="21"/>
          <w:highlight w:val="none"/>
          <w:u w:val="single"/>
          <w:lang w:val="en-US" w:eastAsia="zh-CN"/>
        </w:rPr>
        <w:t>本项目所在地</w:t>
      </w:r>
      <w:r>
        <w:rPr>
          <w:rFonts w:ascii="Times New Roman" w:hAnsi="Times New Roman" w:eastAsia="仿宋_GB2312"/>
          <w:color w:val="auto"/>
          <w:sz w:val="21"/>
          <w:szCs w:val="21"/>
          <w:highlight w:val="none"/>
          <w:u w:val="single"/>
        </w:rPr>
        <w:t></w:t>
      </w:r>
      <w:r>
        <w:rPr>
          <w:rFonts w:ascii="Times New Roman" w:hAnsi="Times New Roman" w:eastAsia="仿宋_GB2312"/>
          <w:color w:val="auto"/>
          <w:kern w:val="0"/>
          <w:sz w:val="21"/>
          <w:szCs w:val="21"/>
          <w:highlight w:val="none"/>
        </w:rPr>
        <w:t>；</w:t>
      </w:r>
    </w:p>
    <w:p w14:paraId="23D4E41F">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监理人指定的接收人为：</w:t>
      </w:r>
      <w:r>
        <w:rPr>
          <w:rFonts w:ascii="Times New Roman" w:hAnsi="Times New Roman" w:eastAsia="仿宋_GB2312"/>
          <w:color w:val="auto"/>
          <w:sz w:val="21"/>
          <w:szCs w:val="21"/>
          <w:highlight w:val="none"/>
          <w:u w:val="single"/>
        </w:rPr>
        <w:t></w:t>
      </w:r>
      <w:r>
        <w:rPr>
          <w:rFonts w:hint="eastAsia" w:ascii="Times New Roman" w:hAnsi="Times New Roman" w:eastAsia="仿宋_GB2312"/>
          <w:color w:val="auto"/>
          <w:sz w:val="21"/>
          <w:szCs w:val="21"/>
          <w:highlight w:val="none"/>
          <w:u w:val="single"/>
        </w:rPr>
        <w:t>总监理工程师</w:t>
      </w:r>
      <w:r>
        <w:rPr>
          <w:rFonts w:ascii="Times New Roman" w:hAnsi="Times New Roman" w:eastAsia="仿宋_GB2312"/>
          <w:color w:val="auto"/>
          <w:sz w:val="21"/>
          <w:szCs w:val="21"/>
          <w:highlight w:val="none"/>
          <w:u w:val="single"/>
        </w:rPr>
        <w:t></w:t>
      </w:r>
      <w:r>
        <w:rPr>
          <w:rFonts w:ascii="Times New Roman" w:hAnsi="Times New Roman" w:eastAsia="仿宋_GB2312"/>
          <w:color w:val="auto"/>
          <w:kern w:val="0"/>
          <w:sz w:val="21"/>
          <w:szCs w:val="21"/>
          <w:highlight w:val="none"/>
        </w:rPr>
        <w:t>。</w:t>
      </w:r>
    </w:p>
    <w:p w14:paraId="197B902A">
      <w:pPr>
        <w:pageBreakBefore w:val="0"/>
        <w:widowControl w:val="0"/>
        <w:kinsoku/>
        <w:wordWrap/>
        <w:overflowPunct/>
        <w:topLinePunct w:val="0"/>
        <w:bidi w:val="0"/>
        <w:adjustRightInd w:val="0"/>
        <w:snapToGrid w:val="0"/>
        <w:spacing w:line="360" w:lineRule="auto"/>
        <w:ind w:firstLine="420" w:firstLineChars="200"/>
        <w:textAlignment w:val="auto"/>
        <w:outlineLvl w:val="4"/>
        <w:rPr>
          <w:rFonts w:ascii="Times New Roman" w:hAnsi="Times New Roman" w:eastAsia="黑体"/>
          <w:color w:val="auto"/>
          <w:sz w:val="21"/>
          <w:szCs w:val="21"/>
          <w:highlight w:val="none"/>
        </w:rPr>
      </w:pPr>
      <w:bookmarkStart w:id="1276" w:name="_Toc52"/>
      <w:r>
        <w:rPr>
          <w:rFonts w:ascii="Times New Roman" w:hAnsi="Times New Roman" w:eastAsia="黑体"/>
          <w:color w:val="auto"/>
          <w:sz w:val="21"/>
          <w:szCs w:val="21"/>
          <w:highlight w:val="none"/>
        </w:rPr>
        <w:t>1.10 交通运输</w:t>
      </w:r>
      <w:bookmarkEnd w:id="1276"/>
    </w:p>
    <w:p w14:paraId="2DFE428B">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w:t>
      </w:r>
      <w:bookmarkStart w:id="1277" w:name="_Toc303539100"/>
      <w:bookmarkStart w:id="1278" w:name="_Toc318581155"/>
      <w:bookmarkStart w:id="1279" w:name="_Toc300934943"/>
      <w:bookmarkStart w:id="1280" w:name="_Toc304295521"/>
      <w:bookmarkStart w:id="1281" w:name="_Toc312677986"/>
      <w:r>
        <w:rPr>
          <w:rFonts w:ascii="Times New Roman" w:hAnsi="Times New Roman" w:eastAsia="仿宋_GB2312"/>
          <w:color w:val="auto"/>
          <w:sz w:val="21"/>
          <w:szCs w:val="21"/>
          <w:highlight w:val="none"/>
        </w:rPr>
        <w:t>.10.1 出入现场的权利</w:t>
      </w:r>
    </w:p>
    <w:p w14:paraId="12342E6B">
      <w:pPr>
        <w:pageBreakBefore w:val="0"/>
        <w:widowControl w:val="0"/>
        <w:kinsoku/>
        <w:wordWrap/>
        <w:overflowPunct/>
        <w:topLinePunct w:val="0"/>
        <w:bidi w:val="0"/>
        <w:adjustRightInd w:val="0"/>
        <w:snapToGrid w:val="0"/>
        <w:spacing w:line="360" w:lineRule="auto"/>
        <w:textAlignment w:val="auto"/>
        <w:rPr>
          <w:rFonts w:hint="default" w:ascii="Times New Roman" w:hAnsi="Times New Roman" w:eastAsia="仿宋_GB2312"/>
          <w:color w:val="auto"/>
          <w:sz w:val="21"/>
          <w:szCs w:val="21"/>
          <w:highlight w:val="none"/>
          <w:lang w:val="en-US"/>
        </w:rPr>
      </w:pPr>
      <w:r>
        <w:rPr>
          <w:rFonts w:ascii="Times New Roman" w:hAnsi="Times New Roman" w:eastAsia="仿宋_GB2312"/>
          <w:color w:val="auto"/>
          <w:sz w:val="21"/>
          <w:szCs w:val="21"/>
          <w:highlight w:val="none"/>
        </w:rPr>
        <w:t>关于出入现场的权利的约定：</w:t>
      </w:r>
      <w:r>
        <w:rPr>
          <w:rFonts w:hint="eastAsia" w:ascii="Times New Roman" w:hAnsi="Times New Roman" w:eastAsia="仿宋_GB2312" w:cs="Times New Roman"/>
          <w:color w:val="auto"/>
          <w:kern w:val="0"/>
          <w:sz w:val="21"/>
          <w:szCs w:val="21"/>
          <w:highlight w:val="none"/>
          <w:u w:val="single"/>
          <w:lang w:val="en-US" w:eastAsia="zh-CN"/>
        </w:rPr>
        <w:t xml:space="preserve">执行通用合同条款。   </w:t>
      </w:r>
    </w:p>
    <w:bookmarkEnd w:id="1277"/>
    <w:bookmarkEnd w:id="1278"/>
    <w:bookmarkEnd w:id="1279"/>
    <w:bookmarkEnd w:id="1280"/>
    <w:bookmarkEnd w:id="1281"/>
    <w:p w14:paraId="6CB04D6A">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w:t>
      </w:r>
      <w:bookmarkStart w:id="1282" w:name="_Toc318581156"/>
      <w:bookmarkStart w:id="1283" w:name="_Toc312677987"/>
      <w:bookmarkStart w:id="1284" w:name="_Toc300934944"/>
      <w:bookmarkStart w:id="1285" w:name="_Toc304295522"/>
      <w:bookmarkStart w:id="1286" w:name="_Toc303539101"/>
      <w:r>
        <w:rPr>
          <w:rFonts w:ascii="Times New Roman" w:hAnsi="Times New Roman" w:eastAsia="仿宋_GB2312"/>
          <w:color w:val="auto"/>
          <w:sz w:val="21"/>
          <w:szCs w:val="21"/>
          <w:highlight w:val="none"/>
        </w:rPr>
        <w:t>.10.3 场内交通</w:t>
      </w:r>
    </w:p>
    <w:p w14:paraId="7E0442E3">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关于场外交通和场内交通的边界的约定：</w:t>
      </w:r>
      <w:r>
        <w:rPr>
          <w:rFonts w:hint="eastAsia" w:ascii="Times New Roman" w:hAnsi="Times New Roman" w:eastAsia="仿宋_GB2312" w:cs="Times New Roman"/>
          <w:color w:val="auto"/>
          <w:kern w:val="0"/>
          <w:sz w:val="21"/>
          <w:szCs w:val="21"/>
          <w:highlight w:val="none"/>
          <w:u w:val="single"/>
          <w:lang w:val="en-US" w:eastAsia="zh-CN"/>
        </w:rPr>
        <w:t>以施工围挡为边界</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08B14E6E">
      <w:pPr>
        <w:pageBreakBefore w:val="0"/>
        <w:widowControl w:val="0"/>
        <w:kinsoku/>
        <w:wordWrap/>
        <w:overflowPunct/>
        <w:topLinePunct w:val="0"/>
        <w:bidi w:val="0"/>
        <w:adjustRightInd w:val="0"/>
        <w:snapToGrid w:val="0"/>
        <w:spacing w:line="360" w:lineRule="auto"/>
        <w:ind w:firstLine="420" w:firstLineChars="200"/>
        <w:jc w:val="left"/>
        <w:textAlignment w:val="auto"/>
        <w:rPr>
          <w:rFonts w:hint="eastAsia" w:ascii="Times New Roman" w:hAnsi="Times New Roman" w:eastAsia="仿宋_GB2312" w:cs="Times New Roman"/>
          <w:color w:val="auto"/>
          <w:kern w:val="0"/>
          <w:sz w:val="21"/>
          <w:szCs w:val="21"/>
          <w:highlight w:val="none"/>
          <w:u w:val="single"/>
          <w:lang w:val="en-US" w:eastAsia="zh-CN"/>
        </w:rPr>
      </w:pPr>
      <w:r>
        <w:rPr>
          <w:rFonts w:ascii="Times New Roman" w:hAnsi="Times New Roman" w:eastAsia="仿宋_GB2312"/>
          <w:color w:val="auto"/>
          <w:sz w:val="21"/>
          <w:szCs w:val="21"/>
          <w:highlight w:val="none"/>
        </w:rPr>
        <w:t>关于发包人向承包人免费提供满足工程施工需要的场内道路和交通设施的约定：</w:t>
      </w:r>
      <w:r>
        <w:rPr>
          <w:rFonts w:hint="eastAsia" w:ascii="Times New Roman" w:hAnsi="Times New Roman" w:eastAsia="仿宋_GB2312" w:cs="Times New Roman"/>
          <w:color w:val="auto"/>
          <w:kern w:val="0"/>
          <w:sz w:val="21"/>
          <w:szCs w:val="21"/>
          <w:highlight w:val="none"/>
          <w:u w:val="single"/>
          <w:lang w:val="en-US" w:eastAsia="zh-CN"/>
        </w:rPr>
        <w:t>不提供，由承包人自行承担，费用包含在合同价中。</w:t>
      </w:r>
      <w:bookmarkEnd w:id="1282"/>
      <w:bookmarkEnd w:id="1283"/>
      <w:bookmarkEnd w:id="1284"/>
      <w:bookmarkEnd w:id="1285"/>
      <w:bookmarkEnd w:id="1286"/>
      <w:bookmarkStart w:id="1287" w:name="_Toc318581157"/>
    </w:p>
    <w:p w14:paraId="542F150A">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1.10.4超大件和超重件的运输</w:t>
      </w:r>
    </w:p>
    <w:p w14:paraId="42B8489C">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运输超大件或超重件所需的道路和桥梁临时加固改造费用和其他有关费用由</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 xml:space="preserve">  承包人   </w:t>
      </w:r>
      <w:r>
        <w:rPr>
          <w:rFonts w:ascii="Times New Roman" w:hAnsi="Times New Roman" w:eastAsia="仿宋_GB2312"/>
          <w:color w:val="auto"/>
          <w:sz w:val="21"/>
          <w:szCs w:val="21"/>
          <w:highlight w:val="none"/>
        </w:rPr>
        <w:t>承担。</w:t>
      </w:r>
    </w:p>
    <w:bookmarkEnd w:id="1287"/>
    <w:p w14:paraId="441B7AAC">
      <w:pPr>
        <w:pageBreakBefore w:val="0"/>
        <w:widowControl w:val="0"/>
        <w:kinsoku/>
        <w:wordWrap/>
        <w:overflowPunct/>
        <w:topLinePunct w:val="0"/>
        <w:bidi w:val="0"/>
        <w:adjustRightInd w:val="0"/>
        <w:snapToGrid w:val="0"/>
        <w:spacing w:line="360" w:lineRule="auto"/>
        <w:ind w:firstLine="420" w:firstLineChars="200"/>
        <w:textAlignment w:val="auto"/>
        <w:outlineLvl w:val="4"/>
        <w:rPr>
          <w:rFonts w:ascii="Times New Roman" w:hAnsi="Times New Roman" w:eastAsia="黑体"/>
          <w:color w:val="auto"/>
          <w:sz w:val="21"/>
          <w:szCs w:val="21"/>
          <w:highlight w:val="none"/>
        </w:rPr>
      </w:pPr>
      <w:bookmarkStart w:id="1288" w:name="_Toc26792"/>
      <w:r>
        <w:rPr>
          <w:rFonts w:ascii="Times New Roman" w:hAnsi="Times New Roman" w:eastAsia="黑体"/>
          <w:color w:val="auto"/>
          <w:sz w:val="21"/>
          <w:szCs w:val="21"/>
          <w:highlight w:val="none"/>
        </w:rPr>
        <w:t>1.11 知识产权</w:t>
      </w:r>
      <w:bookmarkEnd w:id="1288"/>
    </w:p>
    <w:p w14:paraId="61BD20B3">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1.11.1关于发包人提供给承包人的图纸、发包人为实施工程自行编制或委托编制的技术规范以及反映发包人关于合同要求或其他类似性质的文件的著作权的归属：</w:t>
      </w:r>
      <w:r>
        <w:rPr>
          <w:rFonts w:hint="eastAsia" w:ascii="Times New Roman" w:hAnsi="Times New Roman" w:eastAsia="仿宋_GB2312" w:cs="Times New Roman"/>
          <w:color w:val="auto"/>
          <w:kern w:val="0"/>
          <w:sz w:val="21"/>
          <w:szCs w:val="21"/>
          <w:highlight w:val="none"/>
          <w:u w:val="single"/>
          <w:lang w:val="en-US" w:eastAsia="zh-CN"/>
        </w:rPr>
        <w:t>发包人</w:t>
      </w:r>
      <w:r>
        <w:rPr>
          <w:rFonts w:ascii="Times New Roman" w:hAnsi="Times New Roman" w:eastAsia="仿宋_GB2312"/>
          <w:color w:val="auto"/>
          <w:sz w:val="21"/>
          <w:szCs w:val="21"/>
          <w:highlight w:val="none"/>
        </w:rPr>
        <w:t>。</w:t>
      </w:r>
    </w:p>
    <w:p w14:paraId="3158BC2D">
      <w:pPr>
        <w:pageBreakBefore w:val="0"/>
        <w:widowControl w:val="0"/>
        <w:kinsoku/>
        <w:wordWrap/>
        <w:overflowPunct/>
        <w:topLinePunct w:val="0"/>
        <w:bidi w:val="0"/>
        <w:adjustRightInd w:val="0"/>
        <w:snapToGrid w:val="0"/>
        <w:spacing w:line="360" w:lineRule="auto"/>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关于发包人提供的上述文件的使用限制的要求：</w:t>
      </w:r>
      <w:r>
        <w:rPr>
          <w:rFonts w:hint="eastAsia" w:ascii="Times New Roman" w:hAnsi="Times New Roman" w:eastAsia="仿宋_GB2312" w:cs="Times New Roman"/>
          <w:color w:val="auto"/>
          <w:kern w:val="0"/>
          <w:sz w:val="21"/>
          <w:szCs w:val="21"/>
          <w:highlight w:val="none"/>
          <w:u w:val="single"/>
          <w:lang w:val="en-US" w:eastAsia="zh-CN"/>
        </w:rPr>
        <w:t>执行通用合同条款</w:t>
      </w:r>
      <w:r>
        <w:rPr>
          <w:rFonts w:ascii="Times New Roman" w:hAnsi="Times New Roman" w:eastAsia="仿宋_GB2312"/>
          <w:color w:val="auto"/>
          <w:sz w:val="21"/>
          <w:szCs w:val="21"/>
          <w:highlight w:val="none"/>
        </w:rPr>
        <w:t>。</w:t>
      </w:r>
    </w:p>
    <w:p w14:paraId="0DD9ABEA">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1.11.2 关于承包人为实施工程所编制文件的著作权的归属：</w:t>
      </w:r>
      <w:r>
        <w:rPr>
          <w:rFonts w:hint="eastAsia" w:ascii="Times New Roman" w:hAnsi="Times New Roman" w:eastAsia="仿宋_GB2312" w:cs="Times New Roman"/>
          <w:color w:val="auto"/>
          <w:kern w:val="0"/>
          <w:sz w:val="21"/>
          <w:szCs w:val="21"/>
          <w:highlight w:val="none"/>
          <w:u w:val="single"/>
          <w:lang w:val="en-US" w:eastAsia="zh-CN"/>
        </w:rPr>
        <w:t>发包人</w:t>
      </w:r>
      <w:r>
        <w:rPr>
          <w:rFonts w:ascii="Times New Roman" w:hAnsi="Times New Roman" w:eastAsia="仿宋_GB2312"/>
          <w:color w:val="auto"/>
          <w:sz w:val="21"/>
          <w:szCs w:val="21"/>
          <w:highlight w:val="none"/>
        </w:rPr>
        <w:t>。</w:t>
      </w:r>
    </w:p>
    <w:p w14:paraId="5FE47EDD">
      <w:pPr>
        <w:pageBreakBefore w:val="0"/>
        <w:widowControl w:val="0"/>
        <w:kinsoku/>
        <w:wordWrap/>
        <w:overflowPunct/>
        <w:topLinePunct w:val="0"/>
        <w:bidi w:val="0"/>
        <w:adjustRightInd w:val="0"/>
        <w:snapToGrid w:val="0"/>
        <w:spacing w:line="360" w:lineRule="auto"/>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关于承包人提供的上述文件的使用限制的要求：</w:t>
      </w:r>
      <w:r>
        <w:rPr>
          <w:rFonts w:hint="eastAsia" w:ascii="Times New Roman" w:hAnsi="Times New Roman" w:eastAsia="仿宋_GB2312" w:cs="Times New Roman"/>
          <w:color w:val="auto"/>
          <w:kern w:val="0"/>
          <w:sz w:val="21"/>
          <w:szCs w:val="21"/>
          <w:highlight w:val="none"/>
          <w:u w:val="single"/>
          <w:lang w:val="en-US" w:eastAsia="zh-CN"/>
        </w:rPr>
        <w:t>执行通用合同条款</w:t>
      </w:r>
      <w:r>
        <w:rPr>
          <w:rFonts w:ascii="Times New Roman" w:hAnsi="Times New Roman" w:eastAsia="仿宋_GB2312"/>
          <w:color w:val="auto"/>
          <w:sz w:val="21"/>
          <w:szCs w:val="21"/>
          <w:highlight w:val="none"/>
        </w:rPr>
        <w:t>。</w:t>
      </w:r>
    </w:p>
    <w:p w14:paraId="7EE73A7D">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sz w:val="21"/>
          <w:szCs w:val="21"/>
          <w:highlight w:val="none"/>
        </w:rPr>
        <w:t>1.11.4 承包人在施工过程中所采用的专利、专有技术、技术秘密的使用费的承担方式：</w:t>
      </w:r>
      <w:r>
        <w:rPr>
          <w:rFonts w:hint="eastAsia" w:ascii="Times New Roman" w:hAnsi="Times New Roman" w:eastAsia="仿宋_GB2312" w:cs="Times New Roman"/>
          <w:color w:val="auto"/>
          <w:kern w:val="0"/>
          <w:sz w:val="21"/>
          <w:szCs w:val="21"/>
          <w:highlight w:val="none"/>
          <w:u w:val="single"/>
          <w:lang w:val="en-US" w:eastAsia="zh-CN"/>
        </w:rPr>
        <w:t>承包人</w:t>
      </w:r>
      <w:r>
        <w:rPr>
          <w:rFonts w:ascii="Times New Roman" w:hAnsi="Times New Roman" w:eastAsia="仿宋_GB2312"/>
          <w:color w:val="auto"/>
          <w:kern w:val="0"/>
          <w:sz w:val="21"/>
          <w:szCs w:val="21"/>
          <w:highlight w:val="none"/>
        </w:rPr>
        <w:t>。</w:t>
      </w:r>
    </w:p>
    <w:p w14:paraId="37EEBDC8">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黑体"/>
          <w:color w:val="auto"/>
          <w:sz w:val="21"/>
          <w:szCs w:val="21"/>
          <w:highlight w:val="none"/>
        </w:rPr>
      </w:pPr>
      <w:r>
        <w:rPr>
          <w:rFonts w:ascii="Times New Roman" w:hAnsi="Times New Roman" w:eastAsia="黑体"/>
          <w:color w:val="auto"/>
          <w:sz w:val="21"/>
          <w:szCs w:val="21"/>
          <w:highlight w:val="none"/>
        </w:rPr>
        <w:t>1.13工程量清单错误的修正</w:t>
      </w:r>
    </w:p>
    <w:p w14:paraId="7B9562D7">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hint="eastAsia" w:ascii="Times New Roman" w:hAnsi="Times New Roman" w:eastAsia="仿宋_GB2312"/>
          <w:color w:val="auto"/>
          <w:sz w:val="21"/>
          <w:szCs w:val="21"/>
          <w:highlight w:val="none"/>
        </w:rPr>
        <w:t>出现工程量清单错误时，是否调整合同价格：</w:t>
      </w:r>
      <w:r>
        <w:rPr>
          <w:rFonts w:hint="eastAsia" w:ascii="Times New Roman" w:hAnsi="Times New Roman" w:eastAsia="仿宋_GB2312" w:cs="Times New Roman"/>
          <w:color w:val="auto"/>
          <w:kern w:val="0"/>
          <w:sz w:val="21"/>
          <w:szCs w:val="21"/>
          <w:highlight w:val="none"/>
          <w:u w:val="single"/>
          <w:lang w:val="en-US" w:eastAsia="zh-CN"/>
        </w:rPr>
        <w:t>调整</w:t>
      </w:r>
      <w:r>
        <w:rPr>
          <w:rFonts w:ascii="Times New Roman" w:hAnsi="Times New Roman" w:eastAsia="仿宋_GB2312"/>
          <w:color w:val="auto"/>
          <w:kern w:val="0"/>
          <w:sz w:val="21"/>
          <w:szCs w:val="21"/>
          <w:highlight w:val="none"/>
        </w:rPr>
        <w:t>。</w:t>
      </w:r>
    </w:p>
    <w:p w14:paraId="705EE1BB">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允许调整合同价格的工程量偏差范围：</w:t>
      </w:r>
      <w:r>
        <w:rPr>
          <w:rFonts w:hint="eastAsia" w:ascii="Times New Roman" w:hAnsi="Times New Roman" w:eastAsia="仿宋_GB2312" w:cs="Times New Roman"/>
          <w:color w:val="auto"/>
          <w:kern w:val="0"/>
          <w:sz w:val="21"/>
          <w:szCs w:val="21"/>
          <w:highlight w:val="none"/>
          <w:u w:val="single"/>
          <w:lang w:val="en-US" w:eastAsia="zh-CN"/>
        </w:rPr>
        <w:t>工程量减少时，承包人据实报送监理人和发包人，合同价格相应减少；因漏项、缺项、计量不规范而增加的工程量超过该分项或分部工程量的15%且同时超过签约合同价的5%时，经发包人书面同意后方可调整合同价格</w:t>
      </w:r>
      <w:r>
        <w:rPr>
          <w:rFonts w:ascii="Times New Roman" w:hAnsi="Times New Roman" w:eastAsia="仿宋_GB2312"/>
          <w:color w:val="auto"/>
          <w:kern w:val="0"/>
          <w:sz w:val="21"/>
          <w:szCs w:val="21"/>
          <w:highlight w:val="none"/>
        </w:rPr>
        <w:t>。</w:t>
      </w:r>
    </w:p>
    <w:p w14:paraId="38E8FE5F">
      <w:pPr>
        <w:pageBreakBefore w:val="0"/>
        <w:widowControl w:val="0"/>
        <w:kinsoku/>
        <w:wordWrap/>
        <w:overflowPunct/>
        <w:topLinePunct w:val="0"/>
        <w:bidi w:val="0"/>
        <w:adjustRightInd w:val="0"/>
        <w:snapToGrid w:val="0"/>
        <w:spacing w:line="360" w:lineRule="auto"/>
        <w:ind w:firstLine="420" w:firstLineChars="200"/>
        <w:textAlignment w:val="auto"/>
        <w:outlineLvl w:val="3"/>
        <w:rPr>
          <w:rFonts w:ascii="Times New Roman" w:hAnsi="Times New Roman" w:eastAsia="黑体"/>
          <w:color w:val="auto"/>
          <w:sz w:val="21"/>
          <w:szCs w:val="21"/>
          <w:highlight w:val="none"/>
        </w:rPr>
      </w:pPr>
      <w:bookmarkStart w:id="1289" w:name="_Toc11863"/>
      <w:bookmarkStart w:id="1290" w:name="_Toc29362"/>
      <w:r>
        <w:rPr>
          <w:rFonts w:ascii="Times New Roman" w:hAnsi="Times New Roman" w:eastAsia="黑体"/>
          <w:color w:val="auto"/>
          <w:sz w:val="21"/>
          <w:szCs w:val="21"/>
          <w:highlight w:val="none"/>
        </w:rPr>
        <w:t>2.2 发包人代表</w:t>
      </w:r>
      <w:bookmarkEnd w:id="1289"/>
      <w:bookmarkEnd w:id="1290"/>
    </w:p>
    <w:p w14:paraId="609D2396">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发包人代表：</w:t>
      </w:r>
    </w:p>
    <w:p w14:paraId="6B7AD947">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姓    名：</w:t>
      </w:r>
      <w:r>
        <w:rPr>
          <w:rFonts w:ascii="Times New Roman" w:hAnsi="Times New Roman" w:eastAsia="仿宋_GB2312"/>
          <w:color w:val="auto"/>
          <w:sz w:val="21"/>
          <w:szCs w:val="21"/>
          <w:highlight w:val="none"/>
          <w:u w:val="single"/>
        </w:rPr>
        <w:t xml:space="preserve"> 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w:t>
      </w:r>
      <w:r>
        <w:rPr>
          <w:rFonts w:ascii="Times New Roman" w:hAnsi="Times New Roman" w:eastAsia="仿宋_GB2312"/>
          <w:color w:val="auto"/>
          <w:sz w:val="21"/>
          <w:szCs w:val="21"/>
          <w:highlight w:val="none"/>
        </w:rPr>
        <w:t>；</w:t>
      </w:r>
    </w:p>
    <w:p w14:paraId="18D68608">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身份证号：</w:t>
      </w:r>
      <w:r>
        <w:rPr>
          <w:rFonts w:ascii="Times New Roman" w:hAnsi="Times New Roman" w:eastAsia="仿宋_GB2312"/>
          <w:color w:val="auto"/>
          <w:sz w:val="21"/>
          <w:szCs w:val="21"/>
          <w:highlight w:val="none"/>
          <w:u w:val="single"/>
        </w:rPr>
        <w:t xml:space="preserve"> 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47A6D7AF">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职    务：</w:t>
      </w:r>
      <w:r>
        <w:rPr>
          <w:rFonts w:ascii="Times New Roman" w:hAnsi="Times New Roman" w:eastAsia="仿宋_GB2312"/>
          <w:color w:val="auto"/>
          <w:sz w:val="21"/>
          <w:szCs w:val="21"/>
          <w:highlight w:val="none"/>
          <w:u w:val="single"/>
        </w:rPr>
        <w:t>    </w:t>
      </w:r>
      <w:r>
        <w:rPr>
          <w:rFonts w:ascii="Times New Roman" w:hAnsi="Times New Roman" w:eastAsia="仿宋_GB2312"/>
          <w:color w:val="auto"/>
          <w:sz w:val="21"/>
          <w:szCs w:val="21"/>
          <w:highlight w:val="none"/>
        </w:rPr>
        <w:t>；</w:t>
      </w:r>
    </w:p>
    <w:p w14:paraId="3D66260B">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联系电话：</w:t>
      </w:r>
      <w:r>
        <w:rPr>
          <w:rFonts w:ascii="Times New Roman" w:hAnsi="Times New Roman" w:eastAsia="仿宋_GB2312"/>
          <w:color w:val="auto"/>
          <w:sz w:val="21"/>
          <w:szCs w:val="21"/>
          <w:highlight w:val="none"/>
          <w:u w:val="single"/>
        </w:rPr>
        <w:t>  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w:t>
      </w:r>
      <w:r>
        <w:rPr>
          <w:rFonts w:ascii="Times New Roman" w:hAnsi="Times New Roman" w:eastAsia="仿宋_GB2312"/>
          <w:color w:val="auto"/>
          <w:sz w:val="21"/>
          <w:szCs w:val="21"/>
          <w:highlight w:val="none"/>
        </w:rPr>
        <w:t>；</w:t>
      </w:r>
    </w:p>
    <w:p w14:paraId="2AF87E4D">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电子信箱：</w:t>
      </w:r>
      <w:r>
        <w:rPr>
          <w:rFonts w:ascii="Times New Roman" w:hAnsi="Times New Roman" w:eastAsia="仿宋_GB2312"/>
          <w:color w:val="auto"/>
          <w:sz w:val="21"/>
          <w:szCs w:val="21"/>
          <w:highlight w:val="none"/>
          <w:u w:val="single"/>
        </w:rPr>
        <w:t>  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w:t>
      </w:r>
      <w:r>
        <w:rPr>
          <w:rFonts w:ascii="Times New Roman" w:hAnsi="Times New Roman" w:eastAsia="仿宋_GB2312"/>
          <w:color w:val="auto"/>
          <w:sz w:val="21"/>
          <w:szCs w:val="21"/>
          <w:highlight w:val="none"/>
        </w:rPr>
        <w:t>；</w:t>
      </w:r>
    </w:p>
    <w:p w14:paraId="284D7F5C">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通信地址：</w:t>
      </w:r>
      <w:r>
        <w:rPr>
          <w:rFonts w:ascii="Times New Roman" w:hAnsi="Times New Roman" w:eastAsia="仿宋_GB2312"/>
          <w:color w:val="auto"/>
          <w:sz w:val="21"/>
          <w:szCs w:val="21"/>
          <w:highlight w:val="none"/>
          <w:u w:val="single"/>
        </w:rPr>
        <w:t></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 </w:t>
      </w:r>
      <w:r>
        <w:rPr>
          <w:rFonts w:ascii="Times New Roman" w:hAnsi="Times New Roman" w:eastAsia="仿宋_GB2312"/>
          <w:color w:val="auto"/>
          <w:sz w:val="21"/>
          <w:szCs w:val="21"/>
          <w:highlight w:val="none"/>
        </w:rPr>
        <w:t>。</w:t>
      </w:r>
    </w:p>
    <w:p w14:paraId="6BD7BFBD">
      <w:pPr>
        <w:pageBreakBefore w:val="0"/>
        <w:widowControl w:val="0"/>
        <w:kinsoku/>
        <w:wordWrap/>
        <w:overflowPunct/>
        <w:topLinePunct w:val="0"/>
        <w:bidi w:val="0"/>
        <w:adjustRightInd w:val="0"/>
        <w:snapToGrid w:val="0"/>
        <w:spacing w:line="360" w:lineRule="auto"/>
        <w:ind w:firstLine="630" w:firstLineChars="300"/>
        <w:textAlignment w:val="auto"/>
        <w:rPr>
          <w:rFonts w:ascii="Times New Roman" w:hAnsi="Times New Roman" w:eastAsia="仿宋_GB2312"/>
          <w:b/>
          <w:color w:val="auto"/>
          <w:sz w:val="21"/>
          <w:szCs w:val="21"/>
          <w:highlight w:val="none"/>
        </w:rPr>
      </w:pPr>
      <w:r>
        <w:rPr>
          <w:rFonts w:ascii="Times New Roman" w:hAnsi="Times New Roman" w:eastAsia="仿宋_GB2312"/>
          <w:color w:val="auto"/>
          <w:sz w:val="21"/>
          <w:szCs w:val="21"/>
          <w:highlight w:val="none"/>
        </w:rPr>
        <w:t>发包人对发包人代表的授权范围如下：</w:t>
      </w:r>
      <w:r>
        <w:rPr>
          <w:rFonts w:hint="eastAsia" w:ascii="Times New Roman" w:hAnsi="Times New Roman" w:eastAsia="仿宋_GB2312"/>
          <w:color w:val="auto"/>
          <w:sz w:val="21"/>
          <w:szCs w:val="21"/>
          <w:highlight w:val="none"/>
          <w:u w:val="single"/>
        </w:rPr>
        <w:t>对工程施工阶段的安全、质量、进度、投资控制进行全过程建设管理，协调建、施双方关系，处理日常施工事务</w:t>
      </w:r>
      <w:r>
        <w:rPr>
          <w:rFonts w:ascii="Times New Roman" w:hAnsi="Times New Roman" w:eastAsia="仿宋_GB2312"/>
          <w:color w:val="auto"/>
          <w:sz w:val="21"/>
          <w:szCs w:val="21"/>
          <w:highlight w:val="none"/>
        </w:rPr>
        <w:t>。</w:t>
      </w:r>
    </w:p>
    <w:p w14:paraId="34FE3815">
      <w:pPr>
        <w:pageBreakBefore w:val="0"/>
        <w:widowControl w:val="0"/>
        <w:kinsoku/>
        <w:wordWrap/>
        <w:overflowPunct/>
        <w:topLinePunct w:val="0"/>
        <w:bidi w:val="0"/>
        <w:adjustRightInd w:val="0"/>
        <w:snapToGrid w:val="0"/>
        <w:spacing w:line="360" w:lineRule="auto"/>
        <w:ind w:firstLine="420" w:firstLineChars="200"/>
        <w:textAlignment w:val="auto"/>
        <w:outlineLvl w:val="3"/>
        <w:rPr>
          <w:rFonts w:ascii="Times New Roman" w:hAnsi="Times New Roman" w:eastAsia="黑体"/>
          <w:color w:val="auto"/>
          <w:sz w:val="21"/>
          <w:szCs w:val="21"/>
          <w:highlight w:val="none"/>
        </w:rPr>
      </w:pPr>
      <w:bookmarkStart w:id="1291" w:name="_Toc30227"/>
      <w:bookmarkStart w:id="1292" w:name="_Toc13031"/>
      <w:r>
        <w:rPr>
          <w:rFonts w:ascii="Times New Roman" w:hAnsi="Times New Roman" w:eastAsia="黑体"/>
          <w:color w:val="auto"/>
          <w:sz w:val="21"/>
          <w:szCs w:val="21"/>
          <w:highlight w:val="none"/>
        </w:rPr>
        <w:t>2.4 施工现场、施工条件和基础资料的提供</w:t>
      </w:r>
      <w:bookmarkEnd w:id="1291"/>
      <w:bookmarkEnd w:id="1292"/>
    </w:p>
    <w:p w14:paraId="6CAB4701">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2.4.1 提供施工现场</w:t>
      </w:r>
    </w:p>
    <w:p w14:paraId="35D4F572">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关于发包人移交施工现场的期限要求：</w:t>
      </w:r>
      <w:r>
        <w:rPr>
          <w:rFonts w:hint="eastAsia" w:ascii="Times New Roman" w:hAnsi="Times New Roman" w:eastAsia="仿宋_GB2312" w:cs="Times New Roman"/>
          <w:color w:val="auto"/>
          <w:kern w:val="0"/>
          <w:sz w:val="21"/>
          <w:szCs w:val="21"/>
          <w:highlight w:val="none"/>
          <w:u w:val="single"/>
          <w:lang w:val="en-US" w:eastAsia="zh-CN"/>
        </w:rPr>
        <w:t>执行通用合同条款</w:t>
      </w:r>
      <w:r>
        <w:rPr>
          <w:rFonts w:ascii="Times New Roman" w:hAnsi="Times New Roman" w:eastAsia="仿宋_GB2312"/>
          <w:color w:val="auto"/>
          <w:sz w:val="21"/>
          <w:szCs w:val="21"/>
          <w:highlight w:val="none"/>
        </w:rPr>
        <w:t>。</w:t>
      </w:r>
    </w:p>
    <w:p w14:paraId="53F13434">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2.4.2 提供施工条件</w:t>
      </w:r>
    </w:p>
    <w:p w14:paraId="146EEFF9">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u w:val="single"/>
        </w:rPr>
      </w:pPr>
      <w:r>
        <w:rPr>
          <w:rFonts w:ascii="Times New Roman" w:hAnsi="Times New Roman" w:eastAsia="仿宋_GB2312"/>
          <w:color w:val="auto"/>
          <w:sz w:val="21"/>
          <w:szCs w:val="21"/>
          <w:highlight w:val="none"/>
        </w:rPr>
        <w:t>关于发包人应负责提供施工</w:t>
      </w:r>
      <w:r>
        <w:rPr>
          <w:rFonts w:hint="eastAsia" w:ascii="Times New Roman" w:hAnsi="Times New Roman" w:eastAsia="仿宋_GB2312"/>
          <w:color w:val="auto"/>
          <w:sz w:val="21"/>
          <w:szCs w:val="21"/>
          <w:highlight w:val="none"/>
        </w:rPr>
        <w:t>所需要的条件，</w:t>
      </w:r>
      <w:r>
        <w:rPr>
          <w:rFonts w:ascii="Times New Roman" w:hAnsi="Times New Roman" w:eastAsia="仿宋_GB2312"/>
          <w:color w:val="auto"/>
          <w:sz w:val="21"/>
          <w:szCs w:val="21"/>
          <w:highlight w:val="none"/>
        </w:rPr>
        <w:t>包括：</w:t>
      </w:r>
      <w:r>
        <w:rPr>
          <w:rFonts w:hint="eastAsia" w:ascii="Times New Roman" w:hAnsi="Times New Roman" w:eastAsia="仿宋_GB2312" w:cs="Times New Roman"/>
          <w:color w:val="auto"/>
          <w:kern w:val="0"/>
          <w:sz w:val="21"/>
          <w:szCs w:val="21"/>
          <w:highlight w:val="none"/>
          <w:u w:val="single"/>
          <w:lang w:val="en-US" w:eastAsia="zh-CN"/>
        </w:rPr>
        <w:t>执行通用合同条款</w:t>
      </w:r>
      <w:r>
        <w:rPr>
          <w:rFonts w:ascii="Times New Roman" w:hAnsi="Times New Roman" w:eastAsia="仿宋_GB2312"/>
          <w:color w:val="auto"/>
          <w:sz w:val="21"/>
          <w:szCs w:val="21"/>
          <w:highlight w:val="none"/>
        </w:rPr>
        <w:t>。</w:t>
      </w:r>
    </w:p>
    <w:p w14:paraId="6F15D28C">
      <w:pPr>
        <w:pageBreakBefore w:val="0"/>
        <w:widowControl w:val="0"/>
        <w:kinsoku/>
        <w:wordWrap/>
        <w:overflowPunct/>
        <w:topLinePunct w:val="0"/>
        <w:bidi w:val="0"/>
        <w:adjustRightInd w:val="0"/>
        <w:snapToGrid w:val="0"/>
        <w:spacing w:line="360" w:lineRule="auto"/>
        <w:ind w:firstLine="420" w:firstLineChars="200"/>
        <w:textAlignment w:val="auto"/>
        <w:outlineLvl w:val="3"/>
        <w:rPr>
          <w:rFonts w:ascii="Times New Roman" w:hAnsi="Times New Roman" w:eastAsia="黑体"/>
          <w:color w:val="auto"/>
          <w:sz w:val="21"/>
          <w:szCs w:val="21"/>
          <w:highlight w:val="none"/>
        </w:rPr>
      </w:pPr>
      <w:bookmarkStart w:id="1293" w:name="_Toc21169"/>
      <w:bookmarkStart w:id="1294" w:name="_Toc31816"/>
      <w:r>
        <w:rPr>
          <w:rFonts w:ascii="Times New Roman" w:hAnsi="Times New Roman" w:eastAsia="黑体"/>
          <w:color w:val="auto"/>
          <w:sz w:val="21"/>
          <w:szCs w:val="21"/>
          <w:highlight w:val="none"/>
        </w:rPr>
        <w:t>2.5 资金来源证明及支付担保</w:t>
      </w:r>
      <w:bookmarkEnd w:id="1293"/>
      <w:bookmarkEnd w:id="1294"/>
    </w:p>
    <w:p w14:paraId="56AFBF85">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发包人提供资金来源证明的期限要求：</w:t>
      </w:r>
      <w:r>
        <w:rPr>
          <w:rFonts w:hint="eastAsia" w:ascii="Times New Roman" w:hAnsi="Times New Roman" w:eastAsia="仿宋_GB2312" w:cs="Times New Roman"/>
          <w:color w:val="auto"/>
          <w:kern w:val="0"/>
          <w:sz w:val="21"/>
          <w:szCs w:val="21"/>
          <w:highlight w:val="none"/>
          <w:u w:val="single"/>
          <w:lang w:val="en-US" w:eastAsia="zh-CN"/>
        </w:rPr>
        <w:t>执行通用合同条款</w:t>
      </w:r>
      <w:r>
        <w:rPr>
          <w:rFonts w:ascii="Times New Roman" w:hAnsi="Times New Roman" w:eastAsia="仿宋_GB2312"/>
          <w:color w:val="auto"/>
          <w:sz w:val="21"/>
          <w:szCs w:val="21"/>
          <w:highlight w:val="none"/>
        </w:rPr>
        <w:t>。</w:t>
      </w:r>
    </w:p>
    <w:p w14:paraId="3F0314A7">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发包人是否提供支付担保：</w:t>
      </w:r>
      <w:r>
        <w:rPr>
          <w:rFonts w:hint="eastAsia" w:ascii="Times New Roman" w:hAnsi="Times New Roman" w:eastAsia="仿宋_GB2312" w:cs="Times New Roman"/>
          <w:color w:val="auto"/>
          <w:kern w:val="0"/>
          <w:sz w:val="21"/>
          <w:szCs w:val="21"/>
          <w:highlight w:val="none"/>
          <w:u w:val="single"/>
          <w:lang w:val="en-US" w:eastAsia="zh-CN"/>
        </w:rPr>
        <w:t>执行通用合同条款</w:t>
      </w:r>
      <w:r>
        <w:rPr>
          <w:rFonts w:ascii="Times New Roman" w:hAnsi="Times New Roman" w:eastAsia="仿宋_GB2312"/>
          <w:color w:val="auto"/>
          <w:sz w:val="21"/>
          <w:szCs w:val="21"/>
          <w:highlight w:val="none"/>
        </w:rPr>
        <w:t>。</w:t>
      </w:r>
    </w:p>
    <w:p w14:paraId="62EBA7EF">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u w:val="single"/>
        </w:rPr>
      </w:pPr>
      <w:r>
        <w:rPr>
          <w:rFonts w:ascii="Times New Roman" w:hAnsi="Times New Roman" w:eastAsia="仿宋_GB2312"/>
          <w:color w:val="auto"/>
          <w:sz w:val="21"/>
          <w:szCs w:val="21"/>
          <w:highlight w:val="none"/>
        </w:rPr>
        <w:t>发包人提供支付担保的形式：</w:t>
      </w:r>
      <w:r>
        <w:rPr>
          <w:rFonts w:hint="eastAsia" w:ascii="Times New Roman" w:hAnsi="Times New Roman" w:eastAsia="仿宋_GB2312" w:cs="Times New Roman"/>
          <w:color w:val="auto"/>
          <w:kern w:val="0"/>
          <w:sz w:val="21"/>
          <w:szCs w:val="21"/>
          <w:highlight w:val="none"/>
          <w:u w:val="single"/>
          <w:lang w:val="en-US" w:eastAsia="zh-CN"/>
        </w:rPr>
        <w:t>可以采用银行保函或担保公司担保等形式</w:t>
      </w:r>
      <w:r>
        <w:rPr>
          <w:rFonts w:ascii="Times New Roman" w:hAnsi="Times New Roman" w:eastAsia="仿宋_GB2312"/>
          <w:color w:val="auto"/>
          <w:sz w:val="21"/>
          <w:szCs w:val="21"/>
          <w:highlight w:val="none"/>
        </w:rPr>
        <w:t>。</w:t>
      </w:r>
    </w:p>
    <w:p w14:paraId="3250909C">
      <w:pPr>
        <w:pStyle w:val="5"/>
        <w:pageBreakBefore w:val="0"/>
        <w:widowControl w:val="0"/>
        <w:kinsoku/>
        <w:wordWrap/>
        <w:overflowPunct/>
        <w:topLinePunct w:val="0"/>
        <w:bidi w:val="0"/>
        <w:adjustRightInd w:val="0"/>
        <w:snapToGrid w:val="0"/>
        <w:spacing w:before="0" w:after="0" w:line="360" w:lineRule="auto"/>
        <w:textAlignment w:val="auto"/>
        <w:rPr>
          <w:rFonts w:eastAsia="黑体"/>
          <w:b w:val="0"/>
          <w:color w:val="auto"/>
          <w:sz w:val="21"/>
          <w:szCs w:val="21"/>
          <w:highlight w:val="none"/>
        </w:rPr>
      </w:pPr>
      <w:bookmarkStart w:id="1295" w:name="_Toc20628"/>
      <w:bookmarkStart w:id="1296" w:name="_Toc26320"/>
      <w:bookmarkStart w:id="1297" w:name="_Toc351203635"/>
      <w:r>
        <w:rPr>
          <w:rFonts w:eastAsia="黑体"/>
          <w:b w:val="0"/>
          <w:color w:val="auto"/>
          <w:sz w:val="21"/>
          <w:szCs w:val="21"/>
          <w:highlight w:val="none"/>
        </w:rPr>
        <w:t>3</w:t>
      </w:r>
      <w:bookmarkStart w:id="1298" w:name="_Toc297120458"/>
      <w:bookmarkStart w:id="1299" w:name="_Toc296891198"/>
      <w:bookmarkStart w:id="1300" w:name="_Toc296890986"/>
      <w:bookmarkStart w:id="1301" w:name="_Toc292559363"/>
      <w:bookmarkStart w:id="1302" w:name="_Toc297048344"/>
      <w:bookmarkStart w:id="1303" w:name="_Toc296346659"/>
      <w:bookmarkStart w:id="1304" w:name="_Toc296347157"/>
      <w:bookmarkStart w:id="1305" w:name="_Toc292559868"/>
      <w:bookmarkStart w:id="1306" w:name="_Toc296944497"/>
      <w:bookmarkStart w:id="1307" w:name="_Toc296503158"/>
      <w:r>
        <w:rPr>
          <w:rFonts w:eastAsia="黑体"/>
          <w:b w:val="0"/>
          <w:color w:val="auto"/>
          <w:sz w:val="21"/>
          <w:szCs w:val="21"/>
          <w:highlight w:val="none"/>
        </w:rPr>
        <w:t>. 承包人</w:t>
      </w:r>
      <w:bookmarkEnd w:id="1295"/>
      <w:bookmarkEnd w:id="1296"/>
      <w:bookmarkEnd w:id="1297"/>
    </w:p>
    <w:bookmarkEnd w:id="1298"/>
    <w:bookmarkEnd w:id="1299"/>
    <w:bookmarkEnd w:id="1300"/>
    <w:bookmarkEnd w:id="1301"/>
    <w:bookmarkEnd w:id="1302"/>
    <w:bookmarkEnd w:id="1303"/>
    <w:bookmarkEnd w:id="1304"/>
    <w:bookmarkEnd w:id="1305"/>
    <w:bookmarkEnd w:id="1306"/>
    <w:bookmarkEnd w:id="1307"/>
    <w:p w14:paraId="6326FF53">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黑体"/>
          <w:color w:val="auto"/>
          <w:sz w:val="21"/>
          <w:szCs w:val="21"/>
          <w:highlight w:val="none"/>
        </w:rPr>
      </w:pPr>
      <w:r>
        <w:rPr>
          <w:rFonts w:ascii="Times New Roman" w:hAnsi="Times New Roman" w:eastAsia="黑体"/>
          <w:color w:val="auto"/>
          <w:sz w:val="21"/>
          <w:szCs w:val="21"/>
          <w:highlight w:val="none"/>
        </w:rPr>
        <w:t>3.1 承包人的一般义务</w:t>
      </w:r>
    </w:p>
    <w:p w14:paraId="6F71CB98">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kern w:val="0"/>
          <w:sz w:val="21"/>
          <w:szCs w:val="21"/>
          <w:highlight w:val="none"/>
        </w:rPr>
        <w:t>（</w:t>
      </w:r>
      <w:r>
        <w:rPr>
          <w:rFonts w:hint="eastAsia" w:ascii="Times New Roman" w:hAnsi="Times New Roman" w:eastAsia="仿宋_GB2312"/>
          <w:color w:val="auto"/>
          <w:kern w:val="0"/>
          <w:sz w:val="21"/>
          <w:szCs w:val="21"/>
          <w:highlight w:val="none"/>
        </w:rPr>
        <w:t>9</w:t>
      </w:r>
      <w:r>
        <w:rPr>
          <w:rFonts w:ascii="Times New Roman" w:hAnsi="Times New Roman" w:eastAsia="仿宋_GB2312"/>
          <w:color w:val="auto"/>
          <w:kern w:val="0"/>
          <w:sz w:val="21"/>
          <w:szCs w:val="21"/>
          <w:highlight w:val="none"/>
        </w:rPr>
        <w:t>）</w:t>
      </w:r>
      <w:r>
        <w:rPr>
          <w:rFonts w:ascii="Times New Roman" w:hAnsi="Times New Roman" w:eastAsia="仿宋_GB2312"/>
          <w:color w:val="auto"/>
          <w:sz w:val="21"/>
          <w:szCs w:val="21"/>
          <w:highlight w:val="none"/>
        </w:rPr>
        <w:t>承包人提交的竣工资料的内容：</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竣工图纸；竣工档案资料；发包人需要承包人提供的一切与竣工资料相关的其他资料</w:t>
      </w:r>
      <w:r>
        <w:rPr>
          <w:rFonts w:ascii="Times New Roman" w:hAnsi="Times New Roman" w:eastAsia="仿宋_GB2312"/>
          <w:color w:val="auto"/>
          <w:sz w:val="21"/>
          <w:szCs w:val="21"/>
          <w:highlight w:val="none"/>
        </w:rPr>
        <w:t>。</w:t>
      </w:r>
    </w:p>
    <w:p w14:paraId="7C408199">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承包人需要提交的竣工资料套数：</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竣工资料</w:t>
      </w:r>
      <w:r>
        <w:rPr>
          <w:rFonts w:hint="eastAsia" w:eastAsia="仿宋_GB2312"/>
          <w:color w:val="auto"/>
          <w:sz w:val="21"/>
          <w:szCs w:val="21"/>
          <w:highlight w:val="none"/>
          <w:u w:val="single"/>
          <w:lang w:val="en-US" w:eastAsia="zh-CN"/>
        </w:rPr>
        <w:t>4</w:t>
      </w:r>
      <w:r>
        <w:rPr>
          <w:rFonts w:hint="eastAsia" w:ascii="Times New Roman" w:hAnsi="Times New Roman" w:eastAsia="仿宋_GB2312"/>
          <w:color w:val="auto"/>
          <w:sz w:val="21"/>
          <w:szCs w:val="21"/>
          <w:highlight w:val="none"/>
          <w:u w:val="single"/>
        </w:rPr>
        <w:t>套纸质原件及电子文档1套</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5A88B088">
      <w:pPr>
        <w:pageBreakBefore w:val="0"/>
        <w:widowControl w:val="0"/>
        <w:kinsoku/>
        <w:wordWrap/>
        <w:overflowPunct/>
        <w:topLinePunct w:val="0"/>
        <w:bidi w:val="0"/>
        <w:adjustRightInd w:val="0"/>
        <w:snapToGrid w:val="0"/>
        <w:spacing w:line="360" w:lineRule="auto"/>
        <w:ind w:left="638" w:leftChars="304"/>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承包人提交的竣工资料的费用承担：</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lang w:val="en-US" w:eastAsia="zh-CN"/>
        </w:rPr>
        <w:t>承包人自行承担</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299C6B6D">
      <w:pPr>
        <w:pageBreakBefore w:val="0"/>
        <w:widowControl w:val="0"/>
        <w:kinsoku/>
        <w:wordWrap/>
        <w:overflowPunct/>
        <w:topLinePunct w:val="0"/>
        <w:bidi w:val="0"/>
        <w:adjustRightInd w:val="0"/>
        <w:snapToGrid w:val="0"/>
        <w:spacing w:line="360" w:lineRule="auto"/>
        <w:ind w:left="638" w:leftChars="304"/>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承包人提交的竣工资料移交时间：</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lang w:val="en-US" w:eastAsia="zh-CN"/>
        </w:rPr>
        <w:t>竣工验收合格后</w:t>
      </w:r>
      <w:r>
        <w:rPr>
          <w:rFonts w:hint="eastAsia" w:eastAsia="仿宋_GB2312"/>
          <w:color w:val="auto"/>
          <w:sz w:val="21"/>
          <w:szCs w:val="21"/>
          <w:highlight w:val="none"/>
          <w:u w:val="single"/>
          <w:lang w:val="en-US" w:eastAsia="zh-CN"/>
        </w:rPr>
        <w:t>30日</w:t>
      </w:r>
      <w:r>
        <w:rPr>
          <w:rFonts w:hint="eastAsia" w:ascii="Times New Roman" w:hAnsi="Times New Roman" w:eastAsia="仿宋_GB2312"/>
          <w:color w:val="auto"/>
          <w:sz w:val="21"/>
          <w:szCs w:val="21"/>
          <w:highlight w:val="none"/>
          <w:u w:val="single"/>
          <w:lang w:val="en-US" w:eastAsia="zh-CN"/>
        </w:rPr>
        <w:t>内</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1278497D">
      <w:pPr>
        <w:pageBreakBefore w:val="0"/>
        <w:widowControl w:val="0"/>
        <w:kinsoku/>
        <w:wordWrap/>
        <w:overflowPunct/>
        <w:topLinePunct w:val="0"/>
        <w:bidi w:val="0"/>
        <w:adjustRightInd w:val="0"/>
        <w:snapToGrid w:val="0"/>
        <w:spacing w:line="360" w:lineRule="auto"/>
        <w:ind w:firstLine="420" w:firstLineChars="200"/>
        <w:jc w:val="left"/>
        <w:textAlignment w:val="auto"/>
        <w:rPr>
          <w:rFonts w:hint="eastAsia"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承包人提交的竣工资料形式要求：</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lang w:val="en-US" w:eastAsia="zh-CN"/>
        </w:rPr>
        <w:t>纸质及电子资料</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5DCBB1F9">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kern w:val="0"/>
          <w:sz w:val="21"/>
          <w:szCs w:val="21"/>
          <w:highlight w:val="none"/>
        </w:rPr>
        <w:t>（</w:t>
      </w:r>
      <w:r>
        <w:rPr>
          <w:rFonts w:hint="eastAsia" w:ascii="Times New Roman" w:hAnsi="Times New Roman" w:eastAsia="仿宋_GB2312"/>
          <w:color w:val="auto"/>
          <w:kern w:val="0"/>
          <w:sz w:val="21"/>
          <w:szCs w:val="21"/>
          <w:highlight w:val="none"/>
        </w:rPr>
        <w:t>10</w:t>
      </w:r>
      <w:r>
        <w:rPr>
          <w:rFonts w:ascii="Times New Roman" w:hAnsi="Times New Roman" w:eastAsia="仿宋_GB2312"/>
          <w:color w:val="auto"/>
          <w:kern w:val="0"/>
          <w:sz w:val="21"/>
          <w:szCs w:val="21"/>
          <w:highlight w:val="none"/>
        </w:rPr>
        <w:t>）承包人应履行的其他义务：</w:t>
      </w:r>
      <w:r>
        <w:rPr>
          <w:rFonts w:ascii="Times New Roman" w:hAnsi="Times New Roman" w:eastAsia="仿宋_GB2312"/>
          <w:color w:val="auto"/>
          <w:sz w:val="21"/>
          <w:szCs w:val="21"/>
          <w:highlight w:val="none"/>
          <w:u w:val="single"/>
        </w:rPr>
        <w:t></w:t>
      </w:r>
      <w:r>
        <w:rPr>
          <w:rFonts w:hint="eastAsia" w:ascii="Times New Roman" w:hAnsi="Times New Roman" w:eastAsia="仿宋_GB2312"/>
          <w:color w:val="auto"/>
          <w:sz w:val="21"/>
          <w:szCs w:val="21"/>
          <w:highlight w:val="none"/>
          <w:u w:val="single"/>
          <w:lang w:val="en-US" w:eastAsia="zh-CN"/>
        </w:rPr>
        <w:t>无</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41B8ADD6">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黑体"/>
          <w:color w:val="auto"/>
          <w:sz w:val="21"/>
          <w:szCs w:val="21"/>
          <w:highlight w:val="none"/>
        </w:rPr>
      </w:pPr>
      <w:r>
        <w:rPr>
          <w:rFonts w:ascii="Times New Roman" w:hAnsi="Times New Roman" w:eastAsia="黑体"/>
          <w:color w:val="auto"/>
          <w:sz w:val="21"/>
          <w:szCs w:val="21"/>
          <w:highlight w:val="none"/>
        </w:rPr>
        <w:t>3.2 项目经理</w:t>
      </w:r>
    </w:p>
    <w:p w14:paraId="2F527441">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kern w:val="0"/>
          <w:sz w:val="21"/>
          <w:szCs w:val="21"/>
          <w:highlight w:val="none"/>
        </w:rPr>
        <w:t xml:space="preserve">3.2.1 </w:t>
      </w:r>
      <w:r>
        <w:rPr>
          <w:rFonts w:ascii="Times New Roman" w:hAnsi="Times New Roman" w:eastAsia="仿宋_GB2312"/>
          <w:color w:val="auto"/>
          <w:sz w:val="21"/>
          <w:szCs w:val="21"/>
          <w:highlight w:val="none"/>
        </w:rPr>
        <w:t>项目经理：</w:t>
      </w:r>
    </w:p>
    <w:p w14:paraId="04C51C75">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姓    名：</w:t>
      </w:r>
      <w:r>
        <w:rPr>
          <w:rFonts w:ascii="Times New Roman" w:hAnsi="Times New Roman" w:eastAsia="仿宋_GB2312"/>
          <w:color w:val="auto"/>
          <w:sz w:val="21"/>
          <w:szCs w:val="21"/>
          <w:highlight w:val="none"/>
          <w:u w:val="single"/>
        </w:rPr>
        <w:t>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w:t>
      </w:r>
      <w:r>
        <w:rPr>
          <w:rFonts w:ascii="Times New Roman" w:hAnsi="Times New Roman" w:eastAsia="仿宋_GB2312"/>
          <w:color w:val="auto"/>
          <w:sz w:val="21"/>
          <w:szCs w:val="21"/>
          <w:highlight w:val="none"/>
        </w:rPr>
        <w:t>；</w:t>
      </w:r>
    </w:p>
    <w:p w14:paraId="193F97DF">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身份证号：</w:t>
      </w:r>
      <w:r>
        <w:rPr>
          <w:rFonts w:ascii="Times New Roman" w:hAnsi="Times New Roman" w:eastAsia="仿宋_GB2312"/>
          <w:color w:val="auto"/>
          <w:sz w:val="21"/>
          <w:szCs w:val="21"/>
          <w:highlight w:val="none"/>
          <w:u w:val="single"/>
        </w:rPr>
        <w:t>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w:t>
      </w:r>
      <w:r>
        <w:rPr>
          <w:rFonts w:ascii="Times New Roman" w:hAnsi="Times New Roman" w:eastAsia="仿宋_GB2312"/>
          <w:color w:val="auto"/>
          <w:sz w:val="21"/>
          <w:szCs w:val="21"/>
          <w:highlight w:val="none"/>
        </w:rPr>
        <w:t>；</w:t>
      </w:r>
    </w:p>
    <w:p w14:paraId="5D501868">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建造师执业资格等级：</w:t>
      </w:r>
      <w:r>
        <w:rPr>
          <w:rFonts w:ascii="Times New Roman" w:hAnsi="Times New Roman" w:eastAsia="仿宋_GB2312"/>
          <w:color w:val="auto"/>
          <w:sz w:val="21"/>
          <w:szCs w:val="21"/>
          <w:highlight w:val="none"/>
          <w:u w:val="single"/>
        </w:rPr>
        <w:t>   </w:t>
      </w:r>
      <w:r>
        <w:rPr>
          <w:rFonts w:ascii="Times New Roman" w:hAnsi="Times New Roman" w:eastAsia="仿宋_GB2312"/>
          <w:color w:val="auto"/>
          <w:sz w:val="21"/>
          <w:szCs w:val="21"/>
          <w:highlight w:val="none"/>
        </w:rPr>
        <w:t>；</w:t>
      </w:r>
    </w:p>
    <w:p w14:paraId="6CD73DB7">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建造师注册证书号：</w:t>
      </w:r>
      <w:r>
        <w:rPr>
          <w:rFonts w:ascii="Times New Roman" w:hAnsi="Times New Roman" w:eastAsia="仿宋_GB2312"/>
          <w:color w:val="auto"/>
          <w:sz w:val="21"/>
          <w:szCs w:val="21"/>
          <w:highlight w:val="none"/>
          <w:u w:val="single"/>
        </w:rPr>
        <w:t> </w:t>
      </w:r>
      <w:r>
        <w:rPr>
          <w:rFonts w:ascii="Times New Roman" w:hAnsi="Times New Roman" w:eastAsia="仿宋_GB2312"/>
          <w:color w:val="auto"/>
          <w:sz w:val="21"/>
          <w:szCs w:val="21"/>
          <w:highlight w:val="none"/>
        </w:rPr>
        <w:t>；</w:t>
      </w:r>
    </w:p>
    <w:p w14:paraId="16DDE9D6">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建造师执业印章号：</w:t>
      </w:r>
      <w:r>
        <w:rPr>
          <w:rFonts w:ascii="Times New Roman" w:hAnsi="Times New Roman" w:eastAsia="仿宋_GB2312"/>
          <w:color w:val="auto"/>
          <w:sz w:val="21"/>
          <w:szCs w:val="21"/>
          <w:highlight w:val="none"/>
          <w:u w:val="single"/>
        </w:rPr>
        <w:t> </w:t>
      </w:r>
      <w:r>
        <w:rPr>
          <w:rFonts w:ascii="Times New Roman" w:hAnsi="Times New Roman" w:eastAsia="仿宋_GB2312"/>
          <w:color w:val="auto"/>
          <w:sz w:val="21"/>
          <w:szCs w:val="21"/>
          <w:highlight w:val="none"/>
        </w:rPr>
        <w:t>；</w:t>
      </w:r>
    </w:p>
    <w:p w14:paraId="177F186E">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安全生产考核合格证书号：</w:t>
      </w:r>
      <w:r>
        <w:rPr>
          <w:rFonts w:ascii="Times New Roman" w:hAnsi="Times New Roman" w:eastAsia="仿宋_GB2312"/>
          <w:color w:val="auto"/>
          <w:sz w:val="21"/>
          <w:szCs w:val="21"/>
          <w:highlight w:val="none"/>
          <w:u w:val="single"/>
        </w:rPr>
        <w:t> </w:t>
      </w:r>
      <w:r>
        <w:rPr>
          <w:rFonts w:ascii="Times New Roman" w:hAnsi="Times New Roman" w:eastAsia="仿宋_GB2312"/>
          <w:color w:val="auto"/>
          <w:sz w:val="21"/>
          <w:szCs w:val="21"/>
          <w:highlight w:val="none"/>
        </w:rPr>
        <w:t>；</w:t>
      </w:r>
    </w:p>
    <w:p w14:paraId="56D7FB9A">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联系电话：</w:t>
      </w:r>
      <w:r>
        <w:rPr>
          <w:rFonts w:ascii="Times New Roman" w:hAnsi="Times New Roman" w:eastAsia="仿宋_GB2312"/>
          <w:color w:val="auto"/>
          <w:sz w:val="21"/>
          <w:szCs w:val="21"/>
          <w:highlight w:val="none"/>
          <w:u w:val="single"/>
        </w:rPr>
        <w:t>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w:t>
      </w:r>
      <w:r>
        <w:rPr>
          <w:rFonts w:ascii="Times New Roman" w:hAnsi="Times New Roman" w:eastAsia="仿宋_GB2312"/>
          <w:color w:val="auto"/>
          <w:sz w:val="21"/>
          <w:szCs w:val="21"/>
          <w:highlight w:val="none"/>
        </w:rPr>
        <w:t>；</w:t>
      </w:r>
    </w:p>
    <w:p w14:paraId="6865AED1">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电子信箱：</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w:t>
      </w:r>
      <w:r>
        <w:rPr>
          <w:rFonts w:ascii="Times New Roman" w:hAnsi="Times New Roman" w:eastAsia="仿宋_GB2312"/>
          <w:color w:val="auto"/>
          <w:sz w:val="21"/>
          <w:szCs w:val="21"/>
          <w:highlight w:val="none"/>
        </w:rPr>
        <w:t>；</w:t>
      </w:r>
    </w:p>
    <w:p w14:paraId="43FAEE66">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通信地址：</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w:t>
      </w:r>
      <w:r>
        <w:rPr>
          <w:rFonts w:ascii="Times New Roman" w:hAnsi="Times New Roman" w:eastAsia="仿宋_GB2312"/>
          <w:color w:val="auto"/>
          <w:sz w:val="21"/>
          <w:szCs w:val="21"/>
          <w:highlight w:val="none"/>
        </w:rPr>
        <w:t>；</w:t>
      </w:r>
    </w:p>
    <w:p w14:paraId="215F8CD7">
      <w:pPr>
        <w:pageBreakBefore w:val="0"/>
        <w:widowControl w:val="0"/>
        <w:kinsoku/>
        <w:wordWrap/>
        <w:overflowPunct/>
        <w:topLinePunct w:val="0"/>
        <w:bidi w:val="0"/>
        <w:adjustRightInd w:val="0"/>
        <w:snapToGrid w:val="0"/>
        <w:spacing w:line="360" w:lineRule="auto"/>
        <w:ind w:firstLine="420" w:firstLineChars="200"/>
        <w:textAlignment w:val="auto"/>
        <w:rPr>
          <w:rFonts w:hint="eastAsia" w:ascii="Times New Roman" w:hAnsi="Times New Roman" w:eastAsia="仿宋_GB2312" w:cs="Times New Roman"/>
          <w:color w:val="auto"/>
          <w:kern w:val="0"/>
          <w:sz w:val="21"/>
          <w:szCs w:val="21"/>
          <w:highlight w:val="none"/>
          <w:u w:val="single"/>
          <w:lang w:val="en-US" w:eastAsia="zh-CN"/>
        </w:rPr>
      </w:pPr>
      <w:r>
        <w:rPr>
          <w:rFonts w:ascii="Times New Roman" w:hAnsi="Times New Roman" w:eastAsia="仿宋_GB2312"/>
          <w:color w:val="auto"/>
          <w:sz w:val="21"/>
          <w:szCs w:val="21"/>
          <w:highlight w:val="none"/>
        </w:rPr>
        <w:t>承包人对项目经理的授权范围如下：</w:t>
      </w:r>
      <w:r>
        <w:rPr>
          <w:rFonts w:hint="eastAsia" w:ascii="Times New Roman" w:hAnsi="Times New Roman" w:eastAsia="仿宋_GB2312" w:cs="Times New Roman"/>
          <w:color w:val="auto"/>
          <w:kern w:val="0"/>
          <w:sz w:val="21"/>
          <w:szCs w:val="21"/>
          <w:highlight w:val="none"/>
          <w:u w:val="single"/>
          <w:lang w:val="en-US" w:eastAsia="zh-CN"/>
        </w:rPr>
        <w:t>代表承包人履行合同约定范围的权利、义务。</w:t>
      </w:r>
    </w:p>
    <w:p w14:paraId="1E5AC47C">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关于项目经理每月在施工现场的时间要求：</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 xml:space="preserve">不少于22天（必须满足现场施工需求），每天不低于8小时，同时保证关键时刻、关键工序必须在场。项目经理如有特殊原因需要离开现场，需事先通知监理人，并取得发包人的书面同意 </w:t>
      </w:r>
      <w:r>
        <w:rPr>
          <w:rFonts w:ascii="Times New Roman" w:hAnsi="Times New Roman" w:eastAsia="仿宋_GB2312"/>
          <w:color w:val="auto"/>
          <w:sz w:val="21"/>
          <w:szCs w:val="21"/>
          <w:highlight w:val="none"/>
          <w:u w:val="single"/>
        </w:rPr>
        <w:t></w:t>
      </w:r>
      <w:r>
        <w:rPr>
          <w:rFonts w:ascii="Times New Roman" w:hAnsi="Times New Roman" w:eastAsia="仿宋_GB2312"/>
          <w:color w:val="auto"/>
          <w:sz w:val="21"/>
          <w:szCs w:val="21"/>
          <w:highlight w:val="none"/>
        </w:rPr>
        <w:t>。</w:t>
      </w:r>
    </w:p>
    <w:p w14:paraId="3FC87B17">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承包人未提交劳动合同，以及没有为项目经理缴纳社会保险证明的违约责任：</w:t>
      </w:r>
      <w:r>
        <w:rPr>
          <w:rFonts w:hint="eastAsia" w:ascii="Times New Roman" w:hAnsi="Times New Roman" w:eastAsia="仿宋_GB2312" w:cs="Times New Roman"/>
          <w:color w:val="auto"/>
          <w:kern w:val="0"/>
          <w:sz w:val="21"/>
          <w:szCs w:val="21"/>
          <w:highlight w:val="none"/>
          <w:u w:val="single"/>
          <w:lang w:val="en-US" w:eastAsia="zh-CN"/>
        </w:rPr>
        <w:t>承包人应在本合同签订后7日内，提交劳动合同，以及为项目经理缴纳社会保险的证明。由此而影响到项目报建报手续办理、被主管部门处罚停工、民工上访等造成的经济损失，由承包人赔偿。</w:t>
      </w:r>
    </w:p>
    <w:p w14:paraId="18223A51">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u w:val="single"/>
        </w:rPr>
      </w:pPr>
      <w:r>
        <w:rPr>
          <w:rFonts w:ascii="Times New Roman" w:hAnsi="Times New Roman" w:eastAsia="仿宋_GB2312"/>
          <w:color w:val="auto"/>
          <w:kern w:val="0"/>
          <w:sz w:val="21"/>
          <w:szCs w:val="21"/>
          <w:highlight w:val="none"/>
        </w:rPr>
        <w:t>项目经理未经批准，擅自离开施工现场的违约责任：</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处罚</w:t>
      </w:r>
      <w:r>
        <w:rPr>
          <w:rFonts w:hint="eastAsia" w:eastAsia="仿宋_GB2312"/>
          <w:color w:val="auto"/>
          <w:sz w:val="21"/>
          <w:szCs w:val="21"/>
          <w:highlight w:val="none"/>
          <w:u w:val="single"/>
          <w:lang w:val="en-US" w:eastAsia="zh-CN"/>
        </w:rPr>
        <w:t>2</w:t>
      </w:r>
      <w:r>
        <w:rPr>
          <w:rFonts w:hint="eastAsia" w:ascii="Times New Roman" w:hAnsi="Times New Roman" w:eastAsia="仿宋_GB2312"/>
          <w:color w:val="auto"/>
          <w:sz w:val="21"/>
          <w:szCs w:val="21"/>
          <w:highlight w:val="none"/>
          <w:u w:val="single"/>
        </w:rPr>
        <w:t>万元整</w:t>
      </w:r>
      <w:r>
        <w:rPr>
          <w:rFonts w:hint="eastAsia" w:eastAsia="仿宋_GB2312"/>
          <w:color w:val="auto"/>
          <w:sz w:val="21"/>
          <w:szCs w:val="21"/>
          <w:highlight w:val="none"/>
          <w:u w:val="single"/>
          <w:lang w:val="en-US" w:eastAsia="zh-CN"/>
        </w:rPr>
        <w:t>/</w:t>
      </w:r>
      <w:r>
        <w:rPr>
          <w:rFonts w:hint="eastAsia" w:ascii="Times New Roman" w:hAnsi="Times New Roman" w:eastAsia="仿宋_GB2312"/>
          <w:color w:val="auto"/>
          <w:sz w:val="21"/>
          <w:szCs w:val="21"/>
          <w:highlight w:val="none"/>
          <w:u w:val="single"/>
        </w:rPr>
        <w:t>次，从应付的进度款或结算款中直接扣除，每月超过</w:t>
      </w:r>
      <w:r>
        <w:rPr>
          <w:rFonts w:hint="eastAsia" w:eastAsia="仿宋_GB2312"/>
          <w:color w:val="auto"/>
          <w:sz w:val="21"/>
          <w:szCs w:val="21"/>
          <w:highlight w:val="none"/>
          <w:u w:val="single"/>
          <w:lang w:val="en-US" w:eastAsia="zh-CN"/>
        </w:rPr>
        <w:t>3</w:t>
      </w:r>
      <w:r>
        <w:rPr>
          <w:rFonts w:hint="eastAsia" w:ascii="Times New Roman" w:hAnsi="Times New Roman" w:eastAsia="仿宋_GB2312"/>
          <w:color w:val="auto"/>
          <w:sz w:val="21"/>
          <w:szCs w:val="21"/>
          <w:highlight w:val="none"/>
          <w:u w:val="single"/>
        </w:rPr>
        <w:t>次或累计超过</w:t>
      </w:r>
      <w:r>
        <w:rPr>
          <w:rFonts w:hint="eastAsia" w:eastAsia="仿宋_GB2312"/>
          <w:color w:val="auto"/>
          <w:sz w:val="21"/>
          <w:szCs w:val="21"/>
          <w:highlight w:val="none"/>
          <w:u w:val="single"/>
          <w:lang w:val="en-US" w:eastAsia="zh-CN"/>
        </w:rPr>
        <w:t>7</w:t>
      </w:r>
      <w:r>
        <w:rPr>
          <w:rFonts w:hint="eastAsia" w:ascii="Times New Roman" w:hAnsi="Times New Roman" w:eastAsia="仿宋_GB2312"/>
          <w:color w:val="auto"/>
          <w:sz w:val="21"/>
          <w:szCs w:val="21"/>
          <w:highlight w:val="none"/>
          <w:u w:val="single"/>
        </w:rPr>
        <w:t>次，发包人有权因此解除合同</w:t>
      </w:r>
      <w:r>
        <w:rPr>
          <w:rFonts w:ascii="Times New Roman" w:hAnsi="Times New Roman" w:eastAsia="仿宋_GB2312"/>
          <w:color w:val="auto"/>
          <w:sz w:val="21"/>
          <w:szCs w:val="21"/>
          <w:highlight w:val="none"/>
        </w:rPr>
        <w:t>。</w:t>
      </w:r>
    </w:p>
    <w:p w14:paraId="11A2A586">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3.2.3 承包人擅自更换项目经理的违约责任：</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处罚5万元整，从应付的进度款或结算款中直接扣除，承包人第二次更换的，发包人有权因此解除合同 </w:t>
      </w:r>
      <w:r>
        <w:rPr>
          <w:rFonts w:ascii="Times New Roman" w:hAnsi="Times New Roman" w:eastAsia="仿宋_GB2312"/>
          <w:color w:val="auto"/>
          <w:sz w:val="21"/>
          <w:szCs w:val="21"/>
          <w:highlight w:val="none"/>
        </w:rPr>
        <w:t>。</w:t>
      </w:r>
    </w:p>
    <w:p w14:paraId="3281A48C">
      <w:pPr>
        <w:pageBreakBefore w:val="0"/>
        <w:widowControl w:val="0"/>
        <w:kinsoku/>
        <w:wordWrap/>
        <w:overflowPunct/>
        <w:topLinePunct w:val="0"/>
        <w:bidi w:val="0"/>
        <w:adjustRightInd w:val="0"/>
        <w:snapToGrid w:val="0"/>
        <w:spacing w:line="360" w:lineRule="auto"/>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 xml:space="preserve">    3.2.4 承包人无正当理由拒绝更换项目经理的违约责任：</w:t>
      </w:r>
      <w:r>
        <w:rPr>
          <w:rFonts w:hint="eastAsia" w:ascii="Times New Roman" w:hAnsi="Times New Roman" w:eastAsia="仿宋_GB2312" w:cs="Times New Roman"/>
          <w:color w:val="auto"/>
          <w:kern w:val="0"/>
          <w:sz w:val="21"/>
          <w:szCs w:val="21"/>
          <w:highlight w:val="none"/>
          <w:u w:val="single"/>
          <w:lang w:val="en-US" w:eastAsia="zh-CN"/>
        </w:rPr>
        <w:t xml:space="preserve"> 处罚2万元整，从应付的进度款或结算款中直接扣除，发包人有权因此解除合同</w:t>
      </w:r>
      <w:r>
        <w:rPr>
          <w:rFonts w:ascii="Times New Roman" w:hAnsi="Times New Roman" w:eastAsia="仿宋_GB2312"/>
          <w:color w:val="auto"/>
          <w:sz w:val="21"/>
          <w:szCs w:val="21"/>
          <w:highlight w:val="none"/>
        </w:rPr>
        <w:t>。</w:t>
      </w:r>
    </w:p>
    <w:p w14:paraId="3BCF2019">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黑体"/>
          <w:color w:val="auto"/>
          <w:sz w:val="21"/>
          <w:szCs w:val="21"/>
          <w:highlight w:val="none"/>
        </w:rPr>
      </w:pPr>
      <w:r>
        <w:rPr>
          <w:rFonts w:ascii="Times New Roman" w:hAnsi="Times New Roman" w:eastAsia="黑体"/>
          <w:color w:val="auto"/>
          <w:sz w:val="21"/>
          <w:szCs w:val="21"/>
          <w:highlight w:val="none"/>
        </w:rPr>
        <w:t>3.3 承包人人员</w:t>
      </w:r>
    </w:p>
    <w:p w14:paraId="3B2495EF">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3.3.1 承包人提交项目管理机构及施工现场管理人员安排报告的期限：</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 xml:space="preserve"> 合同签订后7日内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2A9E71F1">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3.3.3 承包人无正当理由拒绝撤换主要施工管理人员的违约责任：</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 xml:space="preserve"> 处罚</w:t>
      </w:r>
      <w:r>
        <w:rPr>
          <w:rFonts w:hint="eastAsia" w:eastAsia="仿宋_GB2312" w:cs="Times New Roman"/>
          <w:color w:val="auto"/>
          <w:kern w:val="0"/>
          <w:sz w:val="21"/>
          <w:szCs w:val="21"/>
          <w:highlight w:val="none"/>
          <w:u w:val="single"/>
          <w:lang w:val="en-US" w:eastAsia="zh-CN"/>
        </w:rPr>
        <w:t>3</w:t>
      </w:r>
      <w:r>
        <w:rPr>
          <w:rFonts w:hint="eastAsia" w:ascii="Times New Roman" w:hAnsi="Times New Roman" w:eastAsia="仿宋_GB2312" w:cs="Times New Roman"/>
          <w:color w:val="auto"/>
          <w:kern w:val="0"/>
          <w:sz w:val="21"/>
          <w:szCs w:val="21"/>
          <w:highlight w:val="none"/>
          <w:u w:val="single"/>
          <w:lang w:val="en-US" w:eastAsia="zh-CN"/>
        </w:rPr>
        <w:t>千元整/人次，从应付的进度款或结算款中直接扣除，每月超过</w:t>
      </w:r>
      <w:r>
        <w:rPr>
          <w:rFonts w:hint="eastAsia" w:eastAsia="仿宋_GB2312" w:cs="Times New Roman"/>
          <w:color w:val="auto"/>
          <w:kern w:val="0"/>
          <w:sz w:val="21"/>
          <w:szCs w:val="21"/>
          <w:highlight w:val="none"/>
          <w:u w:val="single"/>
          <w:lang w:val="en-US" w:eastAsia="zh-CN"/>
        </w:rPr>
        <w:t>3</w:t>
      </w:r>
      <w:r>
        <w:rPr>
          <w:rFonts w:hint="eastAsia" w:ascii="Times New Roman" w:hAnsi="Times New Roman" w:eastAsia="仿宋_GB2312" w:cs="Times New Roman"/>
          <w:color w:val="auto"/>
          <w:kern w:val="0"/>
          <w:sz w:val="21"/>
          <w:szCs w:val="21"/>
          <w:highlight w:val="none"/>
          <w:u w:val="single"/>
          <w:lang w:val="en-US" w:eastAsia="zh-CN"/>
        </w:rPr>
        <w:t>人次或累计超过</w:t>
      </w:r>
      <w:r>
        <w:rPr>
          <w:rFonts w:hint="eastAsia" w:eastAsia="仿宋_GB2312" w:cs="Times New Roman"/>
          <w:color w:val="auto"/>
          <w:kern w:val="0"/>
          <w:sz w:val="21"/>
          <w:szCs w:val="21"/>
          <w:highlight w:val="none"/>
          <w:u w:val="single"/>
          <w:lang w:val="en-US" w:eastAsia="zh-CN"/>
        </w:rPr>
        <w:t>7</w:t>
      </w:r>
      <w:r>
        <w:rPr>
          <w:rFonts w:hint="eastAsia" w:ascii="Times New Roman" w:hAnsi="Times New Roman" w:eastAsia="仿宋_GB2312" w:cs="Times New Roman"/>
          <w:color w:val="auto"/>
          <w:kern w:val="0"/>
          <w:sz w:val="21"/>
          <w:szCs w:val="21"/>
          <w:highlight w:val="none"/>
          <w:u w:val="single"/>
          <w:lang w:val="en-US" w:eastAsia="zh-CN"/>
        </w:rPr>
        <w:t xml:space="preserve">人次，发包人有权因此解除合同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427A96C9">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u w:val="single"/>
        </w:rPr>
      </w:pPr>
      <w:r>
        <w:rPr>
          <w:rFonts w:ascii="Times New Roman" w:hAnsi="Times New Roman" w:eastAsia="仿宋_GB2312"/>
          <w:color w:val="auto"/>
          <w:sz w:val="21"/>
          <w:szCs w:val="21"/>
          <w:highlight w:val="none"/>
        </w:rPr>
        <w:t>3.3.4 承包人主要施工管理人员离开施工现场的批准要求：</w:t>
      </w:r>
      <w:r>
        <w:rPr>
          <w:rFonts w:hint="eastAsia" w:ascii="Times New Roman" w:hAnsi="Times New Roman" w:eastAsia="仿宋_GB2312" w:cs="Times New Roman"/>
          <w:color w:val="auto"/>
          <w:kern w:val="0"/>
          <w:sz w:val="21"/>
          <w:szCs w:val="21"/>
          <w:highlight w:val="none"/>
          <w:u w:val="single"/>
          <w:lang w:val="en-US" w:eastAsia="zh-CN"/>
        </w:rPr>
        <w:t xml:space="preserve">执行通用合同条款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14C8C835">
      <w:pPr>
        <w:pageBreakBefore w:val="0"/>
        <w:widowControl w:val="0"/>
        <w:kinsoku/>
        <w:wordWrap/>
        <w:overflowPunct/>
        <w:topLinePunct w:val="0"/>
        <w:bidi w:val="0"/>
        <w:adjustRightInd w:val="0"/>
        <w:snapToGrid w:val="0"/>
        <w:spacing w:line="360" w:lineRule="auto"/>
        <w:ind w:firstLine="420" w:firstLineChars="200"/>
        <w:textAlignment w:val="auto"/>
        <w:rPr>
          <w:rFonts w:hint="eastAsia" w:ascii="Times New Roman" w:hAnsi="Times New Roman" w:eastAsia="仿宋_GB2312" w:cs="Times New Roman"/>
          <w:color w:val="auto"/>
          <w:kern w:val="0"/>
          <w:sz w:val="21"/>
          <w:szCs w:val="21"/>
          <w:highlight w:val="none"/>
          <w:u w:val="single"/>
          <w:lang w:val="en-US" w:eastAsia="zh-CN"/>
        </w:rPr>
      </w:pPr>
      <w:r>
        <w:rPr>
          <w:rFonts w:ascii="Times New Roman" w:hAnsi="Times New Roman" w:eastAsia="仿宋_GB2312"/>
          <w:color w:val="auto"/>
          <w:sz w:val="21"/>
          <w:szCs w:val="21"/>
          <w:highlight w:val="none"/>
        </w:rPr>
        <w:t>3.3.5承包人擅自更换主要施工管理人员的违约责任：</w:t>
      </w:r>
      <w:r>
        <w:rPr>
          <w:rFonts w:hint="eastAsia" w:ascii="Times New Roman" w:hAnsi="Times New Roman" w:eastAsia="仿宋_GB2312" w:cs="Times New Roman"/>
          <w:color w:val="auto"/>
          <w:kern w:val="0"/>
          <w:sz w:val="21"/>
          <w:szCs w:val="21"/>
          <w:highlight w:val="none"/>
          <w:u w:val="single"/>
          <w:lang w:val="en-US" w:eastAsia="zh-CN"/>
        </w:rPr>
        <w:t>擅自更换技术负责人，罚款2万元整/</w:t>
      </w:r>
    </w:p>
    <w:p w14:paraId="0AAF705F">
      <w:pPr>
        <w:pageBreakBefore w:val="0"/>
        <w:widowControl w:val="0"/>
        <w:kinsoku/>
        <w:wordWrap/>
        <w:overflowPunct/>
        <w:topLinePunct w:val="0"/>
        <w:bidi w:val="0"/>
        <w:adjustRightInd w:val="0"/>
        <w:snapToGrid w:val="0"/>
        <w:spacing w:line="360" w:lineRule="auto"/>
        <w:textAlignment w:val="auto"/>
        <w:rPr>
          <w:rFonts w:ascii="Times New Roman" w:hAnsi="Times New Roman" w:eastAsia="仿宋_GB2312"/>
          <w:color w:val="auto"/>
          <w:sz w:val="21"/>
          <w:szCs w:val="21"/>
          <w:highlight w:val="none"/>
        </w:rPr>
      </w:pPr>
      <w:r>
        <w:rPr>
          <w:rFonts w:hint="eastAsia" w:ascii="Times New Roman" w:hAnsi="Times New Roman" w:eastAsia="仿宋_GB2312" w:cs="Times New Roman"/>
          <w:color w:val="auto"/>
          <w:kern w:val="0"/>
          <w:sz w:val="21"/>
          <w:szCs w:val="21"/>
          <w:highlight w:val="none"/>
          <w:u w:val="single"/>
          <w:lang w:val="en-US" w:eastAsia="zh-CN"/>
        </w:rPr>
        <w:t>次；其他岗位人员（项目经理、技术负责人除外）擅自更换，罚款1万元整/次</w:t>
      </w:r>
      <w:r>
        <w:rPr>
          <w:rFonts w:hint="eastAsia" w:eastAsia="仿宋_GB2312" w:cs="Times New Roman"/>
          <w:color w:val="auto"/>
          <w:kern w:val="0"/>
          <w:sz w:val="21"/>
          <w:szCs w:val="21"/>
          <w:highlight w:val="none"/>
          <w:u w:val="single"/>
          <w:lang w:val="en-US" w:eastAsia="zh-CN"/>
        </w:rPr>
        <w:t>；</w:t>
      </w:r>
      <w:r>
        <w:rPr>
          <w:rFonts w:hint="eastAsia" w:ascii="Times New Roman" w:hAnsi="Times New Roman" w:eastAsia="仿宋_GB2312" w:cs="Times New Roman"/>
          <w:color w:val="auto"/>
          <w:kern w:val="0"/>
          <w:sz w:val="21"/>
          <w:szCs w:val="21"/>
          <w:highlight w:val="none"/>
          <w:u w:val="single"/>
          <w:lang w:val="en-US" w:eastAsia="zh-CN"/>
        </w:rPr>
        <w:t>应在岗不在岗的罚款3 千元整/次</w:t>
      </w:r>
      <w:r>
        <w:rPr>
          <w:rFonts w:ascii="Times New Roman" w:hAnsi="Times New Roman" w:eastAsia="仿宋_GB2312"/>
          <w:color w:val="auto"/>
          <w:sz w:val="21"/>
          <w:szCs w:val="21"/>
          <w:highlight w:val="none"/>
        </w:rPr>
        <w:t>。</w:t>
      </w:r>
    </w:p>
    <w:p w14:paraId="347E4366">
      <w:pPr>
        <w:pageBreakBefore w:val="0"/>
        <w:widowControl w:val="0"/>
        <w:kinsoku/>
        <w:wordWrap/>
        <w:overflowPunct/>
        <w:topLinePunct w:val="0"/>
        <w:bidi w:val="0"/>
        <w:adjustRightInd w:val="0"/>
        <w:snapToGrid w:val="0"/>
        <w:spacing w:line="360" w:lineRule="auto"/>
        <w:ind w:firstLine="420" w:firstLineChars="200"/>
        <w:textAlignment w:val="auto"/>
        <w:rPr>
          <w:rFonts w:hint="eastAsia" w:eastAsia="仿宋_GB2312" w:cs="Times New Roman"/>
          <w:color w:val="auto"/>
          <w:sz w:val="21"/>
          <w:szCs w:val="21"/>
          <w:highlight w:val="none"/>
          <w:u w:val="single"/>
        </w:rPr>
      </w:pPr>
      <w:r>
        <w:rPr>
          <w:rFonts w:ascii="Times New Roman" w:hAnsi="Times New Roman" w:eastAsia="仿宋_GB2312"/>
          <w:color w:val="auto"/>
          <w:sz w:val="21"/>
          <w:szCs w:val="21"/>
          <w:highlight w:val="none"/>
        </w:rPr>
        <w:t>承包人主要施工管理人员擅自离开施工现场的违约责任：</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处罚</w:t>
      </w:r>
      <w:r>
        <w:rPr>
          <w:rFonts w:hint="eastAsia" w:eastAsia="仿宋_GB2312" w:cs="Times New Roman"/>
          <w:color w:val="auto"/>
          <w:kern w:val="0"/>
          <w:sz w:val="21"/>
          <w:szCs w:val="21"/>
          <w:highlight w:val="none"/>
          <w:u w:val="single"/>
          <w:lang w:val="en-US" w:eastAsia="zh-CN"/>
        </w:rPr>
        <w:t>5</w:t>
      </w:r>
      <w:r>
        <w:rPr>
          <w:rFonts w:hint="eastAsia" w:ascii="Times New Roman" w:hAnsi="Times New Roman" w:eastAsia="仿宋_GB2312" w:cs="Times New Roman"/>
          <w:color w:val="auto"/>
          <w:kern w:val="0"/>
          <w:sz w:val="21"/>
          <w:szCs w:val="21"/>
          <w:highlight w:val="none"/>
          <w:u w:val="single"/>
          <w:lang w:val="en-US" w:eastAsia="zh-CN"/>
        </w:rPr>
        <w:t>千元整每人次，从应付的进度款或结算款中直接扣除，每月超过3人次或累计超过7人次，发包人有权因此解除合同。</w:t>
      </w:r>
    </w:p>
    <w:p w14:paraId="3B35E7C6">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黑体"/>
          <w:color w:val="auto"/>
          <w:sz w:val="21"/>
          <w:szCs w:val="21"/>
          <w:highlight w:val="none"/>
        </w:rPr>
      </w:pPr>
      <w:r>
        <w:rPr>
          <w:rFonts w:ascii="Times New Roman" w:hAnsi="Times New Roman" w:eastAsia="黑体"/>
          <w:color w:val="auto"/>
          <w:sz w:val="21"/>
          <w:szCs w:val="21"/>
          <w:highlight w:val="none"/>
        </w:rPr>
        <w:t>3</w:t>
      </w:r>
      <w:bookmarkStart w:id="1308" w:name="_Toc312677988"/>
      <w:bookmarkStart w:id="1309" w:name="_Toc303539102"/>
      <w:bookmarkStart w:id="1310" w:name="_Toc296890987"/>
      <w:bookmarkStart w:id="1311" w:name="_Toc296891199"/>
      <w:bookmarkStart w:id="1312" w:name="_Toc292559364"/>
      <w:bookmarkStart w:id="1313" w:name="_Toc296944498"/>
      <w:bookmarkStart w:id="1314" w:name="_Toc296346660"/>
      <w:bookmarkStart w:id="1315" w:name="_Toc297048345"/>
      <w:bookmarkStart w:id="1316" w:name="_Toc297120459"/>
      <w:bookmarkStart w:id="1317" w:name="_Toc292559869"/>
      <w:bookmarkStart w:id="1318" w:name="_Toc297216151"/>
      <w:bookmarkStart w:id="1319" w:name="_Toc304295523"/>
      <w:bookmarkStart w:id="1320" w:name="_Toc296347158"/>
      <w:bookmarkStart w:id="1321" w:name="_Toc296503159"/>
      <w:bookmarkStart w:id="1322" w:name="_Toc297123492"/>
      <w:bookmarkStart w:id="1323" w:name="_Toc300934945"/>
      <w:r>
        <w:rPr>
          <w:rFonts w:ascii="Times New Roman" w:hAnsi="Times New Roman" w:eastAsia="黑体"/>
          <w:color w:val="auto"/>
          <w:sz w:val="21"/>
          <w:szCs w:val="21"/>
          <w:highlight w:val="none"/>
        </w:rPr>
        <w:t>.5 分包</w:t>
      </w:r>
    </w:p>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p w14:paraId="1F4042C6">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3</w:t>
      </w:r>
      <w:bookmarkStart w:id="1324" w:name="_Toc292559870"/>
      <w:bookmarkStart w:id="1325" w:name="_Toc300934946"/>
      <w:bookmarkStart w:id="1326" w:name="_Toc297123493"/>
      <w:bookmarkStart w:id="1327" w:name="_Toc296346661"/>
      <w:bookmarkStart w:id="1328" w:name="_Toc296347159"/>
      <w:bookmarkStart w:id="1329" w:name="_Toc303539103"/>
      <w:bookmarkStart w:id="1330" w:name="_Toc296503160"/>
      <w:bookmarkStart w:id="1331" w:name="_Toc304295524"/>
      <w:bookmarkStart w:id="1332" w:name="_Toc292559365"/>
      <w:bookmarkStart w:id="1333" w:name="_Toc297216152"/>
      <w:bookmarkStart w:id="1334" w:name="_Toc296944499"/>
      <w:bookmarkStart w:id="1335" w:name="_Toc297120460"/>
      <w:bookmarkStart w:id="1336" w:name="_Toc297048346"/>
      <w:bookmarkStart w:id="1337" w:name="_Toc296890988"/>
      <w:bookmarkStart w:id="1338" w:name="_Toc296891200"/>
      <w:bookmarkStart w:id="1339" w:name="_Toc318581158"/>
      <w:bookmarkStart w:id="1340" w:name="_Toc312677989"/>
      <w:r>
        <w:rPr>
          <w:rFonts w:ascii="Times New Roman" w:hAnsi="Times New Roman" w:eastAsia="仿宋_GB2312"/>
          <w:color w:val="auto"/>
          <w:sz w:val="21"/>
          <w:szCs w:val="21"/>
          <w:highlight w:val="none"/>
        </w:rPr>
        <w:t>.5.1 分包的一般约定</w:t>
      </w:r>
    </w:p>
    <w:p w14:paraId="3AB03740">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禁止分包的工程包括：</w:t>
      </w:r>
      <w:r>
        <w:rPr>
          <w:rFonts w:hint="eastAsia" w:ascii="Times New Roman" w:hAnsi="Times New Roman" w:eastAsia="仿宋_GB2312"/>
          <w:color w:val="auto"/>
          <w:sz w:val="21"/>
          <w:szCs w:val="21"/>
          <w:highlight w:val="none"/>
          <w:u w:val="single"/>
        </w:rPr>
        <w:t>主体工程及所有关键性工作</w:t>
      </w:r>
      <w:r>
        <w:rPr>
          <w:rFonts w:ascii="Times New Roman" w:hAnsi="Times New Roman" w:eastAsia="仿宋_GB2312"/>
          <w:color w:val="auto"/>
          <w:sz w:val="21"/>
          <w:szCs w:val="21"/>
          <w:highlight w:val="none"/>
        </w:rPr>
        <w:t>。</w:t>
      </w:r>
    </w:p>
    <w:p w14:paraId="75AAF8D1">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u w:val="single"/>
        </w:rPr>
      </w:pPr>
      <w:r>
        <w:rPr>
          <w:rFonts w:ascii="Times New Roman" w:hAnsi="Times New Roman" w:eastAsia="仿宋_GB2312"/>
          <w:color w:val="auto"/>
          <w:sz w:val="21"/>
          <w:szCs w:val="21"/>
          <w:highlight w:val="none"/>
        </w:rPr>
        <w:t>主体结构、关键性工作的范围：</w:t>
      </w:r>
      <w:r>
        <w:rPr>
          <w:rFonts w:hint="eastAsia" w:ascii="Times New Roman" w:hAnsi="Times New Roman" w:eastAsia="仿宋_GB2312"/>
          <w:color w:val="auto"/>
          <w:sz w:val="21"/>
          <w:szCs w:val="21"/>
          <w:highlight w:val="none"/>
          <w:u w:val="single"/>
        </w:rPr>
        <w:t>关键性工作指影响工程整体质量、安全性能、使用功能、系统运行的核心工序与核心系统工程</w:t>
      </w:r>
      <w:r>
        <w:rPr>
          <w:rFonts w:ascii="Times New Roman" w:hAnsi="Times New Roman" w:eastAsia="仿宋_GB2312"/>
          <w:color w:val="auto"/>
          <w:sz w:val="21"/>
          <w:szCs w:val="21"/>
          <w:highlight w:val="none"/>
        </w:rPr>
        <w:t>。</w:t>
      </w:r>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Start w:id="1341" w:name="_Toc296891201"/>
      <w:bookmarkStart w:id="1342" w:name="_Toc297216153"/>
      <w:bookmarkStart w:id="1343" w:name="_Toc296347160"/>
      <w:bookmarkStart w:id="1344" w:name="_Toc296944500"/>
      <w:bookmarkStart w:id="1345" w:name="_Toc297123494"/>
      <w:bookmarkStart w:id="1346" w:name="_Toc296346662"/>
      <w:bookmarkStart w:id="1347" w:name="_Toc300934947"/>
      <w:bookmarkStart w:id="1348" w:name="_Toc296890989"/>
      <w:bookmarkStart w:id="1349" w:name="_Toc297120461"/>
      <w:bookmarkStart w:id="1350" w:name="_Toc304295525"/>
      <w:bookmarkStart w:id="1351" w:name="_Toc296503161"/>
      <w:bookmarkStart w:id="1352" w:name="_Toc303539104"/>
      <w:bookmarkStart w:id="1353" w:name="_Toc297048347"/>
    </w:p>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p w14:paraId="07B415E9">
      <w:pPr>
        <w:pageBreakBefore w:val="0"/>
        <w:widowControl w:val="0"/>
        <w:kinsoku/>
        <w:wordWrap/>
        <w:overflowPunct/>
        <w:topLinePunct w:val="0"/>
        <w:bidi w:val="0"/>
        <w:adjustRightInd w:val="0"/>
        <w:snapToGrid w:val="0"/>
        <w:spacing w:line="360" w:lineRule="auto"/>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 xml:space="preserve">    3</w:t>
      </w:r>
      <w:bookmarkStart w:id="1354" w:name="_Toc318581159"/>
      <w:bookmarkStart w:id="1355" w:name="_Toc312677990"/>
      <w:r>
        <w:rPr>
          <w:rFonts w:ascii="Times New Roman" w:hAnsi="Times New Roman" w:eastAsia="仿宋_GB2312"/>
          <w:color w:val="auto"/>
          <w:sz w:val="21"/>
          <w:szCs w:val="21"/>
          <w:highlight w:val="none"/>
        </w:rPr>
        <w:t>.5.2分包的确定</w:t>
      </w:r>
    </w:p>
    <w:p w14:paraId="39ED11F7">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u w:val="single"/>
        </w:rPr>
      </w:pPr>
      <w:r>
        <w:rPr>
          <w:rFonts w:ascii="Times New Roman" w:hAnsi="Times New Roman" w:eastAsia="仿宋_GB2312"/>
          <w:color w:val="auto"/>
          <w:sz w:val="21"/>
          <w:szCs w:val="21"/>
          <w:highlight w:val="none"/>
        </w:rPr>
        <w:t>允许分包的专业工程包括：</w:t>
      </w:r>
      <w:r>
        <w:rPr>
          <w:rFonts w:hint="eastAsia" w:ascii="Times New Roman" w:hAnsi="Times New Roman" w:eastAsia="仿宋_GB2312"/>
          <w:color w:val="auto"/>
          <w:sz w:val="21"/>
          <w:szCs w:val="21"/>
          <w:highlight w:val="none"/>
          <w:u w:val="single"/>
        </w:rPr>
        <w:t>非主体、非关键性的专业工程</w:t>
      </w:r>
      <w:r>
        <w:rPr>
          <w:rFonts w:ascii="Times New Roman" w:hAnsi="Times New Roman" w:eastAsia="仿宋_GB2312"/>
          <w:color w:val="auto"/>
          <w:sz w:val="21"/>
          <w:szCs w:val="21"/>
          <w:highlight w:val="none"/>
        </w:rPr>
        <w:t>。</w:t>
      </w:r>
    </w:p>
    <w:p w14:paraId="3C2AD6E8">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其他关于分包的约定：</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54C5768D">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3.5.4 分包合同价款</w:t>
      </w:r>
    </w:p>
    <w:p w14:paraId="3C134B63">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关于分包合同价款支付的约定：</w:t>
      </w:r>
      <w:r>
        <w:rPr>
          <w:rFonts w:hint="eastAsia" w:ascii="Times New Roman" w:hAnsi="Times New Roman" w:eastAsia="仿宋_GB2312" w:cs="Times New Roman"/>
          <w:color w:val="auto"/>
          <w:kern w:val="0"/>
          <w:sz w:val="21"/>
          <w:szCs w:val="21"/>
          <w:highlight w:val="none"/>
          <w:u w:val="single"/>
          <w:lang w:val="en-US" w:eastAsia="zh-CN"/>
        </w:rPr>
        <w:t xml:space="preserve">                      </w:t>
      </w:r>
      <w:r>
        <w:rPr>
          <w:rFonts w:ascii="Times New Roman" w:hAnsi="Times New Roman" w:eastAsia="仿宋_GB2312"/>
          <w:color w:val="auto"/>
          <w:sz w:val="21"/>
          <w:szCs w:val="21"/>
          <w:highlight w:val="none"/>
        </w:rPr>
        <w:t>。</w:t>
      </w:r>
    </w:p>
    <w:bookmarkEnd w:id="1354"/>
    <w:bookmarkEnd w:id="1355"/>
    <w:p w14:paraId="62B8EC55">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黑体"/>
          <w:color w:val="auto"/>
          <w:sz w:val="21"/>
          <w:szCs w:val="21"/>
          <w:highlight w:val="none"/>
        </w:rPr>
      </w:pPr>
      <w:r>
        <w:rPr>
          <w:rFonts w:ascii="Times New Roman" w:hAnsi="Times New Roman" w:eastAsia="黑体"/>
          <w:color w:val="auto"/>
          <w:sz w:val="21"/>
          <w:szCs w:val="21"/>
          <w:highlight w:val="none"/>
        </w:rPr>
        <w:t>3.6 工程照管与成品、半成品保护</w:t>
      </w:r>
    </w:p>
    <w:p w14:paraId="339D87E6">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kern w:val="0"/>
          <w:sz w:val="21"/>
          <w:szCs w:val="21"/>
          <w:highlight w:val="none"/>
          <w:u w:val="single"/>
        </w:rPr>
      </w:pPr>
      <w:r>
        <w:rPr>
          <w:rFonts w:ascii="Times New Roman" w:hAnsi="Times New Roman" w:eastAsia="仿宋_GB2312"/>
          <w:color w:val="auto"/>
          <w:kern w:val="0"/>
          <w:sz w:val="21"/>
          <w:szCs w:val="21"/>
          <w:highlight w:val="none"/>
        </w:rPr>
        <w:t>承包人负责照管工程及工程相关的材料、工程设备的起始时间：</w:t>
      </w:r>
      <w:r>
        <w:rPr>
          <w:rFonts w:hint="eastAsia" w:ascii="Times New Roman" w:hAnsi="Times New Roman" w:eastAsia="仿宋_GB2312" w:cs="Times New Roman"/>
          <w:color w:val="auto"/>
          <w:kern w:val="0"/>
          <w:sz w:val="21"/>
          <w:szCs w:val="21"/>
          <w:highlight w:val="none"/>
          <w:u w:val="single"/>
          <w:lang w:val="en-US" w:eastAsia="zh-CN"/>
        </w:rPr>
        <w:t xml:space="preserve">相关材料、设备进场后至移交接管完毕。承包人应履行合同约定的成品保护义务；承包人应提供必要的人员、材料和设备用于整个工程的成品保护，包括对非施工区域、已完成的工程或工作的保护，防止任何非施工区域、已完成工作遭受任何损坏和破坏 </w:t>
      </w:r>
      <w:r>
        <w:rPr>
          <w:rFonts w:ascii="Times New Roman" w:hAnsi="Times New Roman" w:eastAsia="仿宋_GB2312"/>
          <w:color w:val="auto"/>
          <w:kern w:val="0"/>
          <w:sz w:val="21"/>
          <w:szCs w:val="21"/>
          <w:highlight w:val="none"/>
          <w:u w:val="single"/>
        </w:rPr>
        <w:t xml:space="preserve"> </w:t>
      </w:r>
      <w:r>
        <w:rPr>
          <w:rFonts w:ascii="Times New Roman" w:hAnsi="Times New Roman" w:eastAsia="仿宋_GB2312"/>
          <w:color w:val="auto"/>
          <w:kern w:val="0"/>
          <w:sz w:val="21"/>
          <w:szCs w:val="21"/>
          <w:highlight w:val="none"/>
        </w:rPr>
        <w:t>。</w:t>
      </w:r>
    </w:p>
    <w:p w14:paraId="1C927330">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黑体"/>
          <w:color w:val="auto"/>
          <w:sz w:val="21"/>
          <w:szCs w:val="21"/>
          <w:highlight w:val="none"/>
        </w:rPr>
      </w:pPr>
      <w:r>
        <w:rPr>
          <w:rFonts w:ascii="Times New Roman" w:hAnsi="Times New Roman" w:eastAsia="黑体"/>
          <w:color w:val="auto"/>
          <w:sz w:val="21"/>
          <w:szCs w:val="21"/>
          <w:highlight w:val="none"/>
        </w:rPr>
        <w:t>3.7 履约担保</w:t>
      </w:r>
    </w:p>
    <w:p w14:paraId="56764213">
      <w:pPr>
        <w:pageBreakBefore w:val="0"/>
        <w:widowControl w:val="0"/>
        <w:kinsoku/>
        <w:wordWrap/>
        <w:overflowPunct/>
        <w:topLinePunct w:val="0"/>
        <w:bidi w:val="0"/>
        <w:adjustRightInd w:val="0"/>
        <w:snapToGrid w:val="0"/>
        <w:spacing w:line="360" w:lineRule="auto"/>
        <w:ind w:firstLine="420" w:firstLineChars="200"/>
        <w:jc w:val="left"/>
        <w:textAlignment w:val="auto"/>
        <w:rPr>
          <w:rFonts w:hint="eastAsia" w:ascii="Times New Roman" w:hAnsi="Times New Roman" w:eastAsia="仿宋_GB2312"/>
          <w:color w:val="auto"/>
          <w:sz w:val="21"/>
          <w:szCs w:val="21"/>
          <w:highlight w:val="none"/>
        </w:rPr>
      </w:pPr>
      <w:r>
        <w:rPr>
          <w:rFonts w:hint="eastAsia" w:ascii="Times New Roman" w:hAnsi="Times New Roman" w:eastAsia="仿宋_GB2312"/>
          <w:color w:val="auto"/>
          <w:sz w:val="21"/>
          <w:szCs w:val="21"/>
          <w:highlight w:val="none"/>
        </w:rPr>
        <w:t>承包人是否提供履约担保：</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 xml:space="preserve">  是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509D4320">
      <w:pPr>
        <w:pageBreakBefore w:val="0"/>
        <w:widowControl w:val="0"/>
        <w:kinsoku/>
        <w:wordWrap/>
        <w:overflowPunct/>
        <w:topLinePunct w:val="0"/>
        <w:bidi w:val="0"/>
        <w:adjustRightInd w:val="0"/>
        <w:snapToGrid w:val="0"/>
        <w:spacing w:line="360" w:lineRule="auto"/>
        <w:ind w:firstLine="420" w:firstLineChars="200"/>
        <w:jc w:val="left"/>
        <w:textAlignment w:val="auto"/>
        <w:rPr>
          <w:rFonts w:hint="eastAsia" w:ascii="Times New Roman" w:hAnsi="Times New Roman" w:eastAsia="仿宋_GB2312" w:cs="Times New Roman"/>
          <w:color w:val="auto"/>
          <w:kern w:val="0"/>
          <w:sz w:val="21"/>
          <w:szCs w:val="21"/>
          <w:highlight w:val="none"/>
          <w:u w:val="single"/>
          <w:lang w:val="en-US" w:eastAsia="zh-CN"/>
        </w:rPr>
      </w:pPr>
      <w:r>
        <w:rPr>
          <w:rFonts w:ascii="Times New Roman" w:hAnsi="Times New Roman" w:eastAsia="仿宋_GB2312"/>
          <w:color w:val="auto"/>
          <w:sz w:val="21"/>
          <w:szCs w:val="21"/>
          <w:highlight w:val="none"/>
        </w:rPr>
        <w:t>承包人提供履约担保的形式</w:t>
      </w:r>
      <w:r>
        <w:rPr>
          <w:rFonts w:hint="eastAsia" w:ascii="Times New Roman" w:hAnsi="Times New Roman" w:eastAsia="仿宋_GB2312"/>
          <w:color w:val="auto"/>
          <w:sz w:val="21"/>
          <w:szCs w:val="21"/>
          <w:highlight w:val="none"/>
        </w:rPr>
        <w:t>、金额及期限的</w:t>
      </w:r>
      <w:r>
        <w:rPr>
          <w:rFonts w:ascii="Times New Roman" w:hAnsi="Times New Roman" w:eastAsia="仿宋_GB2312"/>
          <w:color w:val="auto"/>
          <w:sz w:val="21"/>
          <w:szCs w:val="21"/>
          <w:highlight w:val="none"/>
        </w:rPr>
        <w:t>：</w:t>
      </w:r>
      <w:r>
        <w:rPr>
          <w:rFonts w:hint="eastAsia" w:ascii="Times New Roman" w:hAnsi="Times New Roman" w:eastAsia="仿宋_GB2312" w:cs="Times New Roman"/>
          <w:color w:val="auto"/>
          <w:kern w:val="0"/>
          <w:sz w:val="21"/>
          <w:szCs w:val="21"/>
          <w:highlight w:val="none"/>
          <w:u w:val="single"/>
          <w:lang w:val="en-US" w:eastAsia="zh-CN"/>
        </w:rPr>
        <w:t>履约保证金金额：合同价款的</w:t>
      </w:r>
      <w:r>
        <w:rPr>
          <w:rFonts w:hint="eastAsia" w:eastAsia="仿宋_GB2312" w:cs="Times New Roman"/>
          <w:color w:val="auto"/>
          <w:kern w:val="0"/>
          <w:sz w:val="21"/>
          <w:szCs w:val="21"/>
          <w:highlight w:val="none"/>
          <w:u w:val="single"/>
          <w:lang w:val="en-US" w:eastAsia="zh-CN"/>
        </w:rPr>
        <w:t>5</w:t>
      </w:r>
      <w:r>
        <w:rPr>
          <w:rFonts w:hint="eastAsia" w:ascii="Times New Roman" w:hAnsi="Times New Roman" w:eastAsia="仿宋_GB2312" w:cs="Times New Roman"/>
          <w:color w:val="auto"/>
          <w:kern w:val="0"/>
          <w:sz w:val="21"/>
          <w:szCs w:val="21"/>
          <w:highlight w:val="none"/>
          <w:u w:val="single"/>
          <w:lang w:val="en-US" w:eastAsia="zh-CN"/>
        </w:rPr>
        <w:t>%</w:t>
      </w:r>
      <w:r>
        <w:rPr>
          <w:rFonts w:hint="eastAsia" w:eastAsia="仿宋_GB2312" w:cs="Times New Roman"/>
          <w:color w:val="auto"/>
          <w:kern w:val="0"/>
          <w:sz w:val="21"/>
          <w:szCs w:val="21"/>
          <w:highlight w:val="none"/>
          <w:u w:val="single"/>
          <w:lang w:val="en-US" w:eastAsia="zh-CN"/>
        </w:rPr>
        <w:t>；</w:t>
      </w:r>
      <w:r>
        <w:rPr>
          <w:rFonts w:hint="eastAsia" w:ascii="Times New Roman" w:hAnsi="Times New Roman" w:eastAsia="仿宋_GB2312" w:cs="Times New Roman"/>
          <w:color w:val="auto"/>
          <w:kern w:val="0"/>
          <w:sz w:val="21"/>
          <w:szCs w:val="21"/>
          <w:highlight w:val="none"/>
          <w:u w:val="single"/>
          <w:lang w:val="en-US" w:eastAsia="zh-CN"/>
        </w:rPr>
        <w:t>履约保证金递交时间：合同签订前</w:t>
      </w:r>
    </w:p>
    <w:p w14:paraId="24D1E1B6">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hint="eastAsia" w:ascii="Times New Roman" w:hAnsi="Times New Roman" w:eastAsia="仿宋_GB2312" w:cs="Times New Roman"/>
          <w:color w:val="auto"/>
          <w:kern w:val="0"/>
          <w:sz w:val="21"/>
          <w:szCs w:val="21"/>
          <w:highlight w:val="none"/>
          <w:u w:val="single"/>
          <w:lang w:val="en-US" w:eastAsia="zh-CN"/>
        </w:rPr>
        <w:t xml:space="preserve">履约保证金递交方式：☑保函  □支票  ☑电汇 </w:t>
      </w:r>
      <w:r>
        <w:rPr>
          <w:rFonts w:ascii="Times New Roman" w:hAnsi="Times New Roman" w:eastAsia="仿宋_GB2312"/>
          <w:color w:val="auto"/>
          <w:sz w:val="21"/>
          <w:szCs w:val="21"/>
          <w:highlight w:val="none"/>
        </w:rPr>
        <w:t>。</w:t>
      </w:r>
    </w:p>
    <w:p w14:paraId="2ABAD997">
      <w:pPr>
        <w:pStyle w:val="5"/>
        <w:pageBreakBefore w:val="0"/>
        <w:widowControl w:val="0"/>
        <w:kinsoku/>
        <w:wordWrap/>
        <w:overflowPunct/>
        <w:topLinePunct w:val="0"/>
        <w:bidi w:val="0"/>
        <w:adjustRightInd w:val="0"/>
        <w:snapToGrid w:val="0"/>
        <w:spacing w:before="0" w:after="0" w:line="360" w:lineRule="auto"/>
        <w:textAlignment w:val="auto"/>
        <w:rPr>
          <w:rFonts w:eastAsia="黑体"/>
          <w:b w:val="0"/>
          <w:color w:val="auto"/>
          <w:sz w:val="21"/>
          <w:szCs w:val="21"/>
          <w:highlight w:val="none"/>
        </w:rPr>
      </w:pPr>
      <w:bookmarkStart w:id="1356" w:name="_Toc5912"/>
      <w:bookmarkStart w:id="1357" w:name="_Toc7228"/>
      <w:bookmarkStart w:id="1358" w:name="_Toc351203636"/>
      <w:r>
        <w:rPr>
          <w:rFonts w:eastAsia="黑体"/>
          <w:b w:val="0"/>
          <w:color w:val="auto"/>
          <w:sz w:val="21"/>
          <w:szCs w:val="21"/>
          <w:highlight w:val="none"/>
        </w:rPr>
        <w:t>4</w:t>
      </w:r>
      <w:bookmarkStart w:id="1359" w:name="_Toc296347161"/>
      <w:bookmarkStart w:id="1360" w:name="_Toc296944501"/>
      <w:bookmarkStart w:id="1361" w:name="_Toc292559366"/>
      <w:bookmarkStart w:id="1362" w:name="_Toc296346663"/>
      <w:bookmarkStart w:id="1363" w:name="_Toc296503162"/>
      <w:bookmarkStart w:id="1364" w:name="_Toc297120462"/>
      <w:bookmarkStart w:id="1365" w:name="_Toc292559871"/>
      <w:bookmarkStart w:id="1366" w:name="_Toc297048348"/>
      <w:bookmarkStart w:id="1367" w:name="_Toc296891202"/>
      <w:bookmarkStart w:id="1368" w:name="_Toc267251413"/>
      <w:bookmarkStart w:id="1369" w:name="_Toc296890990"/>
      <w:r>
        <w:rPr>
          <w:rFonts w:eastAsia="黑体"/>
          <w:b w:val="0"/>
          <w:color w:val="auto"/>
          <w:sz w:val="21"/>
          <w:szCs w:val="21"/>
          <w:highlight w:val="none"/>
        </w:rPr>
        <w:t>. 监</w:t>
      </w:r>
      <w:bookmarkEnd w:id="1359"/>
      <w:bookmarkEnd w:id="1360"/>
      <w:bookmarkEnd w:id="1361"/>
      <w:bookmarkEnd w:id="1362"/>
      <w:bookmarkEnd w:id="1363"/>
      <w:bookmarkEnd w:id="1364"/>
      <w:bookmarkEnd w:id="1365"/>
      <w:bookmarkEnd w:id="1366"/>
      <w:bookmarkEnd w:id="1367"/>
      <w:bookmarkEnd w:id="1368"/>
      <w:bookmarkEnd w:id="1369"/>
      <w:r>
        <w:rPr>
          <w:rFonts w:eastAsia="黑体"/>
          <w:b w:val="0"/>
          <w:color w:val="auto"/>
          <w:sz w:val="21"/>
          <w:szCs w:val="21"/>
          <w:highlight w:val="none"/>
        </w:rPr>
        <w:t>理人</w:t>
      </w:r>
      <w:bookmarkEnd w:id="1356"/>
      <w:bookmarkEnd w:id="1357"/>
      <w:bookmarkEnd w:id="1358"/>
    </w:p>
    <w:p w14:paraId="20EDE7F2">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黑体"/>
          <w:color w:val="auto"/>
          <w:sz w:val="21"/>
          <w:szCs w:val="21"/>
          <w:highlight w:val="none"/>
        </w:rPr>
      </w:pPr>
      <w:r>
        <w:rPr>
          <w:rFonts w:ascii="Times New Roman" w:hAnsi="Times New Roman" w:eastAsia="黑体"/>
          <w:color w:val="auto"/>
          <w:sz w:val="21"/>
          <w:szCs w:val="21"/>
          <w:highlight w:val="none"/>
        </w:rPr>
        <w:t>4.1监理人的一般规定</w:t>
      </w:r>
    </w:p>
    <w:p w14:paraId="6815AF80">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关于监理人的监理内容：</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施工全过程监理</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0B864028">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关于监理人的监理权限：</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执行通用合同条款</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 xml:space="preserve">。 </w:t>
      </w:r>
    </w:p>
    <w:p w14:paraId="3EB8CE37">
      <w:pPr>
        <w:pageBreakBefore w:val="0"/>
        <w:widowControl w:val="0"/>
        <w:kinsoku/>
        <w:wordWrap/>
        <w:overflowPunct/>
        <w:topLinePunct w:val="0"/>
        <w:bidi w:val="0"/>
        <w:adjustRightInd w:val="0"/>
        <w:snapToGrid w:val="0"/>
        <w:spacing w:line="360" w:lineRule="auto"/>
        <w:ind w:firstLine="420" w:firstLineChars="200"/>
        <w:textAlignment w:val="auto"/>
        <w:rPr>
          <w:rFonts w:hint="eastAsia"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关于监理人在施工现场的办公场所、生活场所的提供和费用承担的约定：</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执行通用合同条款</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33E01344">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黑体"/>
          <w:color w:val="auto"/>
          <w:sz w:val="21"/>
          <w:szCs w:val="21"/>
          <w:highlight w:val="none"/>
        </w:rPr>
      </w:pPr>
      <w:r>
        <w:rPr>
          <w:rFonts w:ascii="Times New Roman" w:hAnsi="Times New Roman" w:eastAsia="黑体"/>
          <w:color w:val="auto"/>
          <w:sz w:val="21"/>
          <w:szCs w:val="21"/>
          <w:highlight w:val="none"/>
        </w:rPr>
        <w:t>4.2 监理人员</w:t>
      </w:r>
    </w:p>
    <w:p w14:paraId="42A6894F">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总监理工程师：</w:t>
      </w:r>
    </w:p>
    <w:p w14:paraId="671D8BB7">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姓    名：</w:t>
      </w:r>
      <w:r>
        <w:rPr>
          <w:rFonts w:ascii="Times New Roman" w:hAnsi="Times New Roman" w:eastAsia="仿宋_GB2312"/>
          <w:color w:val="auto"/>
          <w:sz w:val="21"/>
          <w:szCs w:val="21"/>
          <w:highlight w:val="none"/>
          <w:u w:val="single"/>
        </w:rPr>
        <w:t>   </w:t>
      </w:r>
      <w:r>
        <w:rPr>
          <w:rFonts w:ascii="Times New Roman" w:hAnsi="Times New Roman" w:eastAsia="仿宋_GB2312"/>
          <w:color w:val="auto"/>
          <w:sz w:val="21"/>
          <w:szCs w:val="21"/>
          <w:highlight w:val="none"/>
        </w:rPr>
        <w:t>；</w:t>
      </w:r>
    </w:p>
    <w:p w14:paraId="43D38186">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职    务：</w:t>
      </w:r>
      <w:r>
        <w:rPr>
          <w:rFonts w:ascii="Times New Roman" w:hAnsi="Times New Roman" w:eastAsia="仿宋_GB2312"/>
          <w:color w:val="auto"/>
          <w:sz w:val="21"/>
          <w:szCs w:val="21"/>
          <w:highlight w:val="none"/>
          <w:u w:val="single"/>
        </w:rPr>
        <w:t>   </w:t>
      </w:r>
      <w:r>
        <w:rPr>
          <w:rFonts w:ascii="Times New Roman" w:hAnsi="Times New Roman" w:eastAsia="仿宋_GB2312"/>
          <w:color w:val="auto"/>
          <w:sz w:val="21"/>
          <w:szCs w:val="21"/>
          <w:highlight w:val="none"/>
        </w:rPr>
        <w:t>；</w:t>
      </w:r>
    </w:p>
    <w:p w14:paraId="14CAA580">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监理工程师执业资格证书号：</w:t>
      </w:r>
      <w:r>
        <w:rPr>
          <w:rFonts w:ascii="Times New Roman" w:hAnsi="Times New Roman" w:eastAsia="仿宋_GB2312"/>
          <w:color w:val="auto"/>
          <w:sz w:val="21"/>
          <w:szCs w:val="21"/>
          <w:highlight w:val="none"/>
          <w:u w:val="single"/>
        </w:rPr>
        <w:t> </w:t>
      </w:r>
      <w:r>
        <w:rPr>
          <w:rFonts w:ascii="Times New Roman" w:hAnsi="Times New Roman" w:eastAsia="仿宋_GB2312"/>
          <w:color w:val="auto"/>
          <w:sz w:val="21"/>
          <w:szCs w:val="21"/>
          <w:highlight w:val="none"/>
        </w:rPr>
        <w:t>；</w:t>
      </w:r>
    </w:p>
    <w:p w14:paraId="08EBC74F">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联系电话：</w:t>
      </w:r>
      <w:r>
        <w:rPr>
          <w:rFonts w:ascii="Times New Roman" w:hAnsi="Times New Roman" w:eastAsia="仿宋_GB2312"/>
          <w:color w:val="auto"/>
          <w:sz w:val="21"/>
          <w:szCs w:val="21"/>
          <w:highlight w:val="none"/>
          <w:u w:val="single"/>
        </w:rPr>
        <w:t>   </w:t>
      </w:r>
      <w:r>
        <w:rPr>
          <w:rFonts w:ascii="Times New Roman" w:hAnsi="Times New Roman" w:eastAsia="仿宋_GB2312"/>
          <w:color w:val="auto"/>
          <w:sz w:val="21"/>
          <w:szCs w:val="21"/>
          <w:highlight w:val="none"/>
        </w:rPr>
        <w:t>；</w:t>
      </w:r>
    </w:p>
    <w:p w14:paraId="1658C211">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电子信箱：</w:t>
      </w:r>
      <w:r>
        <w:rPr>
          <w:rFonts w:ascii="Times New Roman" w:hAnsi="Times New Roman" w:eastAsia="仿宋_GB2312"/>
          <w:color w:val="auto"/>
          <w:sz w:val="21"/>
          <w:szCs w:val="21"/>
          <w:highlight w:val="none"/>
          <w:u w:val="single"/>
        </w:rPr>
        <w:t>   </w:t>
      </w:r>
      <w:r>
        <w:rPr>
          <w:rFonts w:ascii="Times New Roman" w:hAnsi="Times New Roman" w:eastAsia="仿宋_GB2312"/>
          <w:color w:val="auto"/>
          <w:sz w:val="21"/>
          <w:szCs w:val="21"/>
          <w:highlight w:val="none"/>
        </w:rPr>
        <w:t>；</w:t>
      </w:r>
    </w:p>
    <w:p w14:paraId="036140BB">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通信地址：</w:t>
      </w:r>
      <w:r>
        <w:rPr>
          <w:rFonts w:ascii="Times New Roman" w:hAnsi="Times New Roman" w:eastAsia="仿宋_GB2312"/>
          <w:color w:val="auto"/>
          <w:sz w:val="21"/>
          <w:szCs w:val="21"/>
          <w:highlight w:val="none"/>
          <w:u w:val="single"/>
        </w:rPr>
        <w:t>   </w:t>
      </w:r>
      <w:r>
        <w:rPr>
          <w:rFonts w:ascii="Times New Roman" w:hAnsi="Times New Roman" w:eastAsia="仿宋_GB2312"/>
          <w:color w:val="auto"/>
          <w:sz w:val="21"/>
          <w:szCs w:val="21"/>
          <w:highlight w:val="none"/>
        </w:rPr>
        <w:t>；</w:t>
      </w:r>
    </w:p>
    <w:p w14:paraId="5DF04167">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关于监理人的其他约定：</w:t>
      </w:r>
      <w:r>
        <w:rPr>
          <w:rFonts w:ascii="Times New Roman" w:hAnsi="Times New Roman" w:eastAsia="仿宋_GB2312"/>
          <w:color w:val="auto"/>
          <w:sz w:val="21"/>
          <w:szCs w:val="21"/>
          <w:highlight w:val="none"/>
          <w:u w:val="single"/>
        </w:rPr>
        <w:t>   </w:t>
      </w:r>
      <w:r>
        <w:rPr>
          <w:rFonts w:ascii="Times New Roman" w:hAnsi="Times New Roman" w:eastAsia="仿宋_GB2312"/>
          <w:color w:val="auto"/>
          <w:sz w:val="21"/>
          <w:szCs w:val="21"/>
          <w:highlight w:val="none"/>
        </w:rPr>
        <w:t>。</w:t>
      </w:r>
    </w:p>
    <w:p w14:paraId="0A666CCA">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黑体"/>
          <w:color w:val="auto"/>
          <w:sz w:val="21"/>
          <w:szCs w:val="21"/>
          <w:highlight w:val="none"/>
        </w:rPr>
      </w:pPr>
      <w:r>
        <w:rPr>
          <w:rFonts w:ascii="Times New Roman" w:hAnsi="Times New Roman" w:eastAsia="黑体"/>
          <w:color w:val="auto"/>
          <w:sz w:val="21"/>
          <w:szCs w:val="21"/>
          <w:highlight w:val="none"/>
        </w:rPr>
        <w:t>4.4 商定或确定</w:t>
      </w:r>
    </w:p>
    <w:p w14:paraId="73878B39">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bookmarkStart w:id="1370" w:name="_Toc267251418"/>
      <w:r>
        <w:rPr>
          <w:rFonts w:ascii="Times New Roman" w:hAnsi="Times New Roman" w:eastAsia="仿宋_GB2312"/>
          <w:color w:val="auto"/>
          <w:sz w:val="21"/>
          <w:szCs w:val="21"/>
          <w:highlight w:val="none"/>
        </w:rPr>
        <w:t>在发包人和承包人不能通过协商达成一致意见时，发包人授权监理人对以下事项进行确定：</w:t>
      </w:r>
    </w:p>
    <w:p w14:paraId="1EADCA88">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w:t>
      </w:r>
      <w:r>
        <w:rPr>
          <w:rFonts w:hint="eastAsia" w:ascii="Times New Roman" w:hAnsi="Times New Roman" w:eastAsia="仿宋_GB2312"/>
          <w:color w:val="auto"/>
          <w:sz w:val="21"/>
          <w:szCs w:val="21"/>
          <w:highlight w:val="none"/>
          <w:u w:val="single"/>
          <w:lang w:eastAsia="zh-CN"/>
        </w:rPr>
        <w:t>执行发包人合规的要求和指令</w:t>
      </w:r>
      <w:r>
        <w:rPr>
          <w:rFonts w:ascii="Times New Roman" w:hAnsi="Times New Roman" w:eastAsia="仿宋_GB2312"/>
          <w:color w:val="auto"/>
          <w:sz w:val="21"/>
          <w:szCs w:val="21"/>
          <w:highlight w:val="none"/>
        </w:rPr>
        <w:t>；</w:t>
      </w:r>
    </w:p>
    <w:p w14:paraId="14959DC4">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hint="eastAsia" w:eastAsia="仿宋_GB2312"/>
          <w:color w:val="auto"/>
          <w:kern w:val="0"/>
          <w:sz w:val="21"/>
          <w:szCs w:val="21"/>
          <w:highlight w:val="none"/>
          <w:lang w:eastAsia="zh-CN"/>
        </w:rPr>
        <w:t>(</w:t>
      </w:r>
      <w:r>
        <w:rPr>
          <w:rFonts w:ascii="Times New Roman" w:hAnsi="Times New Roman" w:eastAsia="仿宋_GB2312"/>
          <w:color w:val="auto"/>
          <w:kern w:val="0"/>
          <w:sz w:val="21"/>
          <w:szCs w:val="21"/>
          <w:highlight w:val="none"/>
        </w:rPr>
        <w:t>2</w:t>
      </w:r>
      <w:r>
        <w:rPr>
          <w:rFonts w:hint="eastAsia" w:eastAsia="仿宋_GB2312"/>
          <w:color w:val="auto"/>
          <w:kern w:val="0"/>
          <w:sz w:val="21"/>
          <w:szCs w:val="21"/>
          <w:highlight w:val="none"/>
          <w:lang w:eastAsia="zh-CN"/>
        </w:rPr>
        <w:t>)</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 xml:space="preserve">    /             </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hint="eastAsia" w:eastAsia="仿宋_GB2312"/>
          <w:color w:val="auto"/>
          <w:sz w:val="21"/>
          <w:szCs w:val="21"/>
          <w:highlight w:val="none"/>
          <w:u w:val="single"/>
          <w:lang w:eastAsia="zh-CN"/>
        </w:rPr>
        <w:t>;</w:t>
      </w:r>
    </w:p>
    <w:p w14:paraId="29612C4A">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hint="eastAsia" w:eastAsia="仿宋_GB2312"/>
          <w:color w:val="auto"/>
          <w:kern w:val="0"/>
          <w:sz w:val="21"/>
          <w:szCs w:val="21"/>
          <w:highlight w:val="none"/>
          <w:lang w:eastAsia="zh-CN"/>
        </w:rPr>
        <w:t>(</w:t>
      </w:r>
      <w:r>
        <w:rPr>
          <w:rFonts w:ascii="Times New Roman" w:hAnsi="Times New Roman" w:eastAsia="仿宋_GB2312"/>
          <w:color w:val="auto"/>
          <w:kern w:val="0"/>
          <w:sz w:val="21"/>
          <w:szCs w:val="21"/>
          <w:highlight w:val="none"/>
        </w:rPr>
        <w:t>3</w:t>
      </w:r>
      <w:r>
        <w:rPr>
          <w:rFonts w:hint="eastAsia" w:eastAsia="仿宋_GB2312"/>
          <w:color w:val="auto"/>
          <w:kern w:val="0"/>
          <w:sz w:val="21"/>
          <w:szCs w:val="21"/>
          <w:highlight w:val="none"/>
          <w:lang w:eastAsia="zh-CN"/>
        </w:rPr>
        <w:t>)</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 xml:space="preserve">   /              </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2B0C42C3">
      <w:pPr>
        <w:pStyle w:val="5"/>
        <w:pageBreakBefore w:val="0"/>
        <w:widowControl w:val="0"/>
        <w:kinsoku/>
        <w:wordWrap/>
        <w:overflowPunct/>
        <w:topLinePunct w:val="0"/>
        <w:bidi w:val="0"/>
        <w:adjustRightInd w:val="0"/>
        <w:snapToGrid w:val="0"/>
        <w:spacing w:before="0" w:after="0" w:line="360" w:lineRule="auto"/>
        <w:textAlignment w:val="auto"/>
        <w:rPr>
          <w:rFonts w:eastAsia="黑体"/>
          <w:b w:val="0"/>
          <w:color w:val="auto"/>
          <w:sz w:val="21"/>
          <w:szCs w:val="21"/>
          <w:highlight w:val="none"/>
        </w:rPr>
      </w:pPr>
      <w:bookmarkStart w:id="1371" w:name="_Toc15172"/>
      <w:bookmarkStart w:id="1372" w:name="_Toc351203637"/>
      <w:bookmarkStart w:id="1373" w:name="_Toc6033"/>
      <w:r>
        <w:rPr>
          <w:rFonts w:eastAsia="黑体"/>
          <w:b w:val="0"/>
          <w:color w:val="auto"/>
          <w:sz w:val="21"/>
          <w:szCs w:val="21"/>
          <w:highlight w:val="none"/>
        </w:rPr>
        <w:t>5</w:t>
      </w:r>
      <w:bookmarkEnd w:id="1370"/>
      <w:bookmarkStart w:id="1374" w:name="_Toc292559367"/>
      <w:bookmarkStart w:id="1375" w:name="_Toc296503163"/>
      <w:bookmarkStart w:id="1376" w:name="_Toc297120463"/>
      <w:bookmarkStart w:id="1377" w:name="_Toc296347162"/>
      <w:bookmarkStart w:id="1378" w:name="_Toc296944502"/>
      <w:bookmarkStart w:id="1379" w:name="_Toc296890991"/>
      <w:bookmarkStart w:id="1380" w:name="_Toc297048349"/>
      <w:bookmarkStart w:id="1381" w:name="_Toc296891203"/>
      <w:bookmarkStart w:id="1382" w:name="_Toc296346664"/>
      <w:bookmarkStart w:id="1383" w:name="_Toc292559872"/>
      <w:r>
        <w:rPr>
          <w:rFonts w:eastAsia="黑体"/>
          <w:b w:val="0"/>
          <w:color w:val="auto"/>
          <w:sz w:val="21"/>
          <w:szCs w:val="21"/>
          <w:highlight w:val="none"/>
        </w:rPr>
        <w:t>. 工程质量</w:t>
      </w:r>
      <w:bookmarkEnd w:id="1371"/>
      <w:bookmarkEnd w:id="1372"/>
      <w:bookmarkEnd w:id="1373"/>
    </w:p>
    <w:p w14:paraId="72085181">
      <w:pPr>
        <w:pageBreakBefore w:val="0"/>
        <w:widowControl w:val="0"/>
        <w:kinsoku/>
        <w:wordWrap/>
        <w:overflowPunct/>
        <w:topLinePunct w:val="0"/>
        <w:bidi w:val="0"/>
        <w:adjustRightInd w:val="0"/>
        <w:snapToGrid w:val="0"/>
        <w:spacing w:line="360" w:lineRule="auto"/>
        <w:ind w:firstLine="420" w:firstLineChars="200"/>
        <w:textAlignment w:val="auto"/>
        <w:outlineLvl w:val="4"/>
        <w:rPr>
          <w:rFonts w:ascii="Times New Roman" w:hAnsi="Times New Roman" w:eastAsia="黑体"/>
          <w:color w:val="auto"/>
          <w:sz w:val="21"/>
          <w:szCs w:val="21"/>
          <w:highlight w:val="none"/>
        </w:rPr>
      </w:pPr>
      <w:bookmarkStart w:id="1384" w:name="_Toc16373"/>
      <w:r>
        <w:rPr>
          <w:rFonts w:ascii="Times New Roman" w:hAnsi="Times New Roman" w:eastAsia="黑体"/>
          <w:color w:val="auto"/>
          <w:sz w:val="21"/>
          <w:szCs w:val="21"/>
          <w:highlight w:val="none"/>
        </w:rPr>
        <w:t>5.1 质量要求</w:t>
      </w:r>
      <w:bookmarkEnd w:id="1384"/>
    </w:p>
    <w:p w14:paraId="3A877D3E">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5</w:t>
      </w:r>
      <w:bookmarkStart w:id="1385" w:name="_Toc304295527"/>
      <w:bookmarkStart w:id="1386" w:name="_Toc300934949"/>
      <w:bookmarkStart w:id="1387" w:name="_Toc297123496"/>
      <w:bookmarkStart w:id="1388" w:name="_Toc303539106"/>
      <w:bookmarkStart w:id="1389" w:name="_Toc318581164"/>
      <w:bookmarkStart w:id="1390" w:name="_Toc297216155"/>
      <w:bookmarkStart w:id="1391" w:name="_Toc312677997"/>
      <w:r>
        <w:rPr>
          <w:rFonts w:ascii="Times New Roman" w:hAnsi="Times New Roman" w:eastAsia="仿宋_GB2312"/>
          <w:color w:val="auto"/>
          <w:sz w:val="21"/>
          <w:szCs w:val="21"/>
          <w:highlight w:val="none"/>
        </w:rPr>
        <w:t>.1.1 特殊质量标准和要求：</w:t>
      </w:r>
      <w:r>
        <w:rPr>
          <w:rFonts w:ascii="Times New Roman" w:hAnsi="Times New Roman" w:eastAsia="仿宋_GB2312"/>
          <w:color w:val="auto"/>
          <w:sz w:val="21"/>
          <w:szCs w:val="21"/>
          <w:highlight w:val="none"/>
          <w:u w:val="single"/>
        </w:rPr>
        <w:t xml:space="preserve">  </w:t>
      </w:r>
      <w:r>
        <w:rPr>
          <w:rFonts w:hint="eastAsia" w:eastAsia="仿宋_GB2312"/>
          <w:color w:val="auto"/>
          <w:sz w:val="21"/>
          <w:szCs w:val="21"/>
          <w:highlight w:val="none"/>
          <w:u w:val="single"/>
          <w:lang w:val="en-US" w:eastAsia="zh-CN"/>
        </w:rPr>
        <w:t>无</w:t>
      </w:r>
      <w:r>
        <w:rPr>
          <w:rFonts w:hint="eastAsia" w:ascii="Times New Roman" w:hAnsi="Times New Roman" w:eastAsia="仿宋_GB2312" w:cs="Times New Roman"/>
          <w:color w:val="auto"/>
          <w:kern w:val="0"/>
          <w:sz w:val="21"/>
          <w:szCs w:val="21"/>
          <w:highlight w:val="none"/>
          <w:u w:val="single"/>
          <w:lang w:val="en-US" w:eastAsia="zh-CN"/>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4AC314C9">
      <w:pPr>
        <w:pageBreakBefore w:val="0"/>
        <w:widowControl w:val="0"/>
        <w:kinsoku/>
        <w:wordWrap/>
        <w:overflowPunct/>
        <w:topLinePunct w:val="0"/>
        <w:bidi w:val="0"/>
        <w:adjustRightInd w:val="0"/>
        <w:snapToGrid w:val="0"/>
        <w:spacing w:line="360" w:lineRule="auto"/>
        <w:ind w:firstLine="420" w:firstLineChars="200"/>
        <w:jc w:val="left"/>
        <w:textAlignment w:val="auto"/>
        <w:rPr>
          <w:rFonts w:hint="eastAsia" w:ascii="Times New Roman" w:hAnsi="Times New Roman" w:eastAsia="黑体"/>
          <w:color w:val="auto"/>
          <w:sz w:val="21"/>
          <w:szCs w:val="21"/>
          <w:highlight w:val="none"/>
        </w:rPr>
      </w:pPr>
      <w:r>
        <w:rPr>
          <w:rFonts w:ascii="Times New Roman" w:hAnsi="Times New Roman" w:eastAsia="仿宋_GB2312"/>
          <w:color w:val="auto"/>
          <w:sz w:val="21"/>
          <w:szCs w:val="21"/>
          <w:highlight w:val="none"/>
        </w:rPr>
        <w:t>关于工程奖项的约定：</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 xml:space="preserve">    /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lang w:val="en-US" w:eastAsia="zh-CN"/>
        </w:rPr>
        <w:t xml:space="preserve"> </w:t>
      </w:r>
      <w:r>
        <w:rPr>
          <w:rFonts w:ascii="Times New Roman" w:hAnsi="Times New Roman" w:eastAsia="仿宋_GB2312"/>
          <w:color w:val="auto"/>
          <w:sz w:val="21"/>
          <w:szCs w:val="21"/>
          <w:highlight w:val="none"/>
        </w:rPr>
        <w:t>。</w:t>
      </w:r>
    </w:p>
    <w:p w14:paraId="33186A74">
      <w:pPr>
        <w:pageBreakBefore w:val="0"/>
        <w:widowControl w:val="0"/>
        <w:kinsoku/>
        <w:wordWrap/>
        <w:overflowPunct/>
        <w:topLinePunct w:val="0"/>
        <w:bidi w:val="0"/>
        <w:adjustRightInd w:val="0"/>
        <w:snapToGrid w:val="0"/>
        <w:spacing w:line="360" w:lineRule="auto"/>
        <w:ind w:firstLine="420" w:firstLineChars="200"/>
        <w:textAlignment w:val="auto"/>
        <w:outlineLvl w:val="4"/>
        <w:rPr>
          <w:rFonts w:ascii="Times New Roman" w:hAnsi="Times New Roman" w:eastAsia="黑体"/>
          <w:color w:val="auto"/>
          <w:sz w:val="21"/>
          <w:szCs w:val="21"/>
          <w:highlight w:val="none"/>
        </w:rPr>
      </w:pPr>
      <w:bookmarkStart w:id="1392" w:name="_Toc28687"/>
      <w:r>
        <w:rPr>
          <w:rFonts w:ascii="Times New Roman" w:hAnsi="Times New Roman" w:eastAsia="黑体"/>
          <w:color w:val="auto"/>
          <w:sz w:val="21"/>
          <w:szCs w:val="21"/>
          <w:highlight w:val="none"/>
        </w:rPr>
        <w:t>5.3 隐蔽工程检查</w:t>
      </w:r>
      <w:bookmarkEnd w:id="1392"/>
    </w:p>
    <w:p w14:paraId="697EE0C6">
      <w:pPr>
        <w:pageBreakBefore w:val="0"/>
        <w:widowControl w:val="0"/>
        <w:kinsoku/>
        <w:wordWrap/>
        <w:overflowPunct/>
        <w:topLinePunct w:val="0"/>
        <w:bidi w:val="0"/>
        <w:adjustRightInd w:val="0"/>
        <w:snapToGrid w:val="0"/>
        <w:spacing w:line="360" w:lineRule="auto"/>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5.3.2承包人提前通知监理人隐蔽工程检查的期限的约定：</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 xml:space="preserve"> 执行通用合同条款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11AEF09B">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监理人不能按时进行检查时，应提前</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 xml:space="preserve">   24   小</w:t>
      </w:r>
      <w:r>
        <w:rPr>
          <w:rFonts w:ascii="Times New Roman" w:hAnsi="Times New Roman" w:eastAsia="仿宋_GB2312"/>
          <w:color w:val="auto"/>
          <w:sz w:val="21"/>
          <w:szCs w:val="21"/>
          <w:highlight w:val="none"/>
        </w:rPr>
        <w:t>时提交书面延期要求。</w:t>
      </w:r>
    </w:p>
    <w:p w14:paraId="2CFB3655">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关于延期最长不得超过：</w:t>
      </w:r>
      <w:r>
        <w:rPr>
          <w:rFonts w:hint="eastAsia" w:ascii="Times New Roman" w:hAnsi="Times New Roman" w:eastAsia="仿宋_GB2312" w:cs="Times New Roman"/>
          <w:color w:val="auto"/>
          <w:kern w:val="0"/>
          <w:sz w:val="21"/>
          <w:szCs w:val="21"/>
          <w:highlight w:val="none"/>
          <w:u w:val="single"/>
          <w:lang w:val="en-US" w:eastAsia="zh-CN"/>
        </w:rPr>
        <w:t xml:space="preserve">     48   小</w:t>
      </w:r>
      <w:r>
        <w:rPr>
          <w:rFonts w:ascii="Times New Roman" w:hAnsi="Times New Roman" w:eastAsia="仿宋_GB2312"/>
          <w:color w:val="auto"/>
          <w:sz w:val="21"/>
          <w:szCs w:val="21"/>
          <w:highlight w:val="none"/>
        </w:rPr>
        <w:t>时。</w:t>
      </w:r>
    </w:p>
    <w:p w14:paraId="56D20135">
      <w:pPr>
        <w:pStyle w:val="5"/>
        <w:pageBreakBefore w:val="0"/>
        <w:widowControl w:val="0"/>
        <w:kinsoku/>
        <w:wordWrap/>
        <w:overflowPunct/>
        <w:topLinePunct w:val="0"/>
        <w:bidi w:val="0"/>
        <w:adjustRightInd w:val="0"/>
        <w:snapToGrid w:val="0"/>
        <w:spacing w:before="0" w:after="0" w:line="360" w:lineRule="auto"/>
        <w:textAlignment w:val="auto"/>
        <w:rPr>
          <w:rFonts w:eastAsia="黑体"/>
          <w:b w:val="0"/>
          <w:color w:val="auto"/>
          <w:sz w:val="21"/>
          <w:szCs w:val="21"/>
          <w:highlight w:val="none"/>
        </w:rPr>
      </w:pPr>
      <w:bookmarkStart w:id="1393" w:name="_Toc351203638"/>
      <w:bookmarkStart w:id="1394" w:name="_Toc15007"/>
      <w:bookmarkStart w:id="1395" w:name="_Toc25029"/>
      <w:r>
        <w:rPr>
          <w:rFonts w:eastAsia="黑体"/>
          <w:b w:val="0"/>
          <w:color w:val="auto"/>
          <w:sz w:val="21"/>
          <w:szCs w:val="21"/>
          <w:highlight w:val="none"/>
        </w:rPr>
        <w:t>6. 安全文明施工与环境保护</w:t>
      </w:r>
      <w:bookmarkEnd w:id="1393"/>
      <w:bookmarkEnd w:id="1394"/>
      <w:bookmarkEnd w:id="1395"/>
    </w:p>
    <w:p w14:paraId="768D25B9">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黑体"/>
          <w:color w:val="auto"/>
          <w:sz w:val="21"/>
          <w:szCs w:val="21"/>
          <w:highlight w:val="none"/>
        </w:rPr>
      </w:pPr>
      <w:r>
        <w:rPr>
          <w:rFonts w:ascii="Times New Roman" w:hAnsi="Times New Roman" w:eastAsia="黑体"/>
          <w:color w:val="auto"/>
          <w:sz w:val="21"/>
          <w:szCs w:val="21"/>
          <w:highlight w:val="none"/>
        </w:rPr>
        <w:t>6.1安全文明施工</w:t>
      </w:r>
    </w:p>
    <w:p w14:paraId="159E6FF3">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u w:val="single"/>
        </w:rPr>
      </w:pPr>
      <w:r>
        <w:rPr>
          <w:rFonts w:ascii="Times New Roman" w:hAnsi="Times New Roman" w:eastAsia="仿宋_GB2312"/>
          <w:color w:val="auto"/>
          <w:sz w:val="21"/>
          <w:szCs w:val="21"/>
          <w:highlight w:val="none"/>
        </w:rPr>
        <w:t>6.1.1 项目安全生产的达标目标及相应事项的约定：</w:t>
      </w:r>
      <w:r>
        <w:rPr>
          <w:rFonts w:hint="eastAsia" w:ascii="Times New Roman" w:hAnsi="Times New Roman" w:eastAsia="仿宋_GB2312"/>
          <w:color w:val="auto"/>
          <w:sz w:val="21"/>
          <w:szCs w:val="21"/>
          <w:highlight w:val="none"/>
          <w:u w:val="single"/>
        </w:rPr>
        <w:t>承包人须严格贯彻执行《中华人民共和国安全生产法》，加强施工的安全生产管理，制定安全操作规程，保证工程施工的安全。承包人应对其职工</w:t>
      </w:r>
      <w:r>
        <w:rPr>
          <w:rFonts w:hint="eastAsia" w:eastAsia="仿宋_GB2312"/>
          <w:color w:val="auto"/>
          <w:sz w:val="21"/>
          <w:szCs w:val="21"/>
          <w:highlight w:val="none"/>
          <w:u w:val="single"/>
          <w:lang w:eastAsia="zh-CN"/>
        </w:rPr>
        <w:t>（</w:t>
      </w:r>
      <w:r>
        <w:rPr>
          <w:rFonts w:hint="eastAsia" w:ascii="Times New Roman" w:hAnsi="Times New Roman" w:eastAsia="仿宋_GB2312"/>
          <w:color w:val="auto"/>
          <w:sz w:val="21"/>
          <w:szCs w:val="21"/>
          <w:highlight w:val="none"/>
          <w:u w:val="single"/>
        </w:rPr>
        <w:t>含分包单位职工</w:t>
      </w:r>
      <w:r>
        <w:rPr>
          <w:rFonts w:hint="eastAsia" w:eastAsia="仿宋_GB2312"/>
          <w:color w:val="auto"/>
          <w:sz w:val="21"/>
          <w:szCs w:val="21"/>
          <w:highlight w:val="none"/>
          <w:u w:val="single"/>
          <w:lang w:eastAsia="zh-CN"/>
        </w:rPr>
        <w:t>）</w:t>
      </w:r>
      <w:r>
        <w:rPr>
          <w:rFonts w:hint="eastAsia" w:ascii="Times New Roman" w:hAnsi="Times New Roman" w:eastAsia="仿宋_GB2312"/>
          <w:color w:val="auto"/>
          <w:sz w:val="21"/>
          <w:szCs w:val="21"/>
          <w:highlight w:val="none"/>
          <w:u w:val="single"/>
        </w:rPr>
        <w:t>进行文明施工教育交底，配备必要的安全生产设施和劳动保护用具。承包人应对其管辖范围内的</w:t>
      </w:r>
      <w:r>
        <w:rPr>
          <w:rFonts w:hint="eastAsia" w:eastAsia="仿宋_GB2312"/>
          <w:color w:val="auto"/>
          <w:sz w:val="21"/>
          <w:szCs w:val="21"/>
          <w:highlight w:val="none"/>
          <w:u w:val="single"/>
          <w:lang w:val="en-US" w:eastAsia="zh-CN"/>
        </w:rPr>
        <w:t>人员</w:t>
      </w:r>
      <w:r>
        <w:rPr>
          <w:rFonts w:hint="eastAsia" w:ascii="Times New Roman" w:hAnsi="Times New Roman" w:eastAsia="仿宋_GB2312"/>
          <w:color w:val="auto"/>
          <w:sz w:val="21"/>
          <w:szCs w:val="21"/>
          <w:highlight w:val="none"/>
          <w:u w:val="single"/>
        </w:rPr>
        <w:t>和设备</w:t>
      </w:r>
      <w:r>
        <w:rPr>
          <w:rFonts w:hint="eastAsia" w:eastAsia="仿宋_GB2312"/>
          <w:color w:val="auto"/>
          <w:sz w:val="21"/>
          <w:szCs w:val="21"/>
          <w:highlight w:val="none"/>
          <w:u w:val="single"/>
          <w:lang w:eastAsia="zh-CN"/>
        </w:rPr>
        <w:t>（</w:t>
      </w:r>
      <w:r>
        <w:rPr>
          <w:rFonts w:hint="eastAsia" w:ascii="Times New Roman" w:hAnsi="Times New Roman" w:eastAsia="仿宋_GB2312"/>
          <w:color w:val="auto"/>
          <w:sz w:val="21"/>
          <w:szCs w:val="21"/>
          <w:highlight w:val="none"/>
          <w:u w:val="single"/>
        </w:rPr>
        <w:t>包括发包人的人员和设备</w:t>
      </w:r>
      <w:r>
        <w:rPr>
          <w:rFonts w:hint="eastAsia" w:eastAsia="仿宋_GB2312"/>
          <w:color w:val="auto"/>
          <w:sz w:val="21"/>
          <w:szCs w:val="21"/>
          <w:highlight w:val="none"/>
          <w:u w:val="single"/>
          <w:lang w:eastAsia="zh-CN"/>
        </w:rPr>
        <w:t>）</w:t>
      </w:r>
      <w:r>
        <w:rPr>
          <w:rFonts w:hint="eastAsia" w:ascii="Times New Roman" w:hAnsi="Times New Roman" w:eastAsia="仿宋_GB2312"/>
          <w:color w:val="auto"/>
          <w:sz w:val="21"/>
          <w:szCs w:val="21"/>
          <w:highlight w:val="none"/>
          <w:u w:val="single"/>
        </w:rPr>
        <w:t>以及工程的安全负责，应负责做好其所管辖人员的工作，场所和居住区的日常治安管理和安全保护工作，设置必要的消防水源和简易消防设备。承包人必须注意保护工地临近未施工区域和附近人员的安全，防止因施工措施不当使人员财产遭受损失，承包人必须对施工现场的用电安全负责。在施工现场做好警示标志牌，提醒进入施工现场</w:t>
      </w:r>
      <w:r>
        <w:rPr>
          <w:rFonts w:hint="eastAsia" w:eastAsia="仿宋_GB2312"/>
          <w:color w:val="auto"/>
          <w:sz w:val="21"/>
          <w:szCs w:val="21"/>
          <w:highlight w:val="none"/>
          <w:u w:val="single"/>
          <w:lang w:eastAsia="zh-CN"/>
        </w:rPr>
        <w:t>人员</w:t>
      </w:r>
      <w:r>
        <w:rPr>
          <w:rFonts w:hint="eastAsia" w:ascii="Times New Roman" w:hAnsi="Times New Roman" w:eastAsia="仿宋_GB2312"/>
          <w:color w:val="auto"/>
          <w:sz w:val="21"/>
          <w:szCs w:val="21"/>
          <w:highlight w:val="none"/>
          <w:u w:val="single"/>
        </w:rPr>
        <w:t>注意。</w:t>
      </w:r>
    </w:p>
    <w:p w14:paraId="7C748BC4">
      <w:pPr>
        <w:pageBreakBefore w:val="0"/>
        <w:widowControl w:val="0"/>
        <w:kinsoku/>
        <w:wordWrap/>
        <w:overflowPunct/>
        <w:topLinePunct w:val="0"/>
        <w:bidi w:val="0"/>
        <w:adjustRightInd w:val="0"/>
        <w:snapToGrid w:val="0"/>
        <w:spacing w:line="360" w:lineRule="auto"/>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6.1.4 关于治安保卫的特别约定：</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执行通用合同条款</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082E3258">
      <w:pPr>
        <w:pageBreakBefore w:val="0"/>
        <w:widowControl w:val="0"/>
        <w:kinsoku/>
        <w:wordWrap/>
        <w:overflowPunct/>
        <w:topLinePunct w:val="0"/>
        <w:bidi w:val="0"/>
        <w:adjustRightInd w:val="0"/>
        <w:snapToGrid w:val="0"/>
        <w:spacing w:line="360" w:lineRule="auto"/>
        <w:jc w:val="left"/>
        <w:textAlignment w:val="auto"/>
        <w:rPr>
          <w:rFonts w:hint="eastAsia"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关于编制施工场地治安管理计划的约定：</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 xml:space="preserve">执行通用合同条款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0C699240">
      <w:pPr>
        <w:pageBreakBefore w:val="0"/>
        <w:widowControl w:val="0"/>
        <w:kinsoku/>
        <w:wordWrap/>
        <w:overflowPunct/>
        <w:topLinePunct w:val="0"/>
        <w:bidi w:val="0"/>
        <w:adjustRightInd w:val="0"/>
        <w:snapToGrid w:val="0"/>
        <w:spacing w:line="360" w:lineRule="auto"/>
        <w:jc w:val="left"/>
        <w:textAlignment w:val="auto"/>
        <w:rPr>
          <w:rFonts w:hint="eastAsia" w:ascii="Times New Roman" w:hAnsi="Times New Roman" w:eastAsia="仿宋_GB2312"/>
          <w:color w:val="auto"/>
          <w:sz w:val="21"/>
          <w:szCs w:val="21"/>
          <w:highlight w:val="none"/>
        </w:rPr>
      </w:pPr>
      <w:r>
        <w:rPr>
          <w:rFonts w:hint="eastAsia" w:ascii="Times New Roman" w:hAnsi="Times New Roman" w:eastAsia="仿宋_GB2312"/>
          <w:color w:val="auto"/>
          <w:sz w:val="21"/>
          <w:szCs w:val="21"/>
          <w:highlight w:val="none"/>
        </w:rPr>
        <w:t>6.1.5 文明施工</w:t>
      </w:r>
    </w:p>
    <w:p w14:paraId="78E89E17">
      <w:pPr>
        <w:pageBreakBefore w:val="0"/>
        <w:widowControl w:val="0"/>
        <w:kinsoku/>
        <w:wordWrap/>
        <w:overflowPunct/>
        <w:topLinePunct w:val="0"/>
        <w:bidi w:val="0"/>
        <w:adjustRightInd w:val="0"/>
        <w:snapToGrid w:val="0"/>
        <w:spacing w:line="360" w:lineRule="auto"/>
        <w:jc w:val="left"/>
        <w:textAlignment w:val="auto"/>
        <w:rPr>
          <w:rFonts w:ascii="Times New Roman" w:hAnsi="Times New Roman" w:eastAsia="仿宋_GB2312"/>
          <w:color w:val="auto"/>
          <w:sz w:val="21"/>
          <w:szCs w:val="21"/>
          <w:highlight w:val="none"/>
        </w:rPr>
      </w:pPr>
      <w:r>
        <w:rPr>
          <w:rFonts w:hint="eastAsia" w:ascii="Times New Roman" w:hAnsi="Times New Roman" w:eastAsia="仿宋_GB2312"/>
          <w:color w:val="auto"/>
          <w:sz w:val="21"/>
          <w:szCs w:val="21"/>
          <w:highlight w:val="none"/>
        </w:rPr>
        <w:t>合同当事人对文明施工的要求：</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 xml:space="preserve"> 按照发包人相关管理规定     </w:t>
      </w:r>
      <w:r>
        <w:rPr>
          <w:rFonts w:hint="eastAsia"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rPr>
        <w:t>。</w:t>
      </w:r>
    </w:p>
    <w:p w14:paraId="6517B1ED">
      <w:pPr>
        <w:pageBreakBefore w:val="0"/>
        <w:widowControl w:val="0"/>
        <w:kinsoku/>
        <w:wordWrap/>
        <w:overflowPunct/>
        <w:topLinePunct w:val="0"/>
        <w:bidi w:val="0"/>
        <w:adjustRightInd w:val="0"/>
        <w:snapToGrid w:val="0"/>
        <w:spacing w:line="360" w:lineRule="auto"/>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6.1.6 关于安全文明施工费支付比例和支付期限的约定：</w:t>
      </w:r>
      <w:r>
        <w:rPr>
          <w:rFonts w:hint="eastAsia" w:ascii="Times New Roman" w:hAnsi="Times New Roman" w:eastAsia="仿宋_GB2312" w:cs="Times New Roman"/>
          <w:color w:val="auto"/>
          <w:kern w:val="0"/>
          <w:sz w:val="21"/>
          <w:szCs w:val="21"/>
          <w:highlight w:val="none"/>
          <w:u w:val="single"/>
          <w:lang w:val="en-US" w:eastAsia="zh-CN"/>
        </w:rPr>
        <w:t xml:space="preserve"> 执行通用合同条款 </w:t>
      </w:r>
      <w:r>
        <w:rPr>
          <w:rFonts w:ascii="Times New Roman" w:hAnsi="Times New Roman" w:eastAsia="仿宋_GB2312"/>
          <w:color w:val="auto"/>
          <w:sz w:val="21"/>
          <w:szCs w:val="21"/>
          <w:highlight w:val="none"/>
        </w:rPr>
        <w:t>。</w:t>
      </w:r>
    </w:p>
    <w:bookmarkEnd w:id="1385"/>
    <w:bookmarkEnd w:id="1386"/>
    <w:bookmarkEnd w:id="1387"/>
    <w:bookmarkEnd w:id="1388"/>
    <w:bookmarkEnd w:id="1389"/>
    <w:bookmarkEnd w:id="1390"/>
    <w:bookmarkEnd w:id="1391"/>
    <w:p w14:paraId="5270043D">
      <w:pPr>
        <w:pStyle w:val="5"/>
        <w:pageBreakBefore w:val="0"/>
        <w:widowControl w:val="0"/>
        <w:kinsoku/>
        <w:wordWrap/>
        <w:overflowPunct/>
        <w:topLinePunct w:val="0"/>
        <w:bidi w:val="0"/>
        <w:adjustRightInd w:val="0"/>
        <w:snapToGrid w:val="0"/>
        <w:spacing w:before="0" w:after="0" w:line="360" w:lineRule="auto"/>
        <w:textAlignment w:val="auto"/>
        <w:rPr>
          <w:rFonts w:eastAsia="黑体"/>
          <w:b w:val="0"/>
          <w:color w:val="auto"/>
          <w:sz w:val="21"/>
          <w:szCs w:val="21"/>
          <w:highlight w:val="none"/>
        </w:rPr>
      </w:pPr>
      <w:bookmarkStart w:id="1396" w:name="_Toc1699"/>
      <w:bookmarkStart w:id="1397" w:name="_Toc351203639"/>
      <w:r>
        <w:rPr>
          <w:rFonts w:eastAsia="黑体"/>
          <w:b w:val="0"/>
          <w:color w:val="auto"/>
          <w:sz w:val="21"/>
          <w:szCs w:val="21"/>
          <w:highlight w:val="none"/>
        </w:rPr>
        <w:t>7. 工期和进度</w:t>
      </w:r>
      <w:bookmarkEnd w:id="1396"/>
      <w:bookmarkEnd w:id="1397"/>
    </w:p>
    <w:p w14:paraId="28BC540A">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黑体"/>
          <w:color w:val="auto"/>
          <w:sz w:val="21"/>
          <w:szCs w:val="21"/>
          <w:highlight w:val="none"/>
        </w:rPr>
      </w:pPr>
      <w:r>
        <w:rPr>
          <w:rFonts w:ascii="Times New Roman" w:hAnsi="Times New Roman" w:eastAsia="黑体"/>
          <w:color w:val="auto"/>
          <w:sz w:val="21"/>
          <w:szCs w:val="21"/>
          <w:highlight w:val="none"/>
        </w:rPr>
        <w:t>7.1 施工组织设计</w:t>
      </w:r>
    </w:p>
    <w:p w14:paraId="141E36BF">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sz w:val="21"/>
          <w:szCs w:val="21"/>
          <w:highlight w:val="none"/>
        </w:rPr>
        <w:t>7.1.</w:t>
      </w:r>
      <w:r>
        <w:rPr>
          <w:rFonts w:hint="eastAsia" w:ascii="Times New Roman" w:hAnsi="Times New Roman" w:eastAsia="仿宋_GB2312"/>
          <w:color w:val="auto"/>
          <w:sz w:val="21"/>
          <w:szCs w:val="21"/>
          <w:highlight w:val="none"/>
        </w:rPr>
        <w:t>1 合</w:t>
      </w:r>
      <w:r>
        <w:rPr>
          <w:rFonts w:hint="eastAsia" w:ascii="Times New Roman" w:hAnsi="Times New Roman" w:eastAsia="仿宋_GB2312"/>
          <w:color w:val="auto"/>
          <w:kern w:val="0"/>
          <w:sz w:val="21"/>
          <w:szCs w:val="21"/>
          <w:highlight w:val="none"/>
        </w:rPr>
        <w:t>同当事人约定的</w:t>
      </w:r>
      <w:r>
        <w:rPr>
          <w:rFonts w:ascii="Times New Roman" w:hAnsi="Times New Roman" w:eastAsia="仿宋_GB2312"/>
          <w:color w:val="auto"/>
          <w:kern w:val="0"/>
          <w:sz w:val="21"/>
          <w:szCs w:val="21"/>
          <w:highlight w:val="none"/>
        </w:rPr>
        <w:t>施工组织设计</w:t>
      </w:r>
      <w:r>
        <w:rPr>
          <w:rFonts w:hint="eastAsia" w:ascii="Times New Roman" w:hAnsi="Times New Roman" w:eastAsia="仿宋_GB2312"/>
          <w:color w:val="auto"/>
          <w:kern w:val="0"/>
          <w:sz w:val="21"/>
          <w:szCs w:val="21"/>
          <w:highlight w:val="none"/>
        </w:rPr>
        <w:t>应包括的其他内容</w:t>
      </w:r>
      <w:r>
        <w:rPr>
          <w:rFonts w:ascii="Times New Roman" w:hAnsi="Times New Roman" w:eastAsia="仿宋_GB2312"/>
          <w:color w:val="auto"/>
          <w:kern w:val="0"/>
          <w:sz w:val="21"/>
          <w:szCs w:val="21"/>
          <w:highlight w:val="none"/>
        </w:rPr>
        <w:t>：</w:t>
      </w:r>
      <w:r>
        <w:rPr>
          <w:rFonts w:hint="eastAsia" w:ascii="Times New Roman" w:hAnsi="Times New Roman" w:eastAsia="仿宋_GB2312" w:cs="Times New Roman"/>
          <w:color w:val="auto"/>
          <w:kern w:val="0"/>
          <w:sz w:val="21"/>
          <w:szCs w:val="21"/>
          <w:highlight w:val="none"/>
          <w:u w:val="single"/>
          <w:lang w:val="en-US" w:eastAsia="zh-CN"/>
        </w:rPr>
        <w:t>无</w:t>
      </w:r>
      <w:r>
        <w:rPr>
          <w:rFonts w:ascii="Times New Roman" w:hAnsi="Times New Roman" w:eastAsia="仿宋_GB2312"/>
          <w:color w:val="auto"/>
          <w:sz w:val="21"/>
          <w:szCs w:val="21"/>
          <w:highlight w:val="none"/>
        </w:rPr>
        <w:t>。</w:t>
      </w:r>
    </w:p>
    <w:p w14:paraId="71A4EC73">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sz w:val="21"/>
          <w:szCs w:val="21"/>
          <w:highlight w:val="none"/>
        </w:rPr>
        <w:t xml:space="preserve">7.1.2 </w:t>
      </w:r>
      <w:r>
        <w:rPr>
          <w:rFonts w:ascii="Times New Roman" w:hAnsi="Times New Roman" w:eastAsia="仿宋_GB2312"/>
          <w:color w:val="auto"/>
          <w:kern w:val="0"/>
          <w:sz w:val="21"/>
          <w:szCs w:val="21"/>
          <w:highlight w:val="none"/>
        </w:rPr>
        <w:t>施工组织设计的提交和修改</w:t>
      </w:r>
    </w:p>
    <w:p w14:paraId="3E7CF412">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Times New Roman" w:hAnsi="Times New Roman" w:eastAsia="仿宋_GB2312"/>
          <w:color w:val="auto"/>
          <w:sz w:val="21"/>
          <w:szCs w:val="21"/>
          <w:highlight w:val="none"/>
        </w:rPr>
      </w:pPr>
      <w:r>
        <w:rPr>
          <w:rFonts w:ascii="Times New Roman" w:hAnsi="Times New Roman" w:eastAsia="仿宋_GB2312"/>
          <w:color w:val="auto"/>
          <w:kern w:val="0"/>
          <w:sz w:val="21"/>
          <w:szCs w:val="21"/>
          <w:highlight w:val="none"/>
        </w:rPr>
        <w:t>承包人提交详细施工组织设计的期限的约定：</w:t>
      </w:r>
      <w:r>
        <w:rPr>
          <w:rFonts w:hint="eastAsia" w:ascii="Times New Roman" w:hAnsi="Times New Roman" w:eastAsia="仿宋_GB2312" w:cs="Times New Roman"/>
          <w:color w:val="auto"/>
          <w:kern w:val="0"/>
          <w:sz w:val="21"/>
          <w:szCs w:val="21"/>
          <w:highlight w:val="none"/>
          <w:u w:val="single"/>
          <w:lang w:val="en-US" w:eastAsia="zh-CN"/>
        </w:rPr>
        <w:t>合同签订后7天内，承包人按时送审符合要求的施工组织设计</w:t>
      </w:r>
      <w:r>
        <w:rPr>
          <w:rFonts w:ascii="Times New Roman" w:hAnsi="Times New Roman" w:eastAsia="仿宋_GB2312"/>
          <w:color w:val="auto"/>
          <w:sz w:val="21"/>
          <w:szCs w:val="21"/>
          <w:highlight w:val="none"/>
        </w:rPr>
        <w:t>。</w:t>
      </w:r>
    </w:p>
    <w:p w14:paraId="6BEF65D3">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发包人和监理人在收到</w:t>
      </w:r>
      <w:r>
        <w:rPr>
          <w:rFonts w:hint="eastAsia" w:ascii="Times New Roman" w:hAnsi="Times New Roman" w:eastAsia="仿宋_GB2312"/>
          <w:color w:val="auto"/>
          <w:sz w:val="21"/>
          <w:szCs w:val="21"/>
          <w:highlight w:val="none"/>
        </w:rPr>
        <w:t>详细的施工组织设计</w:t>
      </w:r>
      <w:r>
        <w:rPr>
          <w:rFonts w:ascii="Times New Roman" w:hAnsi="Times New Roman" w:eastAsia="仿宋_GB2312"/>
          <w:color w:val="auto"/>
          <w:sz w:val="21"/>
          <w:szCs w:val="21"/>
          <w:highlight w:val="none"/>
        </w:rPr>
        <w:t>后确认或提出修改意见的期限：</w:t>
      </w:r>
      <w:r>
        <w:rPr>
          <w:rFonts w:hint="eastAsia" w:ascii="Times New Roman" w:hAnsi="Times New Roman" w:eastAsia="仿宋_GB2312" w:cs="Times New Roman"/>
          <w:color w:val="auto"/>
          <w:kern w:val="0"/>
          <w:sz w:val="21"/>
          <w:szCs w:val="21"/>
          <w:highlight w:val="none"/>
          <w:u w:val="single"/>
          <w:lang w:val="en-US" w:eastAsia="zh-CN"/>
        </w:rPr>
        <w:t>发包人接到监理人报来的详细施工组织设计后7天内，组织审核批准或提出修改意见</w:t>
      </w:r>
      <w:r>
        <w:rPr>
          <w:rFonts w:ascii="Times New Roman" w:hAnsi="Times New Roman" w:eastAsia="仿宋_GB2312"/>
          <w:color w:val="auto"/>
          <w:sz w:val="21"/>
          <w:szCs w:val="21"/>
          <w:highlight w:val="none"/>
        </w:rPr>
        <w:t>。</w:t>
      </w:r>
    </w:p>
    <w:p w14:paraId="14DD0BBB">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黑体"/>
          <w:color w:val="auto"/>
          <w:sz w:val="21"/>
          <w:szCs w:val="21"/>
          <w:highlight w:val="none"/>
        </w:rPr>
      </w:pPr>
      <w:r>
        <w:rPr>
          <w:rFonts w:ascii="Times New Roman" w:hAnsi="Times New Roman" w:eastAsia="黑体"/>
          <w:color w:val="auto"/>
          <w:sz w:val="21"/>
          <w:szCs w:val="21"/>
          <w:highlight w:val="none"/>
        </w:rPr>
        <w:t>7</w:t>
      </w:r>
      <w:bookmarkStart w:id="1398" w:name="_Toc297123514"/>
      <w:bookmarkStart w:id="1399" w:name="_Toc303539123"/>
      <w:bookmarkStart w:id="1400" w:name="_Toc300934966"/>
      <w:bookmarkStart w:id="1401" w:name="_Toc312678005"/>
      <w:bookmarkStart w:id="1402" w:name="_Toc297216173"/>
      <w:bookmarkStart w:id="1403" w:name="_Toc312677479"/>
      <w:bookmarkStart w:id="1404" w:name="_Toc304295541"/>
      <w:r>
        <w:rPr>
          <w:rFonts w:ascii="Times New Roman" w:hAnsi="Times New Roman" w:eastAsia="黑体"/>
          <w:color w:val="auto"/>
          <w:sz w:val="21"/>
          <w:szCs w:val="21"/>
          <w:highlight w:val="none"/>
        </w:rPr>
        <w:t>.2 施工进度计划</w:t>
      </w:r>
    </w:p>
    <w:p w14:paraId="349AF8B8">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7.2.2 施工进度计划的修订</w:t>
      </w:r>
    </w:p>
    <w:p w14:paraId="1096C0EC">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发包人和监理人在收到修订的施工进度计划后确认或提出修改意见的期限：</w:t>
      </w:r>
      <w:r>
        <w:rPr>
          <w:rFonts w:hint="eastAsia" w:ascii="Times New Roman" w:hAnsi="Times New Roman" w:eastAsia="仿宋_GB2312" w:cs="Times New Roman"/>
          <w:color w:val="auto"/>
          <w:kern w:val="0"/>
          <w:sz w:val="21"/>
          <w:szCs w:val="21"/>
          <w:highlight w:val="none"/>
          <w:u w:val="single"/>
          <w:lang w:val="en-US" w:eastAsia="zh-CN"/>
        </w:rPr>
        <w:t>执行通用合同条款</w:t>
      </w:r>
      <w:r>
        <w:rPr>
          <w:rFonts w:ascii="Times New Roman" w:hAnsi="Times New Roman" w:eastAsia="仿宋_GB2312"/>
          <w:color w:val="auto"/>
          <w:sz w:val="21"/>
          <w:szCs w:val="21"/>
          <w:highlight w:val="none"/>
        </w:rPr>
        <w:t>。</w:t>
      </w:r>
    </w:p>
    <w:p w14:paraId="231AA00C">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黑体"/>
          <w:color w:val="auto"/>
          <w:sz w:val="21"/>
          <w:szCs w:val="21"/>
          <w:highlight w:val="none"/>
        </w:rPr>
      </w:pPr>
      <w:r>
        <w:rPr>
          <w:rFonts w:ascii="Times New Roman" w:hAnsi="Times New Roman" w:eastAsia="黑体"/>
          <w:color w:val="auto"/>
          <w:sz w:val="21"/>
          <w:szCs w:val="21"/>
          <w:highlight w:val="none"/>
        </w:rPr>
        <w:t>7.3 开工</w:t>
      </w:r>
    </w:p>
    <w:p w14:paraId="7B91A4BD">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7.3.1 开工准备</w:t>
      </w:r>
    </w:p>
    <w:p w14:paraId="15872FB4">
      <w:pPr>
        <w:pageBreakBefore w:val="0"/>
        <w:widowControl w:val="0"/>
        <w:kinsoku/>
        <w:wordWrap/>
        <w:overflowPunct/>
        <w:topLinePunct w:val="0"/>
        <w:bidi w:val="0"/>
        <w:adjustRightInd w:val="0"/>
        <w:snapToGrid w:val="0"/>
        <w:spacing w:line="360" w:lineRule="auto"/>
        <w:ind w:firstLine="645"/>
        <w:jc w:val="left"/>
        <w:textAlignment w:val="auto"/>
        <w:rPr>
          <w:rFonts w:ascii="Times New Roman" w:hAnsi="Times New Roman" w:eastAsia="仿宋_GB2312"/>
          <w:color w:val="auto"/>
          <w:sz w:val="21"/>
          <w:szCs w:val="21"/>
          <w:highlight w:val="none"/>
          <w:u w:val="single"/>
        </w:rPr>
      </w:pPr>
      <w:r>
        <w:rPr>
          <w:rFonts w:ascii="Times New Roman" w:hAnsi="Times New Roman" w:eastAsia="仿宋_GB2312"/>
          <w:color w:val="auto"/>
          <w:sz w:val="21"/>
          <w:szCs w:val="21"/>
          <w:highlight w:val="none"/>
        </w:rPr>
        <w:t>关于承包人提交</w:t>
      </w:r>
      <w:r>
        <w:rPr>
          <w:rFonts w:ascii="Times New Roman" w:hAnsi="Times New Roman" w:eastAsia="仿宋_GB2312"/>
          <w:color w:val="auto"/>
          <w:kern w:val="0"/>
          <w:sz w:val="21"/>
          <w:szCs w:val="21"/>
          <w:highlight w:val="none"/>
        </w:rPr>
        <w:t>工程开工报审表的期限：</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执行通用合同条款</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470ED508">
      <w:pPr>
        <w:pageBreakBefore w:val="0"/>
        <w:widowControl w:val="0"/>
        <w:kinsoku/>
        <w:wordWrap/>
        <w:overflowPunct/>
        <w:topLinePunct w:val="0"/>
        <w:bidi w:val="0"/>
        <w:adjustRightInd w:val="0"/>
        <w:snapToGrid w:val="0"/>
        <w:spacing w:line="360" w:lineRule="auto"/>
        <w:ind w:left="638" w:leftChars="304" w:firstLine="0" w:firstLineChars="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关于发包人应完成的其他开工准备工作及期限：</w:t>
      </w:r>
      <w:r>
        <w:rPr>
          <w:rFonts w:hint="eastAsia" w:ascii="Times New Roman" w:hAnsi="Times New Roman" w:eastAsia="仿宋_GB2312" w:cs="Times New Roman"/>
          <w:color w:val="auto"/>
          <w:kern w:val="0"/>
          <w:sz w:val="21"/>
          <w:szCs w:val="21"/>
          <w:highlight w:val="none"/>
          <w:u w:val="single"/>
          <w:lang w:val="en-US" w:eastAsia="zh-CN"/>
        </w:rPr>
        <w:t>执行通用合同条款</w:t>
      </w:r>
      <w:r>
        <w:rPr>
          <w:rFonts w:ascii="Times New Roman" w:hAnsi="Times New Roman" w:eastAsia="仿宋_GB2312"/>
          <w:color w:val="auto"/>
          <w:sz w:val="21"/>
          <w:szCs w:val="21"/>
          <w:highlight w:val="none"/>
        </w:rPr>
        <w:t>。</w:t>
      </w:r>
    </w:p>
    <w:p w14:paraId="4AFCFB70">
      <w:pPr>
        <w:pageBreakBefore w:val="0"/>
        <w:widowControl w:val="0"/>
        <w:kinsoku/>
        <w:wordWrap/>
        <w:overflowPunct/>
        <w:topLinePunct w:val="0"/>
        <w:bidi w:val="0"/>
        <w:adjustRightInd w:val="0"/>
        <w:snapToGrid w:val="0"/>
        <w:spacing w:line="360" w:lineRule="auto"/>
        <w:ind w:left="638" w:leftChars="304" w:firstLine="0" w:firstLineChars="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关于承包人应完成的其他开工准备工作及期限：</w:t>
      </w:r>
      <w:r>
        <w:rPr>
          <w:rFonts w:hint="eastAsia" w:ascii="Times New Roman" w:hAnsi="Times New Roman" w:eastAsia="仿宋_GB2312" w:cs="Times New Roman"/>
          <w:color w:val="auto"/>
          <w:kern w:val="0"/>
          <w:sz w:val="21"/>
          <w:szCs w:val="21"/>
          <w:highlight w:val="none"/>
          <w:u w:val="single"/>
          <w:lang w:val="en-US" w:eastAsia="zh-CN"/>
        </w:rPr>
        <w:t xml:space="preserve">执行通用合同条款 </w:t>
      </w:r>
      <w:r>
        <w:rPr>
          <w:rFonts w:ascii="Times New Roman" w:hAnsi="Times New Roman" w:eastAsia="仿宋_GB2312"/>
          <w:color w:val="auto"/>
          <w:sz w:val="21"/>
          <w:szCs w:val="21"/>
          <w:highlight w:val="none"/>
        </w:rPr>
        <w:t>。</w:t>
      </w:r>
    </w:p>
    <w:p w14:paraId="6C97580C">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7.3.2开工通知</w:t>
      </w:r>
    </w:p>
    <w:p w14:paraId="6FCA3418">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因发包人原因造成监理人未能在计划开工日期之日起</w:t>
      </w:r>
      <w:r>
        <w:rPr>
          <w:rFonts w:hint="eastAsia" w:ascii="Times New Roman" w:hAnsi="Times New Roman" w:eastAsia="仿宋_GB2312" w:cs="Times New Roman"/>
          <w:color w:val="auto"/>
          <w:kern w:val="0"/>
          <w:sz w:val="21"/>
          <w:szCs w:val="21"/>
          <w:highlight w:val="none"/>
          <w:u w:val="single"/>
          <w:lang w:val="en-US" w:eastAsia="zh-CN"/>
        </w:rPr>
        <w:t xml:space="preserve"> 90  </w:t>
      </w:r>
      <w:r>
        <w:rPr>
          <w:rFonts w:ascii="Times New Roman" w:hAnsi="Times New Roman" w:eastAsia="仿宋_GB2312"/>
          <w:color w:val="auto"/>
          <w:sz w:val="21"/>
          <w:szCs w:val="21"/>
          <w:highlight w:val="none"/>
        </w:rPr>
        <w:t>天内发出开工通知的，承包人有权提出价格调整要求，或者解除合同。</w:t>
      </w:r>
    </w:p>
    <w:bookmarkEnd w:id="1398"/>
    <w:bookmarkEnd w:id="1399"/>
    <w:bookmarkEnd w:id="1400"/>
    <w:bookmarkEnd w:id="1401"/>
    <w:bookmarkEnd w:id="1402"/>
    <w:bookmarkEnd w:id="1403"/>
    <w:bookmarkEnd w:id="1404"/>
    <w:p w14:paraId="33A67C68">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黑体"/>
          <w:color w:val="auto"/>
          <w:sz w:val="21"/>
          <w:szCs w:val="21"/>
          <w:highlight w:val="none"/>
        </w:rPr>
      </w:pPr>
      <w:r>
        <w:rPr>
          <w:rFonts w:ascii="Times New Roman" w:hAnsi="Times New Roman" w:eastAsia="黑体"/>
          <w:color w:val="auto"/>
          <w:sz w:val="21"/>
          <w:szCs w:val="21"/>
          <w:highlight w:val="none"/>
        </w:rPr>
        <w:t>7.4 测量放线</w:t>
      </w:r>
    </w:p>
    <w:p w14:paraId="0BF96934">
      <w:pPr>
        <w:pageBreakBefore w:val="0"/>
        <w:widowControl w:val="0"/>
        <w:kinsoku/>
        <w:wordWrap/>
        <w:overflowPunct/>
        <w:topLinePunct w:val="0"/>
        <w:bidi w:val="0"/>
        <w:adjustRightInd w:val="0"/>
        <w:snapToGrid w:val="0"/>
        <w:spacing w:line="360" w:lineRule="auto"/>
        <w:ind w:firstLine="420" w:firstLineChars="200"/>
        <w:jc w:val="left"/>
        <w:textAlignment w:val="auto"/>
        <w:rPr>
          <w:rFonts w:hint="eastAsia" w:ascii="Times New Roman" w:hAnsi="Times New Roman" w:eastAsia="仿宋_GB2312"/>
          <w:color w:val="auto"/>
          <w:sz w:val="21"/>
          <w:szCs w:val="21"/>
          <w:highlight w:val="none"/>
          <w:u w:val="single"/>
        </w:rPr>
      </w:pPr>
      <w:r>
        <w:rPr>
          <w:rFonts w:ascii="Times New Roman" w:hAnsi="Times New Roman" w:eastAsia="仿宋_GB2312"/>
          <w:color w:val="auto"/>
          <w:sz w:val="21"/>
          <w:szCs w:val="21"/>
          <w:highlight w:val="none"/>
        </w:rPr>
        <w:t>7.4.1发包人通过监理人向承包人提供测量基准点、基准线和水准点及其书面资料的期限：</w:t>
      </w:r>
      <w:r>
        <w:rPr>
          <w:rFonts w:hint="eastAsia" w:ascii="Times New Roman" w:hAnsi="Times New Roman" w:eastAsia="仿宋_GB2312" w:cs="Times New Roman"/>
          <w:color w:val="auto"/>
          <w:kern w:val="0"/>
          <w:sz w:val="21"/>
          <w:szCs w:val="21"/>
          <w:highlight w:val="none"/>
          <w:u w:val="single"/>
          <w:lang w:val="en-US" w:eastAsia="zh-CN"/>
        </w:rPr>
        <w:t>执行通用合同条款</w:t>
      </w:r>
      <w:r>
        <w:rPr>
          <w:rFonts w:ascii="Times New Roman" w:hAnsi="Times New Roman" w:eastAsia="仿宋_GB2312"/>
          <w:color w:val="auto"/>
          <w:sz w:val="21"/>
          <w:szCs w:val="21"/>
          <w:highlight w:val="none"/>
        </w:rPr>
        <w:t>。</w:t>
      </w:r>
    </w:p>
    <w:p w14:paraId="62D34F1C">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黑体"/>
          <w:color w:val="auto"/>
          <w:sz w:val="21"/>
          <w:szCs w:val="21"/>
          <w:highlight w:val="none"/>
        </w:rPr>
      </w:pPr>
      <w:r>
        <w:rPr>
          <w:rFonts w:ascii="Times New Roman" w:hAnsi="Times New Roman" w:eastAsia="黑体"/>
          <w:color w:val="auto"/>
          <w:sz w:val="21"/>
          <w:szCs w:val="21"/>
          <w:highlight w:val="none"/>
        </w:rPr>
        <w:t>7</w:t>
      </w:r>
      <w:bookmarkStart w:id="1405" w:name="_Toc297123516"/>
      <w:bookmarkStart w:id="1406" w:name="_Toc312677484"/>
      <w:bookmarkStart w:id="1407" w:name="_Toc297216175"/>
      <w:bookmarkStart w:id="1408" w:name="_Toc304295546"/>
      <w:bookmarkStart w:id="1409" w:name="_Toc303539125"/>
      <w:bookmarkStart w:id="1410" w:name="_Toc300934968"/>
      <w:bookmarkStart w:id="1411" w:name="_Toc312678010"/>
      <w:r>
        <w:rPr>
          <w:rFonts w:ascii="Times New Roman" w:hAnsi="Times New Roman" w:eastAsia="黑体"/>
          <w:color w:val="auto"/>
          <w:sz w:val="21"/>
          <w:szCs w:val="21"/>
          <w:highlight w:val="none"/>
        </w:rPr>
        <w:t>.5 工期延误</w:t>
      </w:r>
    </w:p>
    <w:bookmarkEnd w:id="1405"/>
    <w:bookmarkEnd w:id="1406"/>
    <w:bookmarkEnd w:id="1407"/>
    <w:bookmarkEnd w:id="1408"/>
    <w:bookmarkEnd w:id="1409"/>
    <w:bookmarkEnd w:id="1410"/>
    <w:bookmarkEnd w:id="1411"/>
    <w:p w14:paraId="09DD8B07">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7.5.1 因发包人原因导致工期延误</w:t>
      </w:r>
    </w:p>
    <w:p w14:paraId="74ABF0DE">
      <w:pPr>
        <w:pageBreakBefore w:val="0"/>
        <w:widowControl w:val="0"/>
        <w:kinsoku/>
        <w:wordWrap/>
        <w:overflowPunct/>
        <w:topLinePunct w:val="0"/>
        <w:bidi w:val="0"/>
        <w:adjustRightInd w:val="0"/>
        <w:snapToGrid w:val="0"/>
        <w:spacing w:line="360" w:lineRule="auto"/>
        <w:ind w:left="0" w:leftChars="0" w:firstLine="447" w:firstLineChars="213"/>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（7）因发包人原因导致工期延误的其他情形：</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无</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4099A58E">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7</w:t>
      </w:r>
      <w:bookmarkStart w:id="1412" w:name="_Toc318581169"/>
      <w:bookmarkStart w:id="1413" w:name="_Toc312677486"/>
      <w:bookmarkStart w:id="1414" w:name="_Toc312678012"/>
      <w:bookmarkStart w:id="1415" w:name="_Toc303539127"/>
      <w:bookmarkStart w:id="1416" w:name="_Toc297216177"/>
      <w:bookmarkStart w:id="1417" w:name="_Toc297123518"/>
      <w:bookmarkStart w:id="1418" w:name="_Toc300934970"/>
      <w:bookmarkStart w:id="1419" w:name="_Toc304295548"/>
      <w:r>
        <w:rPr>
          <w:rFonts w:ascii="Times New Roman" w:hAnsi="Times New Roman" w:eastAsia="仿宋_GB2312"/>
          <w:color w:val="auto"/>
          <w:sz w:val="21"/>
          <w:szCs w:val="21"/>
          <w:highlight w:val="none"/>
        </w:rPr>
        <w:t>.5.2 因承包人原因导致工期延误</w:t>
      </w:r>
    </w:p>
    <w:bookmarkEnd w:id="1412"/>
    <w:bookmarkEnd w:id="1413"/>
    <w:bookmarkEnd w:id="1414"/>
    <w:p w14:paraId="217AB824">
      <w:pPr>
        <w:pageBreakBefore w:val="0"/>
        <w:widowControl w:val="0"/>
        <w:kinsoku/>
        <w:wordWrap/>
        <w:overflowPunct/>
        <w:topLinePunct w:val="0"/>
        <w:bidi w:val="0"/>
        <w:adjustRightInd w:val="0"/>
        <w:snapToGrid w:val="0"/>
        <w:spacing w:line="360" w:lineRule="auto"/>
        <w:ind w:firstLine="420" w:firstLineChars="200"/>
        <w:jc w:val="left"/>
        <w:textAlignment w:val="auto"/>
        <w:rPr>
          <w:rFonts w:hint="eastAsia" w:ascii="Times New Roman" w:hAnsi="Times New Roman" w:eastAsia="仿宋_GB2312" w:cs="Times New Roman"/>
          <w:color w:val="auto"/>
          <w:kern w:val="2"/>
          <w:sz w:val="21"/>
          <w:szCs w:val="21"/>
          <w:highlight w:val="none"/>
          <w:u w:val="single"/>
          <w:lang w:val="en-US" w:eastAsia="zh-CN" w:bidi="ar-SA"/>
        </w:rPr>
      </w:pPr>
      <w:r>
        <w:rPr>
          <w:rFonts w:ascii="Times New Roman" w:hAnsi="Times New Roman" w:eastAsia="仿宋_GB2312"/>
          <w:color w:val="auto"/>
          <w:sz w:val="21"/>
          <w:szCs w:val="21"/>
          <w:highlight w:val="none"/>
        </w:rPr>
        <w:t>因</w:t>
      </w:r>
      <w:bookmarkStart w:id="1420" w:name="_Toc312677487"/>
      <w:bookmarkStart w:id="1421" w:name="_Toc312678013"/>
      <w:bookmarkStart w:id="1422" w:name="_Toc318581170"/>
      <w:r>
        <w:rPr>
          <w:rFonts w:ascii="Times New Roman" w:hAnsi="Times New Roman" w:eastAsia="仿宋_GB2312"/>
          <w:color w:val="auto"/>
          <w:sz w:val="21"/>
          <w:szCs w:val="21"/>
          <w:highlight w:val="none"/>
        </w:rPr>
        <w:t>承包人原因造成工期延误，逾期竣工违约金的计算方法为：</w:t>
      </w:r>
      <w:bookmarkEnd w:id="1415"/>
      <w:bookmarkEnd w:id="1416"/>
      <w:bookmarkEnd w:id="1417"/>
      <w:bookmarkEnd w:id="1418"/>
      <w:bookmarkEnd w:id="1419"/>
      <w:bookmarkEnd w:id="1420"/>
      <w:bookmarkEnd w:id="1421"/>
      <w:r>
        <w:rPr>
          <w:rFonts w:hint="eastAsia" w:ascii="Times New Roman" w:hAnsi="Times New Roman" w:eastAsia="仿宋_GB2312" w:cs="Times New Roman"/>
          <w:color w:val="auto"/>
          <w:kern w:val="0"/>
          <w:sz w:val="21"/>
          <w:szCs w:val="21"/>
          <w:highlight w:val="none"/>
          <w:u w:val="single"/>
          <w:lang w:val="en-US" w:eastAsia="zh-CN"/>
        </w:rPr>
        <w:t>如中标人不能在规定的期限内完成施工，每延期一天，将承担合同价款</w:t>
      </w:r>
      <w:r>
        <w:rPr>
          <w:rFonts w:hint="eastAsia" w:ascii="Times New Roman" w:hAnsi="Times New Roman" w:eastAsia="仿宋_GB2312" w:cs="Times New Roman"/>
          <w:color w:val="auto"/>
          <w:kern w:val="0"/>
          <w:sz w:val="21"/>
          <w:szCs w:val="21"/>
          <w:highlight w:val="yellow"/>
          <w:u w:val="single"/>
          <w:lang w:val="en-US" w:eastAsia="zh-CN"/>
        </w:rPr>
        <w:t>3‰的</w:t>
      </w:r>
      <w:r>
        <w:rPr>
          <w:rFonts w:hint="eastAsia" w:ascii="Times New Roman" w:hAnsi="Times New Roman" w:eastAsia="仿宋_GB2312" w:cs="Times New Roman"/>
          <w:color w:val="auto"/>
          <w:kern w:val="0"/>
          <w:sz w:val="21"/>
          <w:szCs w:val="21"/>
          <w:highlight w:val="none"/>
          <w:u w:val="single"/>
          <w:lang w:val="en-US" w:eastAsia="zh-CN"/>
        </w:rPr>
        <w:t>违约金，违约金在支付的工程款里直接扣除。</w:t>
      </w:r>
    </w:p>
    <w:bookmarkEnd w:id="1422"/>
    <w:p w14:paraId="05D967AA">
      <w:pPr>
        <w:keepNext w:val="0"/>
        <w:keepLines w:val="0"/>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因承包人原因造成工期延误，逾</w:t>
      </w:r>
      <w:bookmarkStart w:id="1423" w:name="_Toc312678014"/>
      <w:bookmarkStart w:id="1424" w:name="_Toc318581171"/>
      <w:r>
        <w:rPr>
          <w:rFonts w:ascii="Times New Roman" w:hAnsi="Times New Roman" w:eastAsia="仿宋_GB2312"/>
          <w:color w:val="auto"/>
          <w:sz w:val="21"/>
          <w:szCs w:val="21"/>
          <w:highlight w:val="none"/>
        </w:rPr>
        <w:t>期竣工违约金的上限：</w:t>
      </w:r>
      <w:r>
        <w:rPr>
          <w:rFonts w:hint="eastAsia" w:ascii="Times New Roman" w:hAnsi="Times New Roman" w:eastAsia="仿宋_GB2312" w:cs="Times New Roman"/>
          <w:color w:val="auto"/>
          <w:kern w:val="0"/>
          <w:sz w:val="21"/>
          <w:szCs w:val="21"/>
          <w:highlight w:val="none"/>
          <w:u w:val="single"/>
          <w:lang w:val="en-US" w:eastAsia="zh-CN"/>
        </w:rPr>
        <w:t>签约合同价的</w:t>
      </w:r>
      <w:r>
        <w:rPr>
          <w:rFonts w:hint="eastAsia" w:ascii="Times New Roman" w:hAnsi="Times New Roman" w:eastAsia="仿宋_GB2312" w:cs="Times New Roman"/>
          <w:color w:val="auto"/>
          <w:kern w:val="0"/>
          <w:sz w:val="21"/>
          <w:szCs w:val="21"/>
          <w:highlight w:val="yellow"/>
          <w:u w:val="single"/>
          <w:lang w:val="en-US" w:eastAsia="zh-CN"/>
        </w:rPr>
        <w:t>30%</w:t>
      </w:r>
      <w:r>
        <w:rPr>
          <w:rFonts w:hint="eastAsia" w:ascii="Times New Roman" w:hAnsi="Times New Roman" w:eastAsia="仿宋_GB2312" w:cs="Times New Roman"/>
          <w:color w:val="auto"/>
          <w:kern w:val="0"/>
          <w:sz w:val="21"/>
          <w:szCs w:val="21"/>
          <w:highlight w:val="none"/>
          <w:u w:val="single"/>
          <w:lang w:val="en-US" w:eastAsia="zh-CN"/>
        </w:rPr>
        <w:t>与发包人实际损失两者较高者，发包人实际损失难以计算的，按照签约合同价的</w:t>
      </w:r>
      <w:r>
        <w:rPr>
          <w:rFonts w:hint="eastAsia" w:ascii="Times New Roman" w:hAnsi="Times New Roman" w:eastAsia="仿宋_GB2312" w:cs="Times New Roman"/>
          <w:color w:val="auto"/>
          <w:kern w:val="0"/>
          <w:sz w:val="21"/>
          <w:szCs w:val="21"/>
          <w:highlight w:val="yellow"/>
          <w:u w:val="single"/>
          <w:lang w:val="en-US" w:eastAsia="zh-CN"/>
        </w:rPr>
        <w:t>30%</w:t>
      </w:r>
      <w:r>
        <w:rPr>
          <w:rFonts w:hint="eastAsia" w:ascii="Times New Roman" w:hAnsi="Times New Roman" w:eastAsia="仿宋_GB2312" w:cs="Times New Roman"/>
          <w:color w:val="auto"/>
          <w:kern w:val="0"/>
          <w:sz w:val="21"/>
          <w:szCs w:val="21"/>
          <w:highlight w:val="none"/>
          <w:u w:val="single"/>
          <w:lang w:val="en-US" w:eastAsia="zh-CN"/>
        </w:rPr>
        <w:t xml:space="preserve">执行 </w:t>
      </w:r>
      <w:r>
        <w:rPr>
          <w:rFonts w:ascii="Times New Roman" w:hAnsi="Times New Roman" w:eastAsia="仿宋_GB2312"/>
          <w:color w:val="auto"/>
          <w:sz w:val="21"/>
          <w:szCs w:val="21"/>
          <w:highlight w:val="none"/>
        </w:rPr>
        <w:t>。</w:t>
      </w:r>
    </w:p>
    <w:bookmarkEnd w:id="1423"/>
    <w:bookmarkEnd w:id="1424"/>
    <w:p w14:paraId="3C5317F5">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黑体"/>
          <w:color w:val="auto"/>
          <w:sz w:val="21"/>
          <w:szCs w:val="21"/>
          <w:highlight w:val="none"/>
        </w:rPr>
      </w:pPr>
      <w:r>
        <w:rPr>
          <w:rFonts w:ascii="Times New Roman" w:hAnsi="Times New Roman" w:eastAsia="黑体"/>
          <w:color w:val="auto"/>
          <w:sz w:val="21"/>
          <w:szCs w:val="21"/>
          <w:highlight w:val="none"/>
        </w:rPr>
        <w:t>7</w:t>
      </w:r>
      <w:bookmarkStart w:id="1425" w:name="_Toc303539128"/>
      <w:bookmarkStart w:id="1426" w:name="_Toc304295549"/>
      <w:bookmarkStart w:id="1427" w:name="_Toc297216178"/>
      <w:bookmarkStart w:id="1428" w:name="_Toc297123519"/>
      <w:bookmarkStart w:id="1429" w:name="_Toc312678015"/>
      <w:bookmarkStart w:id="1430" w:name="_Toc300934971"/>
      <w:r>
        <w:rPr>
          <w:rFonts w:ascii="Times New Roman" w:hAnsi="Times New Roman" w:eastAsia="黑体"/>
          <w:color w:val="auto"/>
          <w:sz w:val="21"/>
          <w:szCs w:val="21"/>
          <w:highlight w:val="none"/>
        </w:rPr>
        <w:t>.6 不</w:t>
      </w:r>
      <w:bookmarkEnd w:id="1425"/>
      <w:bookmarkEnd w:id="1426"/>
      <w:bookmarkEnd w:id="1427"/>
      <w:bookmarkEnd w:id="1428"/>
      <w:bookmarkEnd w:id="1429"/>
      <w:bookmarkEnd w:id="1430"/>
      <w:r>
        <w:rPr>
          <w:rFonts w:ascii="Times New Roman" w:hAnsi="Times New Roman" w:eastAsia="黑体"/>
          <w:color w:val="auto"/>
          <w:sz w:val="21"/>
          <w:szCs w:val="21"/>
          <w:highlight w:val="none"/>
        </w:rPr>
        <w:t>利物质条件</w:t>
      </w:r>
    </w:p>
    <w:p w14:paraId="0D907425">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bookmarkStart w:id="1431" w:name="_Toc304295550"/>
      <w:bookmarkStart w:id="1432" w:name="_Toc318581172"/>
      <w:bookmarkStart w:id="1433" w:name="_Toc297216179"/>
      <w:bookmarkStart w:id="1434" w:name="_Toc312678016"/>
      <w:bookmarkStart w:id="1435" w:name="_Toc297123520"/>
      <w:bookmarkStart w:id="1436" w:name="_Toc300934972"/>
      <w:bookmarkStart w:id="1437" w:name="_Toc303539129"/>
      <w:r>
        <w:rPr>
          <w:rFonts w:ascii="Times New Roman" w:hAnsi="Times New Roman" w:eastAsia="仿宋_GB2312"/>
          <w:color w:val="auto"/>
          <w:sz w:val="21"/>
          <w:szCs w:val="21"/>
          <w:highlight w:val="none"/>
        </w:rPr>
        <w:t>不利物质条件的其他情形和有关约定：</w:t>
      </w:r>
      <w:r>
        <w:rPr>
          <w:rFonts w:hint="eastAsia" w:ascii="Times New Roman" w:hAnsi="Times New Roman" w:eastAsia="仿宋_GB2312" w:cs="Times New Roman"/>
          <w:color w:val="auto"/>
          <w:kern w:val="0"/>
          <w:sz w:val="21"/>
          <w:szCs w:val="21"/>
          <w:highlight w:val="none"/>
          <w:u w:val="single"/>
          <w:lang w:val="en-US" w:eastAsia="zh-CN"/>
        </w:rPr>
        <w:t xml:space="preserve"> 执行合同通用条款</w:t>
      </w:r>
      <w:r>
        <w:rPr>
          <w:rFonts w:ascii="Times New Roman" w:hAnsi="Times New Roman" w:eastAsia="仿宋_GB2312"/>
          <w:color w:val="auto"/>
          <w:sz w:val="21"/>
          <w:szCs w:val="21"/>
          <w:highlight w:val="none"/>
        </w:rPr>
        <w:t>。</w:t>
      </w:r>
    </w:p>
    <w:bookmarkEnd w:id="1431"/>
    <w:bookmarkEnd w:id="1432"/>
    <w:bookmarkEnd w:id="1433"/>
    <w:bookmarkEnd w:id="1434"/>
    <w:bookmarkEnd w:id="1435"/>
    <w:bookmarkEnd w:id="1436"/>
    <w:bookmarkEnd w:id="1437"/>
    <w:p w14:paraId="7A5621AE">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黑体"/>
          <w:color w:val="auto"/>
          <w:sz w:val="21"/>
          <w:szCs w:val="21"/>
          <w:highlight w:val="none"/>
        </w:rPr>
      </w:pPr>
      <w:r>
        <w:rPr>
          <w:rFonts w:ascii="Times New Roman" w:hAnsi="Times New Roman" w:eastAsia="黑体"/>
          <w:color w:val="auto"/>
          <w:sz w:val="21"/>
          <w:szCs w:val="21"/>
          <w:highlight w:val="none"/>
        </w:rPr>
        <w:t>7</w:t>
      </w:r>
      <w:bookmarkStart w:id="1438" w:name="_Toc297123521"/>
      <w:bookmarkStart w:id="1439" w:name="_Toc303539130"/>
      <w:bookmarkStart w:id="1440" w:name="_Toc300934973"/>
      <w:bookmarkStart w:id="1441" w:name="_Toc297216180"/>
      <w:bookmarkStart w:id="1442" w:name="_Toc304295551"/>
      <w:bookmarkStart w:id="1443" w:name="_Toc312678017"/>
      <w:r>
        <w:rPr>
          <w:rFonts w:ascii="Times New Roman" w:hAnsi="Times New Roman" w:eastAsia="黑体"/>
          <w:color w:val="auto"/>
          <w:sz w:val="21"/>
          <w:szCs w:val="21"/>
          <w:highlight w:val="none"/>
        </w:rPr>
        <w:t>.7异常恶劣的气候条件</w:t>
      </w:r>
    </w:p>
    <w:bookmarkEnd w:id="1438"/>
    <w:bookmarkEnd w:id="1439"/>
    <w:bookmarkEnd w:id="1440"/>
    <w:bookmarkEnd w:id="1441"/>
    <w:bookmarkEnd w:id="1442"/>
    <w:bookmarkEnd w:id="1443"/>
    <w:p w14:paraId="404677CB">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发包人和承包人同意以下情形视为异常恶劣的气候条件：</w:t>
      </w:r>
    </w:p>
    <w:p w14:paraId="60CC720B">
      <w:pPr>
        <w:pageBreakBefore w:val="0"/>
        <w:widowControl w:val="0"/>
        <w:kinsoku/>
        <w:wordWrap/>
        <w:overflowPunct/>
        <w:topLinePunct w:val="0"/>
        <w:bidi w:val="0"/>
        <w:adjustRightInd w:val="0"/>
        <w:snapToGrid w:val="0"/>
        <w:spacing w:line="360" w:lineRule="auto"/>
        <w:ind w:firstLine="420" w:firstLineChars="200"/>
        <w:jc w:val="left"/>
        <w:textAlignment w:val="auto"/>
        <w:rPr>
          <w:rFonts w:hint="eastAsia" w:ascii="Times New Roman" w:hAnsi="Times New Roman" w:eastAsia="仿宋_GB2312" w:cs="Times New Roman"/>
          <w:color w:val="auto"/>
          <w:kern w:val="0"/>
          <w:sz w:val="21"/>
          <w:szCs w:val="21"/>
          <w:highlight w:val="none"/>
          <w:u w:val="single"/>
          <w:lang w:val="en-US" w:eastAsia="zh-CN"/>
        </w:rPr>
      </w:pPr>
      <w:r>
        <w:rPr>
          <w:rFonts w:ascii="Times New Roman" w:hAnsi="Times New Roman" w:eastAsia="仿宋_GB2312"/>
          <w:color w:val="auto"/>
          <w:sz w:val="21"/>
          <w:szCs w:val="21"/>
          <w:highlight w:val="none"/>
        </w:rPr>
        <w:t>（1）</w:t>
      </w:r>
      <w:r>
        <w:rPr>
          <w:rFonts w:hint="eastAsia" w:ascii="Times New Roman" w:hAnsi="Times New Roman" w:eastAsia="仿宋_GB2312" w:cs="Times New Roman"/>
          <w:color w:val="auto"/>
          <w:kern w:val="0"/>
          <w:sz w:val="21"/>
          <w:szCs w:val="21"/>
          <w:highlight w:val="none"/>
          <w:u w:val="single"/>
          <w:lang w:val="en-US" w:eastAsia="zh-CN"/>
        </w:rPr>
        <w:t>异常恶劣的气候天气以当地气象台气象记录为准，异常气候发生时，承包人应就工期影响程度以书面方式向监理人或发包人提出，由监理人和发包人共同书面确认。未经监理人与发包人共同书面确认，无论该事项是否客观发生，均视为不影响工期；</w:t>
      </w:r>
    </w:p>
    <w:p w14:paraId="34EBD9A4">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hint="eastAsia" w:eastAsia="仿宋_GB2312"/>
          <w:color w:val="auto"/>
          <w:sz w:val="21"/>
          <w:szCs w:val="21"/>
          <w:highlight w:val="none"/>
          <w:lang w:eastAsia="zh-CN"/>
        </w:rPr>
        <w:t>(</w:t>
      </w:r>
      <w:r>
        <w:rPr>
          <w:rFonts w:ascii="Times New Roman" w:hAnsi="Times New Roman" w:eastAsia="仿宋_GB2312"/>
          <w:color w:val="auto"/>
          <w:sz w:val="21"/>
          <w:szCs w:val="21"/>
          <w:highlight w:val="none"/>
        </w:rPr>
        <w:t>2</w:t>
      </w:r>
      <w:r>
        <w:rPr>
          <w:rFonts w:hint="eastAsia" w:eastAsia="仿宋_GB2312"/>
          <w:color w:val="auto"/>
          <w:sz w:val="21"/>
          <w:szCs w:val="21"/>
          <w:highlight w:val="none"/>
          <w:lang w:eastAsia="zh-CN"/>
        </w:rPr>
        <w:t>)</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lang w:val="en-US" w:eastAsia="zh-CN"/>
        </w:rPr>
        <w:t>/</w:t>
      </w:r>
      <w:r>
        <w:rPr>
          <w:rFonts w:ascii="Times New Roman" w:hAnsi="Times New Roman" w:eastAsia="仿宋_GB2312"/>
          <w:color w:val="auto"/>
          <w:sz w:val="21"/>
          <w:szCs w:val="21"/>
          <w:highlight w:val="none"/>
          <w:u w:val="single"/>
        </w:rPr>
        <w:t xml:space="preserve">                                   </w:t>
      </w:r>
      <w:r>
        <w:rPr>
          <w:rFonts w:hint="eastAsia" w:eastAsia="仿宋_GB2312"/>
          <w:color w:val="auto"/>
          <w:sz w:val="21"/>
          <w:szCs w:val="21"/>
          <w:highlight w:val="none"/>
          <w:u w:val="single"/>
          <w:lang w:eastAsia="zh-CN"/>
        </w:rPr>
        <w:t>;</w:t>
      </w:r>
    </w:p>
    <w:p w14:paraId="39045679">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hint="eastAsia" w:eastAsia="仿宋_GB2312"/>
          <w:color w:val="auto"/>
          <w:sz w:val="21"/>
          <w:szCs w:val="21"/>
          <w:highlight w:val="none"/>
          <w:lang w:eastAsia="zh-CN"/>
        </w:rPr>
        <w:t>(</w:t>
      </w:r>
      <w:r>
        <w:rPr>
          <w:rFonts w:ascii="Times New Roman" w:hAnsi="Times New Roman" w:eastAsia="仿宋_GB2312"/>
          <w:color w:val="auto"/>
          <w:sz w:val="21"/>
          <w:szCs w:val="21"/>
          <w:highlight w:val="none"/>
        </w:rPr>
        <w:t>3</w:t>
      </w:r>
      <w:r>
        <w:rPr>
          <w:rFonts w:hint="eastAsia" w:eastAsia="仿宋_GB2312"/>
          <w:color w:val="auto"/>
          <w:sz w:val="21"/>
          <w:szCs w:val="21"/>
          <w:highlight w:val="none"/>
          <w:lang w:eastAsia="zh-CN"/>
        </w:rPr>
        <w:t>)</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lang w:val="en-US" w:eastAsia="zh-CN"/>
        </w:rPr>
        <w:t>/</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522A0920">
      <w:pPr>
        <w:pageBreakBefore w:val="0"/>
        <w:widowControl w:val="0"/>
        <w:kinsoku/>
        <w:wordWrap/>
        <w:overflowPunct/>
        <w:topLinePunct w:val="0"/>
        <w:bidi w:val="0"/>
        <w:adjustRightInd w:val="0"/>
        <w:snapToGrid w:val="0"/>
        <w:spacing w:line="360" w:lineRule="auto"/>
        <w:ind w:firstLine="420" w:firstLineChars="200"/>
        <w:textAlignment w:val="auto"/>
        <w:outlineLvl w:val="4"/>
        <w:rPr>
          <w:rFonts w:ascii="Times New Roman" w:hAnsi="Times New Roman" w:eastAsia="黑体"/>
          <w:color w:val="auto"/>
          <w:sz w:val="21"/>
          <w:szCs w:val="21"/>
          <w:highlight w:val="none"/>
        </w:rPr>
      </w:pPr>
      <w:bookmarkStart w:id="1444" w:name="_Toc11648"/>
      <w:r>
        <w:rPr>
          <w:rFonts w:ascii="Times New Roman" w:hAnsi="Times New Roman" w:eastAsia="黑体"/>
          <w:color w:val="auto"/>
          <w:sz w:val="21"/>
          <w:szCs w:val="21"/>
          <w:highlight w:val="none"/>
        </w:rPr>
        <w:t>7.9 提前竣工的奖励</w:t>
      </w:r>
      <w:bookmarkEnd w:id="1444"/>
    </w:p>
    <w:p w14:paraId="6D7B4955">
      <w:pPr>
        <w:pageBreakBefore w:val="0"/>
        <w:widowControl w:val="0"/>
        <w:kinsoku/>
        <w:wordWrap/>
        <w:overflowPunct/>
        <w:topLinePunct w:val="0"/>
        <w:bidi w:val="0"/>
        <w:adjustRightInd w:val="0"/>
        <w:snapToGrid w:val="0"/>
        <w:spacing w:line="360" w:lineRule="auto"/>
        <w:ind w:firstLine="420" w:firstLineChars="200"/>
        <w:jc w:val="left"/>
        <w:textAlignment w:val="auto"/>
        <w:rPr>
          <w:rFonts w:hint="eastAsia"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7.9.2提前竣工的奖励：</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 xml:space="preserve">    无     </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6B67F8B8">
      <w:pPr>
        <w:pStyle w:val="5"/>
        <w:pageBreakBefore w:val="0"/>
        <w:widowControl w:val="0"/>
        <w:kinsoku/>
        <w:wordWrap/>
        <w:overflowPunct/>
        <w:topLinePunct w:val="0"/>
        <w:bidi w:val="0"/>
        <w:adjustRightInd w:val="0"/>
        <w:snapToGrid w:val="0"/>
        <w:spacing w:before="0" w:after="0" w:line="360" w:lineRule="auto"/>
        <w:textAlignment w:val="auto"/>
        <w:rPr>
          <w:rFonts w:eastAsia="黑体"/>
          <w:b w:val="0"/>
          <w:color w:val="auto"/>
          <w:sz w:val="21"/>
          <w:szCs w:val="21"/>
          <w:highlight w:val="none"/>
        </w:rPr>
      </w:pPr>
      <w:bookmarkStart w:id="1445" w:name="_Toc351203640"/>
      <w:bookmarkStart w:id="1446" w:name="_Toc13489"/>
      <w:bookmarkStart w:id="1447" w:name="_Toc6811"/>
      <w:r>
        <w:rPr>
          <w:rFonts w:eastAsia="黑体"/>
          <w:b w:val="0"/>
          <w:color w:val="auto"/>
          <w:sz w:val="21"/>
          <w:szCs w:val="21"/>
          <w:highlight w:val="none"/>
        </w:rPr>
        <w:t>8. 材料与设备</w:t>
      </w:r>
      <w:bookmarkEnd w:id="1445"/>
      <w:bookmarkEnd w:id="1446"/>
      <w:bookmarkEnd w:id="1447"/>
    </w:p>
    <w:bookmarkEnd w:id="1374"/>
    <w:bookmarkEnd w:id="1375"/>
    <w:bookmarkEnd w:id="1376"/>
    <w:bookmarkEnd w:id="1377"/>
    <w:bookmarkEnd w:id="1378"/>
    <w:bookmarkEnd w:id="1379"/>
    <w:bookmarkEnd w:id="1380"/>
    <w:bookmarkEnd w:id="1381"/>
    <w:bookmarkEnd w:id="1382"/>
    <w:bookmarkEnd w:id="1383"/>
    <w:p w14:paraId="14FD8CF6">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黑体"/>
          <w:color w:val="auto"/>
          <w:sz w:val="21"/>
          <w:szCs w:val="21"/>
          <w:highlight w:val="none"/>
        </w:rPr>
      </w:pPr>
      <w:r>
        <w:rPr>
          <w:rFonts w:ascii="Times New Roman" w:hAnsi="Times New Roman" w:eastAsia="黑体"/>
          <w:color w:val="auto"/>
          <w:sz w:val="21"/>
          <w:szCs w:val="21"/>
          <w:highlight w:val="none"/>
        </w:rPr>
        <w:t>8</w:t>
      </w:r>
      <w:bookmarkStart w:id="1448" w:name="_Toc296346668"/>
      <w:bookmarkStart w:id="1449" w:name="_Toc312677493"/>
      <w:bookmarkStart w:id="1450" w:name="_Toc300934979"/>
      <w:bookmarkStart w:id="1451" w:name="_Toc296890995"/>
      <w:bookmarkStart w:id="1452" w:name="_Toc304295556"/>
      <w:bookmarkStart w:id="1453" w:name="_Toc292559877"/>
      <w:bookmarkStart w:id="1454" w:name="_Toc303539136"/>
      <w:bookmarkStart w:id="1455" w:name="_Toc296891207"/>
      <w:bookmarkStart w:id="1456" w:name="_Toc297216186"/>
      <w:bookmarkStart w:id="1457" w:name="_Toc297123527"/>
      <w:bookmarkStart w:id="1458" w:name="_Toc297120467"/>
      <w:bookmarkStart w:id="1459" w:name="_Toc297048353"/>
      <w:bookmarkStart w:id="1460" w:name="_Toc296347166"/>
      <w:bookmarkStart w:id="1461" w:name="_Toc280868654"/>
      <w:bookmarkStart w:id="1462" w:name="_Toc312678019"/>
      <w:bookmarkStart w:id="1463" w:name="_Toc296503167"/>
      <w:bookmarkStart w:id="1464" w:name="_Toc292559372"/>
      <w:bookmarkStart w:id="1465" w:name="_Toc296944506"/>
      <w:bookmarkStart w:id="1466" w:name="_Toc280868655"/>
      <w:bookmarkStart w:id="1467" w:name="_Toc280868656"/>
      <w:bookmarkStart w:id="1468" w:name="_Toc267251424"/>
      <w:r>
        <w:rPr>
          <w:rFonts w:ascii="Times New Roman" w:hAnsi="Times New Roman" w:eastAsia="黑体"/>
          <w:color w:val="auto"/>
          <w:sz w:val="21"/>
          <w:szCs w:val="21"/>
          <w:highlight w:val="none"/>
        </w:rPr>
        <w:t>.4材料与工程设备的保管与使用</w:t>
      </w:r>
    </w:p>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p w14:paraId="4DE8ACCD">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8</w:t>
      </w:r>
      <w:bookmarkStart w:id="1469" w:name="_Toc292559878"/>
      <w:bookmarkStart w:id="1470" w:name="_Toc292559373"/>
      <w:bookmarkStart w:id="1471" w:name="_Toc296890996"/>
      <w:bookmarkStart w:id="1472" w:name="_Toc312678020"/>
      <w:bookmarkStart w:id="1473" w:name="_Toc296503168"/>
      <w:bookmarkStart w:id="1474" w:name="_Toc297120468"/>
      <w:bookmarkStart w:id="1475" w:name="_Toc304295557"/>
      <w:bookmarkStart w:id="1476" w:name="_Toc296944507"/>
      <w:bookmarkStart w:id="1477" w:name="_Toc296891208"/>
      <w:bookmarkStart w:id="1478" w:name="_Toc312677494"/>
      <w:bookmarkStart w:id="1479" w:name="_Toc297216187"/>
      <w:bookmarkStart w:id="1480" w:name="_Toc318581173"/>
      <w:bookmarkStart w:id="1481" w:name="_Toc296347167"/>
      <w:bookmarkStart w:id="1482" w:name="_Toc297123528"/>
      <w:bookmarkStart w:id="1483" w:name="_Toc296346669"/>
      <w:bookmarkStart w:id="1484" w:name="_Toc303539137"/>
      <w:bookmarkStart w:id="1485" w:name="_Toc300934980"/>
      <w:bookmarkStart w:id="1486" w:name="_Toc297048354"/>
      <w:r>
        <w:rPr>
          <w:rFonts w:ascii="Times New Roman" w:hAnsi="Times New Roman" w:eastAsia="仿宋_GB2312"/>
          <w:color w:val="auto"/>
          <w:sz w:val="21"/>
          <w:szCs w:val="21"/>
          <w:highlight w:val="none"/>
        </w:rPr>
        <w:t>.4.1发包人供应的材料设备的保管费用的承担：</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费用由承包人承担</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bookmarkEnd w:id="1469"/>
      <w:bookmarkEnd w:id="1470"/>
    </w:p>
    <w:p w14:paraId="4373A9B1">
      <w:pPr>
        <w:pageBreakBefore w:val="0"/>
        <w:widowControl w:val="0"/>
        <w:kinsoku/>
        <w:wordWrap/>
        <w:overflowPunct/>
        <w:topLinePunct w:val="0"/>
        <w:bidi w:val="0"/>
        <w:adjustRightInd w:val="0"/>
        <w:snapToGrid w:val="0"/>
        <w:spacing w:line="360" w:lineRule="auto"/>
        <w:ind w:firstLine="420" w:firstLineChars="200"/>
        <w:textAlignment w:val="auto"/>
        <w:outlineLvl w:val="4"/>
        <w:rPr>
          <w:rFonts w:ascii="Times New Roman" w:hAnsi="Times New Roman" w:eastAsia="黑体"/>
          <w:color w:val="auto"/>
          <w:sz w:val="21"/>
          <w:szCs w:val="21"/>
          <w:highlight w:val="none"/>
        </w:rPr>
      </w:pPr>
      <w:bookmarkStart w:id="1487" w:name="_Toc5681"/>
      <w:r>
        <w:rPr>
          <w:rFonts w:ascii="Times New Roman" w:hAnsi="Times New Roman" w:eastAsia="黑体"/>
          <w:color w:val="auto"/>
          <w:sz w:val="21"/>
          <w:szCs w:val="21"/>
          <w:highlight w:val="none"/>
        </w:rPr>
        <w:t>8.6 样品</w:t>
      </w:r>
      <w:bookmarkEnd w:id="1487"/>
    </w:p>
    <w:p w14:paraId="6BEA1316">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8.6.1样品的报送</w:t>
      </w:r>
      <w:r>
        <w:rPr>
          <w:rFonts w:hint="eastAsia" w:ascii="Times New Roman" w:hAnsi="Times New Roman" w:eastAsia="仿宋_GB2312"/>
          <w:color w:val="auto"/>
          <w:kern w:val="0"/>
          <w:sz w:val="21"/>
          <w:szCs w:val="21"/>
          <w:highlight w:val="none"/>
        </w:rPr>
        <w:t>与封存</w:t>
      </w:r>
    </w:p>
    <w:p w14:paraId="4B75B348">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kern w:val="0"/>
          <w:sz w:val="21"/>
          <w:szCs w:val="21"/>
          <w:highlight w:val="none"/>
        </w:rPr>
        <w:t>需要承包人报送样品的材料或工程设备，样品的种类、名称、规格、数量要求：</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合同签订7日内，承包人向发包人提供材料、设备订货、加工、到货等具体采购计划。实施采购前，承包人严格按发包人审查明确的名称、规格、质量等级要求进行采购，并提前向</w:t>
      </w:r>
      <w:r>
        <w:rPr>
          <w:rFonts w:hint="eastAsia" w:eastAsia="仿宋_GB2312" w:cs="Times New Roman"/>
          <w:color w:val="auto"/>
          <w:kern w:val="0"/>
          <w:sz w:val="21"/>
          <w:szCs w:val="21"/>
          <w:highlight w:val="none"/>
          <w:u w:val="single"/>
          <w:lang w:val="en-US" w:eastAsia="zh-CN"/>
        </w:rPr>
        <w:t>发包</w:t>
      </w:r>
      <w:r>
        <w:rPr>
          <w:rFonts w:hint="eastAsia" w:ascii="Times New Roman" w:hAnsi="Times New Roman" w:eastAsia="仿宋_GB2312" w:cs="Times New Roman"/>
          <w:color w:val="auto"/>
          <w:kern w:val="0"/>
          <w:sz w:val="21"/>
          <w:szCs w:val="21"/>
          <w:highlight w:val="none"/>
          <w:u w:val="single"/>
          <w:lang w:val="en-US" w:eastAsia="zh-CN"/>
        </w:rPr>
        <w:t>人提供主要材料、设备采购计划和样品进场，主要材料经验收后方能用于本项目</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743ADFAA">
      <w:pPr>
        <w:pageBreakBefore w:val="0"/>
        <w:widowControl w:val="0"/>
        <w:kinsoku/>
        <w:wordWrap/>
        <w:overflowPunct/>
        <w:topLinePunct w:val="0"/>
        <w:bidi w:val="0"/>
        <w:adjustRightInd w:val="0"/>
        <w:snapToGrid w:val="0"/>
        <w:spacing w:line="360" w:lineRule="auto"/>
        <w:ind w:firstLine="420" w:firstLineChars="200"/>
        <w:textAlignment w:val="auto"/>
        <w:outlineLvl w:val="4"/>
        <w:rPr>
          <w:rFonts w:ascii="Times New Roman" w:hAnsi="Times New Roman" w:eastAsia="黑体"/>
          <w:color w:val="auto"/>
          <w:sz w:val="21"/>
          <w:szCs w:val="21"/>
          <w:highlight w:val="none"/>
        </w:rPr>
      </w:pPr>
      <w:bookmarkStart w:id="1488" w:name="_Toc877"/>
      <w:r>
        <w:rPr>
          <w:rFonts w:ascii="Times New Roman" w:hAnsi="Times New Roman" w:eastAsia="黑体"/>
          <w:color w:val="auto"/>
          <w:sz w:val="21"/>
          <w:szCs w:val="21"/>
          <w:highlight w:val="none"/>
        </w:rPr>
        <w:t>8.8 施工设备和临时设施</w:t>
      </w:r>
      <w:bookmarkEnd w:id="1488"/>
    </w:p>
    <w:p w14:paraId="6BD3AFEF">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8.8.1 承包人提供的施工设备和临时设施</w:t>
      </w:r>
    </w:p>
    <w:p w14:paraId="07886BE1">
      <w:pPr>
        <w:pageBreakBefore w:val="0"/>
        <w:widowControl w:val="0"/>
        <w:kinsoku/>
        <w:wordWrap/>
        <w:overflowPunct/>
        <w:topLinePunct w:val="0"/>
        <w:autoSpaceDE w:val="0"/>
        <w:autoSpaceDN w:val="0"/>
        <w:bidi w:val="0"/>
        <w:adjustRightInd w:val="0"/>
        <w:snapToGrid w:val="0"/>
        <w:spacing w:line="360" w:lineRule="auto"/>
        <w:ind w:left="638" w:leftChars="304" w:firstLine="0" w:firstLineChars="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关于修建临时设施费用承担的约定：</w:t>
      </w:r>
      <w:r>
        <w:rPr>
          <w:rFonts w:hint="eastAsia" w:ascii="Times New Roman" w:hAnsi="Times New Roman" w:eastAsia="仿宋_GB2312" w:cs="Times New Roman"/>
          <w:color w:val="auto"/>
          <w:kern w:val="0"/>
          <w:sz w:val="21"/>
          <w:szCs w:val="21"/>
          <w:highlight w:val="none"/>
          <w:u w:val="single"/>
          <w:lang w:val="en-US" w:eastAsia="zh-CN"/>
        </w:rPr>
        <w:t xml:space="preserve">执行通用合同条款 </w:t>
      </w:r>
      <w:r>
        <w:rPr>
          <w:rFonts w:ascii="Times New Roman" w:hAnsi="Times New Roman" w:eastAsia="仿宋_GB2312"/>
          <w:color w:val="auto"/>
          <w:sz w:val="21"/>
          <w:szCs w:val="21"/>
          <w:highlight w:val="none"/>
        </w:rPr>
        <w:t>。</w:t>
      </w:r>
    </w:p>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p w14:paraId="642CEEE6">
      <w:pPr>
        <w:pStyle w:val="5"/>
        <w:pageBreakBefore w:val="0"/>
        <w:widowControl w:val="0"/>
        <w:kinsoku/>
        <w:wordWrap/>
        <w:overflowPunct/>
        <w:topLinePunct w:val="0"/>
        <w:bidi w:val="0"/>
        <w:adjustRightInd w:val="0"/>
        <w:snapToGrid w:val="0"/>
        <w:spacing w:before="0" w:after="0" w:line="360" w:lineRule="auto"/>
        <w:textAlignment w:val="auto"/>
        <w:rPr>
          <w:rFonts w:eastAsia="黑体"/>
          <w:b w:val="0"/>
          <w:color w:val="auto"/>
          <w:sz w:val="21"/>
          <w:szCs w:val="21"/>
          <w:highlight w:val="none"/>
        </w:rPr>
      </w:pPr>
      <w:bookmarkStart w:id="1489" w:name="_Toc351203641"/>
      <w:bookmarkStart w:id="1490" w:name="_Toc13291"/>
      <w:bookmarkStart w:id="1491" w:name="_Toc25010"/>
      <w:r>
        <w:rPr>
          <w:rFonts w:eastAsia="黑体"/>
          <w:b w:val="0"/>
          <w:color w:val="auto"/>
          <w:sz w:val="21"/>
          <w:szCs w:val="21"/>
          <w:highlight w:val="none"/>
        </w:rPr>
        <w:t>9</w:t>
      </w:r>
      <w:bookmarkEnd w:id="1466"/>
      <w:bookmarkEnd w:id="1467"/>
      <w:bookmarkEnd w:id="1468"/>
      <w:bookmarkStart w:id="1492" w:name="_Toc312678021"/>
      <w:bookmarkStart w:id="1493" w:name="_Toc312677495"/>
      <w:bookmarkStart w:id="1494" w:name="_Toc303539139"/>
      <w:bookmarkStart w:id="1495" w:name="_Toc300934982"/>
      <w:bookmarkStart w:id="1496" w:name="_Toc304295559"/>
      <w:bookmarkStart w:id="1497" w:name="_Toc297123533"/>
      <w:bookmarkStart w:id="1498" w:name="_Toc297216192"/>
      <w:bookmarkStart w:id="1499" w:name="_Toc292559378"/>
      <w:bookmarkStart w:id="1500" w:name="_Toc297120473"/>
      <w:bookmarkStart w:id="1501" w:name="_Toc267251428"/>
      <w:bookmarkStart w:id="1502" w:name="_Toc267251427"/>
      <w:bookmarkStart w:id="1503" w:name="_Toc296503173"/>
      <w:bookmarkStart w:id="1504" w:name="_Toc296891001"/>
      <w:bookmarkStart w:id="1505" w:name="_Toc292559883"/>
      <w:bookmarkStart w:id="1506" w:name="_Toc297048359"/>
      <w:bookmarkStart w:id="1507" w:name="_Toc296944512"/>
      <w:bookmarkStart w:id="1508" w:name="_Toc296891213"/>
      <w:bookmarkStart w:id="1509" w:name="_Toc296347172"/>
      <w:bookmarkStart w:id="1510" w:name="_Toc296346674"/>
      <w:r>
        <w:rPr>
          <w:rFonts w:eastAsia="黑体"/>
          <w:b w:val="0"/>
          <w:color w:val="auto"/>
          <w:sz w:val="21"/>
          <w:szCs w:val="21"/>
          <w:highlight w:val="none"/>
        </w:rPr>
        <w:t>. 试验与检验</w:t>
      </w:r>
      <w:bookmarkEnd w:id="1489"/>
      <w:bookmarkEnd w:id="1490"/>
      <w:bookmarkEnd w:id="1491"/>
    </w:p>
    <w:bookmarkEnd w:id="1492"/>
    <w:bookmarkEnd w:id="1493"/>
    <w:bookmarkEnd w:id="1494"/>
    <w:bookmarkEnd w:id="1495"/>
    <w:bookmarkEnd w:id="1496"/>
    <w:bookmarkEnd w:id="1497"/>
    <w:bookmarkEnd w:id="1498"/>
    <w:p w14:paraId="6AE6C3C0">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黑体"/>
          <w:color w:val="auto"/>
          <w:sz w:val="21"/>
          <w:szCs w:val="21"/>
          <w:highlight w:val="none"/>
        </w:rPr>
      </w:pPr>
      <w:r>
        <w:rPr>
          <w:rFonts w:ascii="Times New Roman" w:hAnsi="Times New Roman" w:eastAsia="黑体"/>
          <w:color w:val="auto"/>
          <w:sz w:val="21"/>
          <w:szCs w:val="21"/>
          <w:highlight w:val="none"/>
        </w:rPr>
        <w:t>9</w:t>
      </w:r>
      <w:bookmarkStart w:id="1511" w:name="_Toc297216193"/>
      <w:bookmarkStart w:id="1512" w:name="_Toc312678022"/>
      <w:bookmarkStart w:id="1513" w:name="_Toc304295560"/>
      <w:bookmarkStart w:id="1514" w:name="_Toc300934983"/>
      <w:bookmarkStart w:id="1515" w:name="_Toc312677496"/>
      <w:bookmarkStart w:id="1516" w:name="_Toc303539140"/>
      <w:bookmarkStart w:id="1517" w:name="_Toc297123534"/>
      <w:r>
        <w:rPr>
          <w:rFonts w:ascii="Times New Roman" w:hAnsi="Times New Roman" w:eastAsia="黑体"/>
          <w:color w:val="auto"/>
          <w:sz w:val="21"/>
          <w:szCs w:val="21"/>
          <w:highlight w:val="none"/>
        </w:rPr>
        <w:t>.1试验设备与试验人员</w:t>
      </w:r>
    </w:p>
    <w:bookmarkEnd w:id="1511"/>
    <w:bookmarkEnd w:id="1512"/>
    <w:bookmarkEnd w:id="1513"/>
    <w:bookmarkEnd w:id="1514"/>
    <w:bookmarkEnd w:id="1515"/>
    <w:bookmarkEnd w:id="1516"/>
    <w:bookmarkEnd w:id="1517"/>
    <w:p w14:paraId="3EEA9126">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9</w:t>
      </w:r>
      <w:bookmarkStart w:id="1518" w:name="_Toc303539141"/>
      <w:bookmarkStart w:id="1519" w:name="_Toc297216194"/>
      <w:bookmarkStart w:id="1520" w:name="_Toc312678023"/>
      <w:bookmarkStart w:id="1521" w:name="_Toc300934984"/>
      <w:bookmarkStart w:id="1522" w:name="_Toc297123535"/>
      <w:bookmarkStart w:id="1523" w:name="_Toc304295561"/>
      <w:bookmarkStart w:id="1524" w:name="_Toc312677497"/>
      <w:bookmarkStart w:id="1525" w:name="_Toc318581174"/>
      <w:r>
        <w:rPr>
          <w:rFonts w:ascii="Times New Roman" w:hAnsi="Times New Roman" w:eastAsia="仿宋_GB2312"/>
          <w:color w:val="auto"/>
          <w:sz w:val="21"/>
          <w:szCs w:val="21"/>
          <w:highlight w:val="none"/>
        </w:rPr>
        <w:t>.1.2 试验设备</w:t>
      </w:r>
    </w:p>
    <w:p w14:paraId="00A12CB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施工现场需要配置的试验场所：</w:t>
      </w:r>
      <w:bookmarkEnd w:id="1518"/>
      <w:bookmarkEnd w:id="1519"/>
      <w:bookmarkEnd w:id="1520"/>
      <w:bookmarkEnd w:id="1521"/>
      <w:bookmarkEnd w:id="1522"/>
      <w:bookmarkEnd w:id="1523"/>
      <w:bookmarkEnd w:id="1524"/>
      <w:bookmarkStart w:id="1526" w:name="_Toc312677498"/>
      <w:bookmarkStart w:id="1527" w:name="_Toc304295562"/>
      <w:bookmarkStart w:id="1528" w:name="_Toc312678024"/>
      <w:bookmarkStart w:id="1529" w:name="_Toc303539142"/>
      <w:bookmarkStart w:id="1530" w:name="_Toc300934985"/>
      <w:bookmarkStart w:id="1531" w:name="_Toc297216195"/>
      <w:bookmarkStart w:id="1532" w:name="_Toc297123536"/>
      <w:r>
        <w:rPr>
          <w:rFonts w:hint="eastAsia" w:ascii="Times New Roman" w:hAnsi="Times New Roman" w:eastAsia="仿宋_GB2312" w:cs="Times New Roman"/>
          <w:color w:val="auto"/>
          <w:kern w:val="0"/>
          <w:sz w:val="21"/>
          <w:szCs w:val="21"/>
          <w:highlight w:val="none"/>
          <w:u w:val="single"/>
          <w:lang w:val="en-US" w:eastAsia="zh-CN"/>
        </w:rPr>
        <w:t xml:space="preserve">按相关规定执行并符合发包人的合规要求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r>
        <w:rPr>
          <w:rFonts w:hint="eastAsia" w:ascii="Times New Roman" w:hAnsi="Times New Roman" w:eastAsia="仿宋_GB2312"/>
          <w:color w:val="auto"/>
          <w:sz w:val="21"/>
          <w:szCs w:val="21"/>
          <w:highlight w:val="none"/>
        </w:rPr>
        <w:t xml:space="preserve"> </w:t>
      </w:r>
    </w:p>
    <w:p w14:paraId="1C0D4DA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施工现场需要配备的试验设备：</w:t>
      </w:r>
      <w:r>
        <w:rPr>
          <w:rFonts w:hint="eastAsia" w:ascii="Times New Roman" w:hAnsi="Times New Roman" w:eastAsia="仿宋_GB2312" w:cs="Times New Roman"/>
          <w:color w:val="auto"/>
          <w:kern w:val="0"/>
          <w:sz w:val="21"/>
          <w:szCs w:val="21"/>
          <w:highlight w:val="none"/>
          <w:u w:val="single"/>
          <w:lang w:val="en-US" w:eastAsia="zh-CN"/>
        </w:rPr>
        <w:t xml:space="preserve">按相关规定执行并符合发包人的合规要求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7CA3D4B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施工现场需要具备的其他试验条件：</w:t>
      </w:r>
      <w:r>
        <w:rPr>
          <w:rFonts w:hint="eastAsia" w:ascii="Times New Roman" w:hAnsi="Times New Roman" w:eastAsia="仿宋_GB2312" w:cs="Times New Roman"/>
          <w:color w:val="auto"/>
          <w:kern w:val="0"/>
          <w:sz w:val="21"/>
          <w:szCs w:val="21"/>
          <w:highlight w:val="none"/>
          <w:u w:val="single"/>
          <w:lang w:val="en-US" w:eastAsia="zh-CN"/>
        </w:rPr>
        <w:t>按相关规定执行并符合发包人的合规要求</w:t>
      </w:r>
      <w:r>
        <w:rPr>
          <w:rFonts w:hint="eastAsia" w:eastAsia="仿宋_GB2312" w:cs="Times New Roman"/>
          <w:color w:val="auto"/>
          <w:kern w:val="0"/>
          <w:sz w:val="21"/>
          <w:szCs w:val="21"/>
          <w:highlight w:val="none"/>
          <w:u w:val="single"/>
          <w:lang w:val="en-US" w:eastAsia="zh-CN"/>
        </w:rPr>
        <w:t>。建设单位委托检测机构开展建设工程质量检测活动，施工人员应当在发包人或者监理人的见证人员监督下现场取样</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0B4EC1EC">
      <w:pPr>
        <w:pageBreakBefore w:val="0"/>
        <w:widowControl w:val="0"/>
        <w:kinsoku/>
        <w:wordWrap/>
        <w:overflowPunct/>
        <w:topLinePunct w:val="0"/>
        <w:bidi w:val="0"/>
        <w:adjustRightInd w:val="0"/>
        <w:snapToGrid w:val="0"/>
        <w:spacing w:line="360" w:lineRule="auto"/>
        <w:ind w:firstLine="420" w:firstLineChars="200"/>
        <w:textAlignment w:val="auto"/>
        <w:outlineLvl w:val="4"/>
        <w:rPr>
          <w:rFonts w:ascii="Times New Roman" w:hAnsi="Times New Roman" w:eastAsia="黑体"/>
          <w:color w:val="auto"/>
          <w:sz w:val="21"/>
          <w:szCs w:val="21"/>
          <w:highlight w:val="none"/>
        </w:rPr>
      </w:pPr>
      <w:bookmarkStart w:id="1533" w:name="_Toc873"/>
      <w:r>
        <w:rPr>
          <w:rFonts w:ascii="Times New Roman" w:hAnsi="Times New Roman" w:eastAsia="黑体"/>
          <w:color w:val="auto"/>
          <w:sz w:val="21"/>
          <w:szCs w:val="21"/>
          <w:highlight w:val="none"/>
        </w:rPr>
        <w:t>9.4 现场工艺试验</w:t>
      </w:r>
      <w:bookmarkEnd w:id="1533"/>
      <w:r>
        <w:rPr>
          <w:rFonts w:hint="eastAsia" w:ascii="Times New Roman" w:hAnsi="Times New Roman" w:eastAsia="黑体"/>
          <w:color w:val="auto"/>
          <w:sz w:val="21"/>
          <w:szCs w:val="21"/>
          <w:highlight w:val="none"/>
        </w:rPr>
        <w:t xml:space="preserve"> </w:t>
      </w:r>
    </w:p>
    <w:p w14:paraId="6ABCA376">
      <w:pPr>
        <w:pageBreakBefore w:val="0"/>
        <w:widowControl w:val="0"/>
        <w:kinsoku/>
        <w:wordWrap/>
        <w:overflowPunct/>
        <w:topLinePunct w:val="0"/>
        <w:bidi w:val="0"/>
        <w:adjustRightInd w:val="0"/>
        <w:snapToGrid w:val="0"/>
        <w:spacing w:line="360" w:lineRule="auto"/>
        <w:ind w:firstLine="420" w:firstLineChars="200"/>
        <w:jc w:val="left"/>
        <w:textAlignment w:val="auto"/>
        <w:rPr>
          <w:rFonts w:hint="eastAsia"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现场工艺试验的有关约定：</w:t>
      </w:r>
      <w:r>
        <w:rPr>
          <w:rFonts w:hint="eastAsia" w:ascii="Times New Roman" w:hAnsi="Times New Roman" w:eastAsia="仿宋_GB2312" w:cs="Times New Roman"/>
          <w:color w:val="auto"/>
          <w:kern w:val="0"/>
          <w:sz w:val="21"/>
          <w:szCs w:val="21"/>
          <w:highlight w:val="none"/>
          <w:u w:val="single"/>
          <w:lang w:val="en-US" w:eastAsia="zh-CN"/>
        </w:rPr>
        <w:t>执行通用合同条款</w:t>
      </w:r>
      <w:r>
        <w:rPr>
          <w:rFonts w:ascii="Times New Roman" w:hAnsi="Times New Roman" w:eastAsia="仿宋_GB2312"/>
          <w:color w:val="auto"/>
          <w:sz w:val="21"/>
          <w:szCs w:val="21"/>
          <w:highlight w:val="none"/>
        </w:rPr>
        <w:t>。</w:t>
      </w:r>
    </w:p>
    <w:bookmarkEnd w:id="1525"/>
    <w:bookmarkEnd w:id="1526"/>
    <w:bookmarkEnd w:id="1527"/>
    <w:bookmarkEnd w:id="1528"/>
    <w:bookmarkEnd w:id="1529"/>
    <w:bookmarkEnd w:id="1530"/>
    <w:bookmarkEnd w:id="1531"/>
    <w:bookmarkEnd w:id="1532"/>
    <w:p w14:paraId="4A519E69">
      <w:pPr>
        <w:pStyle w:val="5"/>
        <w:pageBreakBefore w:val="0"/>
        <w:widowControl w:val="0"/>
        <w:kinsoku/>
        <w:wordWrap/>
        <w:overflowPunct/>
        <w:topLinePunct w:val="0"/>
        <w:bidi w:val="0"/>
        <w:adjustRightInd w:val="0"/>
        <w:snapToGrid w:val="0"/>
        <w:spacing w:before="0" w:after="0" w:line="360" w:lineRule="auto"/>
        <w:textAlignment w:val="auto"/>
        <w:rPr>
          <w:rFonts w:eastAsia="黑体"/>
          <w:b w:val="0"/>
          <w:color w:val="auto"/>
          <w:sz w:val="21"/>
          <w:szCs w:val="21"/>
          <w:highlight w:val="none"/>
        </w:rPr>
      </w:pPr>
      <w:bookmarkStart w:id="1534" w:name="_Toc351203642"/>
      <w:bookmarkStart w:id="1535" w:name="_Toc7523"/>
      <w:bookmarkStart w:id="1536" w:name="_Toc4480"/>
      <w:r>
        <w:rPr>
          <w:rFonts w:eastAsia="黑体"/>
          <w:b w:val="0"/>
          <w:color w:val="auto"/>
          <w:sz w:val="21"/>
          <w:szCs w:val="21"/>
          <w:highlight w:val="none"/>
        </w:rPr>
        <w:t>1</w:t>
      </w:r>
      <w:bookmarkEnd w:id="1499"/>
      <w:bookmarkEnd w:id="1500"/>
      <w:bookmarkEnd w:id="1501"/>
      <w:bookmarkEnd w:id="1502"/>
      <w:bookmarkEnd w:id="1503"/>
      <w:bookmarkEnd w:id="1504"/>
      <w:bookmarkEnd w:id="1505"/>
      <w:bookmarkEnd w:id="1506"/>
      <w:bookmarkEnd w:id="1507"/>
      <w:bookmarkEnd w:id="1508"/>
      <w:bookmarkEnd w:id="1509"/>
      <w:bookmarkEnd w:id="1510"/>
      <w:bookmarkStart w:id="1537" w:name="_Toc292559903"/>
      <w:bookmarkStart w:id="1538" w:name="_Toc296891021"/>
      <w:bookmarkStart w:id="1539" w:name="_Toc296503193"/>
      <w:bookmarkStart w:id="1540" w:name="_Toc292559398"/>
      <w:bookmarkStart w:id="1541" w:name="_Toc296944532"/>
      <w:bookmarkStart w:id="1542" w:name="_Toc296347192"/>
      <w:bookmarkStart w:id="1543" w:name="_Toc297216199"/>
      <w:bookmarkStart w:id="1544" w:name="_Toc300934989"/>
      <w:bookmarkStart w:id="1545" w:name="_Toc296346694"/>
      <w:bookmarkStart w:id="1546" w:name="_Toc297048379"/>
      <w:bookmarkStart w:id="1547" w:name="_Toc304295566"/>
      <w:bookmarkStart w:id="1548" w:name="_Toc296891233"/>
      <w:bookmarkStart w:id="1549" w:name="_Toc303539146"/>
      <w:bookmarkStart w:id="1550" w:name="_Toc297123540"/>
      <w:bookmarkStart w:id="1551" w:name="_Toc297120493"/>
      <w:bookmarkStart w:id="1552" w:name="_Toc312677499"/>
      <w:bookmarkStart w:id="1553" w:name="_Toc312678025"/>
      <w:bookmarkStart w:id="1554" w:name="_Toc267251433"/>
      <w:bookmarkStart w:id="1555" w:name="_Toc267251441"/>
      <w:bookmarkStart w:id="1556" w:name="_Toc267251439"/>
      <w:bookmarkStart w:id="1557" w:name="_Toc267251437"/>
      <w:bookmarkStart w:id="1558" w:name="_Toc267251435"/>
      <w:bookmarkStart w:id="1559" w:name="_Toc267251440"/>
      <w:bookmarkStart w:id="1560" w:name="_Toc267251442"/>
      <w:r>
        <w:rPr>
          <w:rFonts w:eastAsia="黑体"/>
          <w:b w:val="0"/>
          <w:color w:val="auto"/>
          <w:sz w:val="21"/>
          <w:szCs w:val="21"/>
          <w:highlight w:val="none"/>
        </w:rPr>
        <w:t>0. 变更</w:t>
      </w:r>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p>
    <w:bookmarkEnd w:id="1552"/>
    <w:bookmarkEnd w:id="1553"/>
    <w:p w14:paraId="626226C3">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黑体"/>
          <w:color w:val="auto"/>
          <w:sz w:val="21"/>
          <w:szCs w:val="21"/>
          <w:highlight w:val="none"/>
        </w:rPr>
      </w:pPr>
      <w:r>
        <w:rPr>
          <w:rFonts w:ascii="Times New Roman" w:hAnsi="Times New Roman" w:eastAsia="黑体"/>
          <w:color w:val="auto"/>
          <w:sz w:val="21"/>
          <w:szCs w:val="21"/>
          <w:highlight w:val="none"/>
        </w:rPr>
        <w:t>1</w:t>
      </w:r>
      <w:bookmarkStart w:id="1561" w:name="_Toc292559399"/>
      <w:bookmarkStart w:id="1562" w:name="_Toc296503194"/>
      <w:bookmarkStart w:id="1563" w:name="_Toc297048380"/>
      <w:bookmarkStart w:id="1564" w:name="_Toc303539147"/>
      <w:bookmarkStart w:id="1565" w:name="_Toc292559904"/>
      <w:bookmarkStart w:id="1566" w:name="_Toc300934990"/>
      <w:bookmarkStart w:id="1567" w:name="_Toc296891022"/>
      <w:bookmarkStart w:id="1568" w:name="_Toc296944533"/>
      <w:bookmarkStart w:id="1569" w:name="_Toc312678026"/>
      <w:bookmarkStart w:id="1570" w:name="_Toc304295567"/>
      <w:bookmarkStart w:id="1571" w:name="_Toc297216200"/>
      <w:bookmarkStart w:id="1572" w:name="_Toc296346695"/>
      <w:bookmarkStart w:id="1573" w:name="_Toc312677500"/>
      <w:bookmarkStart w:id="1574" w:name="_Toc296891234"/>
      <w:bookmarkStart w:id="1575" w:name="_Toc297123541"/>
      <w:bookmarkStart w:id="1576" w:name="_Toc296347193"/>
      <w:bookmarkStart w:id="1577" w:name="_Toc297120494"/>
      <w:r>
        <w:rPr>
          <w:rFonts w:ascii="Times New Roman" w:hAnsi="Times New Roman" w:eastAsia="黑体"/>
          <w:color w:val="auto"/>
          <w:sz w:val="21"/>
          <w:szCs w:val="21"/>
          <w:highlight w:val="none"/>
        </w:rPr>
        <w:t>0.1变更的范围</w:t>
      </w:r>
    </w:p>
    <w:p w14:paraId="19B89E4C">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关于变更的范围的约定：</w:t>
      </w:r>
      <w:r>
        <w:rPr>
          <w:rFonts w:ascii="Times New Roman" w:hAnsi="Times New Roman" w:eastAsia="仿宋_GB2312"/>
          <w:color w:val="auto"/>
          <w:sz w:val="21"/>
          <w:szCs w:val="21"/>
          <w:highlight w:val="none"/>
          <w:u w:val="single"/>
        </w:rPr>
        <w:t xml:space="preserve"> </w:t>
      </w:r>
      <w:r>
        <w:rPr>
          <w:rFonts w:hint="eastAsia" w:eastAsia="仿宋_GB2312"/>
          <w:color w:val="auto"/>
          <w:sz w:val="21"/>
          <w:szCs w:val="21"/>
          <w:highlight w:val="none"/>
          <w:u w:val="single"/>
          <w:lang w:eastAsia="zh-CN"/>
        </w:rPr>
        <w:t>（</w:t>
      </w:r>
      <w:r>
        <w:rPr>
          <w:rFonts w:hint="eastAsia" w:ascii="Times New Roman" w:hAnsi="Times New Roman" w:eastAsia="仿宋_GB2312" w:cs="Times New Roman"/>
          <w:color w:val="auto"/>
          <w:kern w:val="0"/>
          <w:sz w:val="21"/>
          <w:szCs w:val="21"/>
          <w:highlight w:val="none"/>
          <w:u w:val="single"/>
          <w:lang w:val="en-US" w:eastAsia="zh-CN"/>
        </w:rPr>
        <w:t>1</w:t>
      </w:r>
      <w:r>
        <w:rPr>
          <w:rFonts w:hint="eastAsia" w:eastAsia="仿宋_GB2312" w:cs="Times New Roman"/>
          <w:color w:val="auto"/>
          <w:kern w:val="0"/>
          <w:sz w:val="21"/>
          <w:szCs w:val="21"/>
          <w:highlight w:val="none"/>
          <w:u w:val="single"/>
          <w:lang w:val="en-US" w:eastAsia="zh-CN"/>
        </w:rPr>
        <w:t>）</w:t>
      </w:r>
      <w:r>
        <w:rPr>
          <w:rFonts w:hint="eastAsia" w:ascii="Times New Roman" w:hAnsi="Times New Roman" w:eastAsia="仿宋_GB2312" w:cs="Times New Roman"/>
          <w:color w:val="auto"/>
          <w:kern w:val="0"/>
          <w:sz w:val="21"/>
          <w:szCs w:val="21"/>
          <w:highlight w:val="none"/>
          <w:u w:val="single"/>
          <w:lang w:val="en-US" w:eastAsia="zh-CN"/>
        </w:rPr>
        <w:t>发包人审批同意的设计变更及洽商变更：</w:t>
      </w:r>
      <w:r>
        <w:rPr>
          <w:rFonts w:hint="eastAsia" w:eastAsia="仿宋_GB2312" w:cs="Times New Roman"/>
          <w:color w:val="auto"/>
          <w:kern w:val="0"/>
          <w:sz w:val="21"/>
          <w:szCs w:val="21"/>
          <w:highlight w:val="none"/>
          <w:u w:val="single"/>
          <w:lang w:val="en-US" w:eastAsia="zh-CN"/>
        </w:rPr>
        <w:t>（</w:t>
      </w:r>
      <w:r>
        <w:rPr>
          <w:rFonts w:hint="eastAsia" w:ascii="Times New Roman" w:hAnsi="Times New Roman" w:eastAsia="仿宋_GB2312" w:cs="Times New Roman"/>
          <w:color w:val="auto"/>
          <w:kern w:val="0"/>
          <w:sz w:val="21"/>
          <w:szCs w:val="21"/>
          <w:highlight w:val="none"/>
          <w:u w:val="single"/>
          <w:lang w:val="en-US" w:eastAsia="zh-CN"/>
        </w:rPr>
        <w:t>2</w:t>
      </w:r>
      <w:r>
        <w:rPr>
          <w:rFonts w:hint="eastAsia" w:eastAsia="仿宋_GB2312" w:cs="Times New Roman"/>
          <w:color w:val="auto"/>
          <w:kern w:val="0"/>
          <w:sz w:val="21"/>
          <w:szCs w:val="21"/>
          <w:highlight w:val="none"/>
          <w:u w:val="single"/>
          <w:lang w:val="en-US" w:eastAsia="zh-CN"/>
        </w:rPr>
        <w:t>）</w:t>
      </w:r>
      <w:r>
        <w:rPr>
          <w:rFonts w:hint="eastAsia" w:ascii="Times New Roman" w:hAnsi="Times New Roman" w:eastAsia="仿宋_GB2312" w:cs="Times New Roman"/>
          <w:color w:val="auto"/>
          <w:kern w:val="0"/>
          <w:sz w:val="21"/>
          <w:szCs w:val="21"/>
          <w:highlight w:val="none"/>
          <w:u w:val="single"/>
          <w:lang w:val="en-US" w:eastAsia="zh-CN"/>
        </w:rPr>
        <w:t>不可抗力：</w:t>
      </w:r>
      <w:r>
        <w:rPr>
          <w:rFonts w:hint="eastAsia" w:eastAsia="仿宋_GB2312" w:cs="Times New Roman"/>
          <w:color w:val="auto"/>
          <w:kern w:val="0"/>
          <w:sz w:val="21"/>
          <w:szCs w:val="21"/>
          <w:highlight w:val="none"/>
          <w:u w:val="single"/>
          <w:lang w:val="en-US" w:eastAsia="zh-CN"/>
        </w:rPr>
        <w:t>（</w:t>
      </w:r>
      <w:r>
        <w:rPr>
          <w:rFonts w:hint="eastAsia" w:ascii="Times New Roman" w:hAnsi="Times New Roman" w:eastAsia="仿宋_GB2312" w:cs="Times New Roman"/>
          <w:color w:val="auto"/>
          <w:kern w:val="0"/>
          <w:sz w:val="21"/>
          <w:szCs w:val="21"/>
          <w:highlight w:val="none"/>
          <w:u w:val="single"/>
          <w:lang w:val="en-US" w:eastAsia="zh-CN"/>
        </w:rPr>
        <w:t>3</w:t>
      </w:r>
      <w:r>
        <w:rPr>
          <w:rFonts w:hint="eastAsia" w:eastAsia="仿宋_GB2312" w:cs="Times New Roman"/>
          <w:color w:val="auto"/>
          <w:kern w:val="0"/>
          <w:sz w:val="21"/>
          <w:szCs w:val="21"/>
          <w:highlight w:val="none"/>
          <w:u w:val="single"/>
          <w:lang w:val="en-US" w:eastAsia="zh-CN"/>
        </w:rPr>
        <w:t>）</w:t>
      </w:r>
      <w:r>
        <w:rPr>
          <w:rFonts w:hint="eastAsia" w:ascii="Times New Roman" w:hAnsi="Times New Roman" w:eastAsia="仿宋_GB2312" w:cs="Times New Roman"/>
          <w:color w:val="auto"/>
          <w:kern w:val="0"/>
          <w:sz w:val="21"/>
          <w:szCs w:val="21"/>
          <w:highlight w:val="none"/>
          <w:u w:val="single"/>
          <w:lang w:val="en-US" w:eastAsia="zh-CN"/>
        </w:rPr>
        <w:t>双方约定的其他内容</w:t>
      </w:r>
      <w:r>
        <w:rPr>
          <w:rFonts w:hint="eastAsia" w:eastAsia="仿宋_GB2312" w:cs="Times New Roman"/>
          <w:color w:val="auto"/>
          <w:kern w:val="0"/>
          <w:sz w:val="21"/>
          <w:szCs w:val="21"/>
          <w:highlight w:val="none"/>
          <w:u w:val="single"/>
          <w:lang w:val="en-US" w:eastAsia="zh-CN"/>
        </w:rPr>
        <w:t>（</w:t>
      </w:r>
      <w:r>
        <w:rPr>
          <w:rFonts w:hint="eastAsia" w:ascii="Times New Roman" w:hAnsi="Times New Roman" w:eastAsia="仿宋_GB2312" w:cs="Times New Roman"/>
          <w:color w:val="auto"/>
          <w:kern w:val="0"/>
          <w:sz w:val="21"/>
          <w:szCs w:val="21"/>
          <w:highlight w:val="none"/>
          <w:u w:val="single"/>
          <w:lang w:val="en-US" w:eastAsia="zh-CN"/>
        </w:rPr>
        <w:t>国家政策明确必须调整的内容等</w:t>
      </w:r>
      <w:r>
        <w:rPr>
          <w:rFonts w:hint="eastAsia" w:eastAsia="仿宋_GB2312" w:cs="Times New Roman"/>
          <w:color w:val="auto"/>
          <w:kern w:val="0"/>
          <w:sz w:val="21"/>
          <w:szCs w:val="21"/>
          <w:highlight w:val="none"/>
          <w:u w:val="single"/>
          <w:lang w:val="en-US" w:eastAsia="zh-CN"/>
        </w:rPr>
        <w:t>）</w:t>
      </w:r>
      <w:r>
        <w:rPr>
          <w:rFonts w:ascii="Times New Roman" w:hAnsi="Times New Roman" w:eastAsia="仿宋_GB2312"/>
          <w:color w:val="auto"/>
          <w:sz w:val="21"/>
          <w:szCs w:val="21"/>
          <w:highlight w:val="none"/>
        </w:rPr>
        <w:t>。</w:t>
      </w:r>
    </w:p>
    <w:p w14:paraId="1205BE9C">
      <w:pPr>
        <w:pageBreakBefore w:val="0"/>
        <w:widowControl w:val="0"/>
        <w:kinsoku/>
        <w:wordWrap/>
        <w:overflowPunct/>
        <w:topLinePunct w:val="0"/>
        <w:bidi w:val="0"/>
        <w:adjustRightInd w:val="0"/>
        <w:snapToGrid w:val="0"/>
        <w:spacing w:line="360" w:lineRule="auto"/>
        <w:ind w:firstLine="420" w:firstLineChars="200"/>
        <w:textAlignment w:val="auto"/>
        <w:outlineLvl w:val="4"/>
        <w:rPr>
          <w:rFonts w:ascii="Times New Roman" w:hAnsi="Times New Roman" w:eastAsia="黑体"/>
          <w:color w:val="auto"/>
          <w:sz w:val="21"/>
          <w:szCs w:val="21"/>
          <w:highlight w:val="none"/>
        </w:rPr>
      </w:pPr>
      <w:bookmarkStart w:id="1578" w:name="_Toc29703"/>
      <w:r>
        <w:rPr>
          <w:rFonts w:ascii="Times New Roman" w:hAnsi="Times New Roman" w:eastAsia="黑体"/>
          <w:color w:val="auto"/>
          <w:sz w:val="21"/>
          <w:szCs w:val="21"/>
          <w:highlight w:val="none"/>
        </w:rPr>
        <w:t>10.4 变更估价</w:t>
      </w:r>
      <w:bookmarkEnd w:id="1578"/>
    </w:p>
    <w:p w14:paraId="29028C31">
      <w:pPr>
        <w:pageBreakBefore w:val="0"/>
        <w:widowControl w:val="0"/>
        <w:kinsoku/>
        <w:wordWrap/>
        <w:overflowPunct/>
        <w:topLinePunct w:val="0"/>
        <w:bidi w:val="0"/>
        <w:adjustRightInd w:val="0"/>
        <w:snapToGrid w:val="0"/>
        <w:spacing w:line="360" w:lineRule="auto"/>
        <w:ind w:firstLine="420" w:firstLineChars="200"/>
        <w:jc w:val="left"/>
        <w:textAlignment w:val="auto"/>
        <w:rPr>
          <w:rFonts w:hint="eastAsia" w:ascii="Times New Roman" w:hAnsi="Times New Roman" w:eastAsia="仿宋_GB2312"/>
          <w:color w:val="auto"/>
          <w:sz w:val="21"/>
          <w:szCs w:val="21"/>
          <w:highlight w:val="none"/>
        </w:rPr>
      </w:pPr>
      <w:r>
        <w:rPr>
          <w:rFonts w:hint="eastAsia" w:ascii="Times New Roman" w:hAnsi="Times New Roman" w:eastAsia="仿宋_GB2312"/>
          <w:color w:val="auto"/>
          <w:sz w:val="21"/>
          <w:szCs w:val="21"/>
          <w:highlight w:val="none"/>
        </w:rPr>
        <w:t>10.4.1 变更估价原则</w:t>
      </w:r>
    </w:p>
    <w:p w14:paraId="720984A5">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关于变更估价的约定</w:t>
      </w:r>
      <w:r>
        <w:rPr>
          <w:rFonts w:hint="eastAsia" w:eastAsia="仿宋_GB2312"/>
          <w:color w:val="auto"/>
          <w:sz w:val="21"/>
          <w:szCs w:val="21"/>
          <w:highlight w:val="none"/>
          <w:lang w:eastAsia="zh-CN"/>
        </w:rPr>
        <w:t>：</w:t>
      </w:r>
      <w:r>
        <w:rPr>
          <w:rFonts w:ascii="Times New Roman" w:hAnsi="Times New Roman" w:eastAsia="仿宋_GB2312"/>
          <w:color w:val="auto"/>
          <w:sz w:val="21"/>
          <w:szCs w:val="21"/>
          <w:highlight w:val="none"/>
        </w:rPr>
        <w:t xml:space="preserve"> </w:t>
      </w:r>
    </w:p>
    <w:p w14:paraId="3ABAC473">
      <w:pPr>
        <w:pageBreakBefore w:val="0"/>
        <w:widowControl w:val="0"/>
        <w:kinsoku/>
        <w:wordWrap/>
        <w:overflowPunct/>
        <w:topLinePunct w:val="0"/>
        <w:bidi w:val="0"/>
        <w:adjustRightInd w:val="0"/>
        <w:snapToGrid w:val="0"/>
        <w:spacing w:line="360" w:lineRule="auto"/>
        <w:ind w:firstLine="420" w:firstLineChars="200"/>
        <w:jc w:val="left"/>
        <w:textAlignment w:val="auto"/>
        <w:rPr>
          <w:rFonts w:hint="eastAsia" w:ascii="Times New Roman" w:hAnsi="Times New Roman" w:eastAsia="仿宋_GB2312" w:cs="Times New Roman"/>
          <w:color w:val="auto"/>
          <w:kern w:val="0"/>
          <w:sz w:val="21"/>
          <w:szCs w:val="21"/>
          <w:highlight w:val="none"/>
          <w:u w:val="single"/>
          <w:lang w:val="en-US" w:eastAsia="zh-CN"/>
        </w:rPr>
      </w:pPr>
      <w:r>
        <w:rPr>
          <w:rFonts w:hint="eastAsia" w:eastAsia="仿宋_GB2312" w:cs="Times New Roman"/>
          <w:color w:val="auto"/>
          <w:kern w:val="0"/>
          <w:sz w:val="21"/>
          <w:szCs w:val="21"/>
          <w:highlight w:val="none"/>
          <w:u w:val="single"/>
          <w:lang w:val="en-US" w:eastAsia="zh-CN"/>
        </w:rPr>
        <w:t>1.</w:t>
      </w:r>
      <w:r>
        <w:rPr>
          <w:rFonts w:hint="eastAsia" w:ascii="Times New Roman" w:hAnsi="Times New Roman" w:eastAsia="仿宋_GB2312" w:cs="Times New Roman"/>
          <w:color w:val="auto"/>
          <w:kern w:val="0"/>
          <w:sz w:val="21"/>
          <w:szCs w:val="21"/>
          <w:highlight w:val="none"/>
          <w:u w:val="single"/>
          <w:lang w:val="en-US" w:eastAsia="zh-CN"/>
        </w:rPr>
        <w:t>工程量计算：根据工程竣工图纸、经批准的施工组织设计和经派驻现场代表和现场监理以及相关部门签证的变更通知、隐蔽记录等为工程量计算依据；</w:t>
      </w:r>
    </w:p>
    <w:p w14:paraId="7B0EB77B">
      <w:pPr>
        <w:pageBreakBefore w:val="0"/>
        <w:widowControl w:val="0"/>
        <w:kinsoku/>
        <w:wordWrap/>
        <w:overflowPunct/>
        <w:topLinePunct w:val="0"/>
        <w:bidi w:val="0"/>
        <w:adjustRightInd w:val="0"/>
        <w:snapToGrid w:val="0"/>
        <w:spacing w:line="360" w:lineRule="auto"/>
        <w:ind w:firstLine="420" w:firstLineChars="200"/>
        <w:jc w:val="left"/>
        <w:textAlignment w:val="auto"/>
        <w:rPr>
          <w:rFonts w:hint="eastAsia" w:ascii="Times New Roman" w:hAnsi="Times New Roman" w:eastAsia="仿宋_GB2312" w:cs="Times New Roman"/>
          <w:color w:val="auto"/>
          <w:kern w:val="0"/>
          <w:sz w:val="21"/>
          <w:szCs w:val="21"/>
          <w:highlight w:val="none"/>
          <w:u w:val="single"/>
          <w:lang w:val="en-US" w:eastAsia="zh-CN"/>
        </w:rPr>
      </w:pPr>
      <w:r>
        <w:rPr>
          <w:rFonts w:hint="eastAsia" w:eastAsia="仿宋_GB2312" w:cs="Times New Roman"/>
          <w:color w:val="auto"/>
          <w:kern w:val="0"/>
          <w:sz w:val="21"/>
          <w:szCs w:val="21"/>
          <w:highlight w:val="none"/>
          <w:u w:val="single"/>
          <w:lang w:val="en-US" w:eastAsia="zh-CN"/>
        </w:rPr>
        <w:t>2.</w:t>
      </w:r>
      <w:r>
        <w:rPr>
          <w:rFonts w:hint="eastAsia" w:ascii="Times New Roman" w:hAnsi="Times New Roman" w:eastAsia="仿宋_GB2312" w:cs="Times New Roman"/>
          <w:color w:val="auto"/>
          <w:kern w:val="0"/>
          <w:sz w:val="21"/>
          <w:szCs w:val="21"/>
          <w:highlight w:val="none"/>
          <w:u w:val="single"/>
          <w:lang w:val="en-US" w:eastAsia="zh-CN"/>
        </w:rPr>
        <w:t>已标价工程量清单中有适用于变更工程项目的，应采用该项目的单价：</w:t>
      </w:r>
    </w:p>
    <w:p w14:paraId="61A7AE7E">
      <w:pPr>
        <w:pageBreakBefore w:val="0"/>
        <w:widowControl w:val="0"/>
        <w:kinsoku/>
        <w:wordWrap/>
        <w:overflowPunct/>
        <w:topLinePunct w:val="0"/>
        <w:bidi w:val="0"/>
        <w:adjustRightInd w:val="0"/>
        <w:snapToGrid w:val="0"/>
        <w:spacing w:line="360" w:lineRule="auto"/>
        <w:ind w:firstLine="420" w:firstLineChars="200"/>
        <w:jc w:val="left"/>
        <w:textAlignment w:val="auto"/>
        <w:rPr>
          <w:rFonts w:hint="eastAsia" w:ascii="Times New Roman" w:hAnsi="Times New Roman" w:eastAsia="仿宋_GB2312" w:cs="Times New Roman"/>
          <w:color w:val="auto"/>
          <w:kern w:val="0"/>
          <w:sz w:val="21"/>
          <w:szCs w:val="21"/>
          <w:highlight w:val="none"/>
          <w:u w:val="single"/>
          <w:lang w:val="en-US" w:eastAsia="zh-CN"/>
        </w:rPr>
      </w:pPr>
      <w:r>
        <w:rPr>
          <w:rFonts w:hint="eastAsia" w:eastAsia="仿宋_GB2312" w:cs="Times New Roman"/>
          <w:color w:val="auto"/>
          <w:kern w:val="0"/>
          <w:sz w:val="21"/>
          <w:szCs w:val="21"/>
          <w:highlight w:val="none"/>
          <w:u w:val="single"/>
          <w:lang w:val="en-US" w:eastAsia="zh-CN"/>
        </w:rPr>
        <w:t>3.</w:t>
      </w:r>
      <w:r>
        <w:rPr>
          <w:rFonts w:hint="eastAsia" w:ascii="Times New Roman" w:hAnsi="Times New Roman" w:eastAsia="仿宋_GB2312" w:cs="Times New Roman"/>
          <w:color w:val="auto"/>
          <w:kern w:val="0"/>
          <w:sz w:val="21"/>
          <w:szCs w:val="21"/>
          <w:highlight w:val="none"/>
          <w:u w:val="single"/>
          <w:lang w:val="en-US" w:eastAsia="zh-CN"/>
        </w:rPr>
        <w:t>已标价工程量清单中没有适用但有类似于变更工程项目的，可在合理范围内参照类似项目的单价；</w:t>
      </w:r>
    </w:p>
    <w:p w14:paraId="1CC606D0">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u w:val="single"/>
        </w:rPr>
      </w:pPr>
      <w:r>
        <w:rPr>
          <w:rFonts w:hint="eastAsia" w:eastAsia="仿宋_GB2312" w:cs="Times New Roman"/>
          <w:color w:val="auto"/>
          <w:kern w:val="0"/>
          <w:sz w:val="21"/>
          <w:szCs w:val="21"/>
          <w:highlight w:val="none"/>
          <w:u w:val="single"/>
          <w:lang w:val="en-US" w:eastAsia="zh-CN"/>
        </w:rPr>
        <w:t>4.</w:t>
      </w:r>
      <w:r>
        <w:rPr>
          <w:rFonts w:hint="eastAsia" w:ascii="Times New Roman" w:hAnsi="Times New Roman" w:eastAsia="仿宋_GB2312" w:cs="Times New Roman"/>
          <w:color w:val="auto"/>
          <w:kern w:val="0"/>
          <w:sz w:val="21"/>
          <w:szCs w:val="21"/>
          <w:highlight w:val="none"/>
          <w:u w:val="single"/>
          <w:lang w:val="en-US" w:eastAsia="zh-CN"/>
        </w:rPr>
        <w:t>已标价工程量清单中没有适用也没有类似于变更工程项目的，应由承包人根据辽宁省现行相关定额、工程造价相关文件及辽宁省、</w:t>
      </w:r>
      <w:r>
        <w:rPr>
          <w:rFonts w:hint="eastAsia" w:eastAsia="仿宋_GB2312" w:cs="Times New Roman"/>
          <w:color w:val="auto"/>
          <w:kern w:val="0"/>
          <w:sz w:val="21"/>
          <w:szCs w:val="21"/>
          <w:highlight w:val="none"/>
          <w:u w:val="single"/>
          <w:lang w:val="en-US" w:eastAsia="zh-CN"/>
        </w:rPr>
        <w:t>营口</w:t>
      </w:r>
      <w:r>
        <w:rPr>
          <w:rFonts w:hint="eastAsia" w:ascii="Times New Roman" w:hAnsi="Times New Roman" w:eastAsia="仿宋_GB2312" w:cs="Times New Roman"/>
          <w:color w:val="auto"/>
          <w:kern w:val="0"/>
          <w:sz w:val="21"/>
          <w:szCs w:val="21"/>
          <w:highlight w:val="none"/>
          <w:u w:val="single"/>
          <w:lang w:val="en-US" w:eastAsia="zh-CN"/>
        </w:rPr>
        <w:t>市工程造价管理机构发布的信息价格及相关配套文件提出变更工程项目的单价，报发包人确认后执行。人工、材料价格按照变更下发日期工程所在地的《建设工程造价信息》及辽宁省工程造价信息等相关指导文件计入，指导价没有的主要材料价格施工过程执行认质认价程序</w:t>
      </w:r>
      <w:r>
        <w:rPr>
          <w:rFonts w:ascii="Times New Roman" w:hAnsi="Times New Roman" w:eastAsia="仿宋_GB2312"/>
          <w:color w:val="auto"/>
          <w:sz w:val="21"/>
          <w:szCs w:val="21"/>
          <w:highlight w:val="none"/>
        </w:rPr>
        <w:t>。</w:t>
      </w:r>
    </w:p>
    <w:p w14:paraId="41CD5A93">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黑体"/>
          <w:color w:val="auto"/>
          <w:sz w:val="21"/>
          <w:szCs w:val="21"/>
          <w:highlight w:val="none"/>
        </w:rPr>
      </w:pPr>
      <w:r>
        <w:rPr>
          <w:rFonts w:ascii="Times New Roman" w:hAnsi="Times New Roman" w:eastAsia="黑体"/>
          <w:color w:val="auto"/>
          <w:sz w:val="21"/>
          <w:szCs w:val="21"/>
          <w:highlight w:val="none"/>
        </w:rPr>
        <w:t>1</w:t>
      </w:r>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Start w:id="1579" w:name="_Toc296347196"/>
      <w:bookmarkStart w:id="1580" w:name="_Toc300934993"/>
      <w:bookmarkStart w:id="1581" w:name="_Toc297048383"/>
      <w:bookmarkStart w:id="1582" w:name="_Toc296891025"/>
      <w:bookmarkStart w:id="1583" w:name="_Toc296503197"/>
      <w:bookmarkStart w:id="1584" w:name="_Toc303539150"/>
      <w:bookmarkStart w:id="1585" w:name="_Toc296944536"/>
      <w:bookmarkStart w:id="1586" w:name="_Toc297216203"/>
      <w:bookmarkStart w:id="1587" w:name="_Toc297123544"/>
      <w:bookmarkStart w:id="1588" w:name="_Toc292559402"/>
      <w:bookmarkStart w:id="1589" w:name="_Toc296891237"/>
      <w:bookmarkStart w:id="1590" w:name="_Toc292559907"/>
      <w:bookmarkStart w:id="1591" w:name="_Toc296346698"/>
      <w:bookmarkStart w:id="1592" w:name="_Toc297120497"/>
      <w:bookmarkStart w:id="1593" w:name="_Toc312678029"/>
      <w:bookmarkStart w:id="1594" w:name="_Toc312677503"/>
      <w:bookmarkStart w:id="1595" w:name="_Toc304295570"/>
      <w:r>
        <w:rPr>
          <w:rFonts w:ascii="Times New Roman" w:hAnsi="Times New Roman" w:eastAsia="黑体"/>
          <w:color w:val="auto"/>
          <w:sz w:val="21"/>
          <w:szCs w:val="21"/>
          <w:highlight w:val="none"/>
        </w:rPr>
        <w:t>0.5承</w:t>
      </w:r>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Start w:id="1596" w:name="_Toc300934994"/>
      <w:bookmarkStart w:id="1597" w:name="_Toc297048389"/>
      <w:bookmarkStart w:id="1598" w:name="_Toc296891243"/>
      <w:bookmarkStart w:id="1599" w:name="_Toc296347202"/>
      <w:bookmarkStart w:id="1600" w:name="_Toc297123545"/>
      <w:bookmarkStart w:id="1601" w:name="_Toc296346704"/>
      <w:bookmarkStart w:id="1602" w:name="_Toc296891031"/>
      <w:bookmarkStart w:id="1603" w:name="_Toc296503203"/>
      <w:bookmarkStart w:id="1604" w:name="_Toc296944542"/>
      <w:bookmarkStart w:id="1605" w:name="_Toc297216204"/>
      <w:bookmarkStart w:id="1606" w:name="_Toc297120503"/>
      <w:bookmarkStart w:id="1607" w:name="_Toc292559913"/>
      <w:bookmarkStart w:id="1608" w:name="_Toc303539151"/>
      <w:bookmarkStart w:id="1609" w:name="_Toc292559408"/>
      <w:r>
        <w:rPr>
          <w:rFonts w:ascii="Times New Roman" w:hAnsi="Times New Roman" w:eastAsia="黑体"/>
          <w:color w:val="auto"/>
          <w:sz w:val="21"/>
          <w:szCs w:val="21"/>
          <w:highlight w:val="none"/>
        </w:rPr>
        <w:t>包人的合理化建议</w:t>
      </w:r>
    </w:p>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p w14:paraId="06A59828">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监理人审查承包人合理化建议的期限：</w:t>
      </w:r>
      <w:r>
        <w:rPr>
          <w:rFonts w:hint="eastAsia" w:ascii="Times New Roman" w:hAnsi="Times New Roman" w:eastAsia="仿宋_GB2312" w:cs="Times New Roman"/>
          <w:color w:val="auto"/>
          <w:kern w:val="0"/>
          <w:sz w:val="21"/>
          <w:szCs w:val="21"/>
          <w:highlight w:val="none"/>
          <w:u w:val="single"/>
          <w:lang w:val="en-US" w:eastAsia="zh-CN"/>
        </w:rPr>
        <w:t xml:space="preserve">执行通用合同条款 </w:t>
      </w:r>
      <w:r>
        <w:rPr>
          <w:rFonts w:ascii="Times New Roman" w:hAnsi="Times New Roman" w:eastAsia="仿宋_GB2312"/>
          <w:color w:val="auto"/>
          <w:sz w:val="21"/>
          <w:szCs w:val="21"/>
          <w:highlight w:val="none"/>
        </w:rPr>
        <w:t>。</w:t>
      </w:r>
    </w:p>
    <w:p w14:paraId="2AEE7C53">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发包人审批承包人合理化建议的期限：</w:t>
      </w:r>
      <w:r>
        <w:rPr>
          <w:rFonts w:hint="eastAsia" w:ascii="Times New Roman" w:hAnsi="Times New Roman" w:eastAsia="仿宋_GB2312" w:cs="Times New Roman"/>
          <w:color w:val="auto"/>
          <w:kern w:val="0"/>
          <w:sz w:val="21"/>
          <w:szCs w:val="21"/>
          <w:highlight w:val="none"/>
          <w:u w:val="single"/>
          <w:lang w:val="en-US" w:eastAsia="zh-CN"/>
        </w:rPr>
        <w:t xml:space="preserve">执行通用合同条款 </w:t>
      </w:r>
      <w:r>
        <w:rPr>
          <w:rFonts w:ascii="Times New Roman" w:hAnsi="Times New Roman" w:eastAsia="仿宋_GB2312"/>
          <w:color w:val="auto"/>
          <w:sz w:val="21"/>
          <w:szCs w:val="21"/>
          <w:highlight w:val="none"/>
        </w:rPr>
        <w:t>。</w:t>
      </w:r>
    </w:p>
    <w:p w14:paraId="68C379DF">
      <w:pPr>
        <w:pageBreakBefore w:val="0"/>
        <w:widowControl w:val="0"/>
        <w:kinsoku/>
        <w:wordWrap/>
        <w:overflowPunct/>
        <w:topLinePunct w:val="0"/>
        <w:bidi w:val="0"/>
        <w:adjustRightInd w:val="0"/>
        <w:snapToGrid w:val="0"/>
        <w:spacing w:line="360" w:lineRule="auto"/>
        <w:jc w:val="left"/>
        <w:textAlignment w:val="auto"/>
        <w:rPr>
          <w:rFonts w:ascii="Times New Roman" w:hAnsi="Times New Roman" w:eastAsia="仿宋_GB2312"/>
          <w:color w:val="auto"/>
          <w:sz w:val="21"/>
          <w:szCs w:val="21"/>
          <w:highlight w:val="none"/>
          <w:u w:val="single"/>
        </w:rPr>
      </w:pPr>
      <w:r>
        <w:rPr>
          <w:rFonts w:ascii="Times New Roman" w:hAnsi="Times New Roman" w:eastAsia="仿宋_GB2312"/>
          <w:color w:val="auto"/>
          <w:sz w:val="21"/>
          <w:szCs w:val="21"/>
          <w:highlight w:val="none"/>
        </w:rPr>
        <w:t>承</w:t>
      </w:r>
      <w:bookmarkStart w:id="1610" w:name="_Toc296891244"/>
      <w:bookmarkStart w:id="1611" w:name="_Toc292559914"/>
      <w:bookmarkStart w:id="1612" w:name="_Toc303539152"/>
      <w:bookmarkStart w:id="1613" w:name="_Toc296944543"/>
      <w:bookmarkStart w:id="1614" w:name="_Toc312678030"/>
      <w:bookmarkStart w:id="1615" w:name="_Toc292559409"/>
      <w:bookmarkStart w:id="1616" w:name="_Toc296347203"/>
      <w:bookmarkStart w:id="1617" w:name="_Toc300934995"/>
      <w:bookmarkStart w:id="1618" w:name="_Toc297216205"/>
      <w:bookmarkStart w:id="1619" w:name="_Toc297123546"/>
      <w:bookmarkStart w:id="1620" w:name="_Toc296346705"/>
      <w:bookmarkStart w:id="1621" w:name="_Toc304295571"/>
      <w:bookmarkStart w:id="1622" w:name="_Toc296891032"/>
      <w:bookmarkStart w:id="1623" w:name="_Toc318581175"/>
      <w:bookmarkStart w:id="1624" w:name="_Toc296503204"/>
      <w:bookmarkStart w:id="1625" w:name="_Toc297048390"/>
      <w:bookmarkStart w:id="1626" w:name="_Toc297120504"/>
      <w:bookmarkStart w:id="1627" w:name="_Toc312677504"/>
      <w:r>
        <w:rPr>
          <w:rFonts w:ascii="Times New Roman" w:hAnsi="Times New Roman" w:eastAsia="仿宋_GB2312"/>
          <w:color w:val="auto"/>
          <w:sz w:val="21"/>
          <w:szCs w:val="21"/>
          <w:highlight w:val="none"/>
        </w:rPr>
        <w:t>包人提出的合理化建议降低了合同价格或者提高了工程经济效益的奖励的方法和金额为：</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无</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p w14:paraId="146CE660">
      <w:pPr>
        <w:pageBreakBefore w:val="0"/>
        <w:widowControl w:val="0"/>
        <w:kinsoku/>
        <w:wordWrap/>
        <w:overflowPunct/>
        <w:topLinePunct w:val="0"/>
        <w:bidi w:val="0"/>
        <w:adjustRightInd w:val="0"/>
        <w:snapToGrid w:val="0"/>
        <w:spacing w:line="360" w:lineRule="auto"/>
        <w:ind w:firstLine="420" w:firstLineChars="200"/>
        <w:textAlignment w:val="auto"/>
        <w:outlineLvl w:val="4"/>
        <w:rPr>
          <w:rFonts w:ascii="Times New Roman" w:hAnsi="Times New Roman" w:eastAsia="黑体"/>
          <w:color w:val="auto"/>
          <w:sz w:val="21"/>
          <w:szCs w:val="21"/>
          <w:highlight w:val="none"/>
        </w:rPr>
      </w:pPr>
      <w:bookmarkStart w:id="1628" w:name="_Toc23703"/>
      <w:r>
        <w:rPr>
          <w:rFonts w:ascii="Times New Roman" w:hAnsi="Times New Roman" w:eastAsia="黑体"/>
          <w:color w:val="auto"/>
          <w:sz w:val="21"/>
          <w:szCs w:val="21"/>
          <w:highlight w:val="none"/>
        </w:rPr>
        <w:t>1</w:t>
      </w:r>
      <w:bookmarkStart w:id="1629" w:name="_Toc296347198"/>
      <w:bookmarkStart w:id="1630" w:name="_Toc300934997"/>
      <w:bookmarkStart w:id="1631" w:name="_Toc297123548"/>
      <w:bookmarkStart w:id="1632" w:name="_Toc296891027"/>
      <w:bookmarkStart w:id="1633" w:name="_Toc292559909"/>
      <w:bookmarkStart w:id="1634" w:name="_Toc297048385"/>
      <w:bookmarkStart w:id="1635" w:name="_Toc296503199"/>
      <w:bookmarkStart w:id="1636" w:name="_Toc304295574"/>
      <w:bookmarkStart w:id="1637" w:name="_Toc297120499"/>
      <w:bookmarkStart w:id="1638" w:name="_Toc303539154"/>
      <w:bookmarkStart w:id="1639" w:name="_Toc292559404"/>
      <w:bookmarkStart w:id="1640" w:name="_Toc312677507"/>
      <w:bookmarkStart w:id="1641" w:name="_Toc297216207"/>
      <w:bookmarkStart w:id="1642" w:name="_Toc296346700"/>
      <w:bookmarkStart w:id="1643" w:name="_Toc296944538"/>
      <w:bookmarkStart w:id="1644" w:name="_Toc296891239"/>
      <w:bookmarkStart w:id="1645" w:name="_Toc312678033"/>
      <w:r>
        <w:rPr>
          <w:rFonts w:ascii="Times New Roman" w:hAnsi="Times New Roman" w:eastAsia="黑体"/>
          <w:color w:val="auto"/>
          <w:sz w:val="21"/>
          <w:szCs w:val="21"/>
          <w:highlight w:val="none"/>
        </w:rPr>
        <w:t>0.7 暂估价</w:t>
      </w:r>
      <w:bookmarkEnd w:id="1628"/>
    </w:p>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p w14:paraId="45713F5C">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kern w:val="0"/>
          <w:sz w:val="21"/>
          <w:szCs w:val="21"/>
          <w:highlight w:val="none"/>
        </w:rPr>
        <w:t>暂</w:t>
      </w:r>
      <w:bookmarkStart w:id="1646" w:name="_Toc312677508"/>
      <w:bookmarkStart w:id="1647" w:name="_Toc312678034"/>
      <w:bookmarkStart w:id="1648" w:name="_Toc318581176"/>
      <w:r>
        <w:rPr>
          <w:rFonts w:ascii="Times New Roman" w:hAnsi="Times New Roman" w:eastAsia="仿宋_GB2312"/>
          <w:color w:val="auto"/>
          <w:kern w:val="0"/>
          <w:sz w:val="21"/>
          <w:szCs w:val="21"/>
          <w:highlight w:val="none"/>
        </w:rPr>
        <w:t>估价材料和工程设备的明细详见附件</w:t>
      </w:r>
      <w:r>
        <w:rPr>
          <w:rFonts w:hint="eastAsia" w:ascii="Times New Roman" w:hAnsi="Times New Roman" w:eastAsia="仿宋_GB2312"/>
          <w:color w:val="auto"/>
          <w:kern w:val="0"/>
          <w:sz w:val="21"/>
          <w:szCs w:val="21"/>
          <w:highlight w:val="none"/>
        </w:rPr>
        <w:t>11：《</w:t>
      </w:r>
      <w:r>
        <w:rPr>
          <w:rFonts w:ascii="Times New Roman" w:hAnsi="Times New Roman" w:eastAsia="仿宋_GB2312"/>
          <w:color w:val="auto"/>
          <w:sz w:val="21"/>
          <w:szCs w:val="21"/>
          <w:highlight w:val="none"/>
        </w:rPr>
        <w:t>暂估价一览表</w:t>
      </w:r>
      <w:r>
        <w:rPr>
          <w:rFonts w:hint="eastAsia" w:ascii="Times New Roman" w:hAnsi="Times New Roman" w:eastAsia="仿宋_GB2312"/>
          <w:color w:val="auto"/>
          <w:sz w:val="21"/>
          <w:szCs w:val="21"/>
          <w:highlight w:val="none"/>
        </w:rPr>
        <w:t>》</w:t>
      </w:r>
      <w:r>
        <w:rPr>
          <w:rFonts w:hint="eastAsia" w:ascii="Times New Roman" w:hAnsi="Times New Roman" w:eastAsia="仿宋_GB2312"/>
          <w:color w:val="auto"/>
          <w:kern w:val="0"/>
          <w:sz w:val="21"/>
          <w:szCs w:val="21"/>
          <w:highlight w:val="none"/>
        </w:rPr>
        <w:t>。</w:t>
      </w:r>
    </w:p>
    <w:bookmarkEnd w:id="1646"/>
    <w:bookmarkEnd w:id="1647"/>
    <w:bookmarkEnd w:id="1648"/>
    <w:p w14:paraId="2F8BCD2E">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w:t>
      </w:r>
      <w:bookmarkStart w:id="1649" w:name="_Toc318581177"/>
      <w:bookmarkStart w:id="1650" w:name="_Toc312677509"/>
      <w:bookmarkStart w:id="1651" w:name="_Toc312678035"/>
      <w:r>
        <w:rPr>
          <w:rFonts w:ascii="Times New Roman" w:hAnsi="Times New Roman" w:eastAsia="仿宋_GB2312"/>
          <w:color w:val="auto"/>
          <w:sz w:val="21"/>
          <w:szCs w:val="21"/>
          <w:highlight w:val="none"/>
        </w:rPr>
        <w:t>0.7.1 依法必须招标的暂估价项目</w:t>
      </w:r>
    </w:p>
    <w:bookmarkEnd w:id="1649"/>
    <w:bookmarkEnd w:id="1650"/>
    <w:bookmarkEnd w:id="1651"/>
    <w:p w14:paraId="2EECCC36">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对于依法必须招标的暂估价项目的确认和批准采取第</w:t>
      </w:r>
      <w:r>
        <w:rPr>
          <w:rFonts w:hint="eastAsia" w:ascii="Times New Roman" w:hAnsi="Times New Roman" w:eastAsia="仿宋_GB2312" w:cs="Times New Roman"/>
          <w:color w:val="auto"/>
          <w:kern w:val="0"/>
          <w:sz w:val="21"/>
          <w:szCs w:val="21"/>
          <w:highlight w:val="none"/>
          <w:u w:val="single"/>
          <w:lang w:val="en-US" w:eastAsia="zh-CN"/>
        </w:rPr>
        <w:t xml:space="preserve">  /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种方式确定。</w:t>
      </w:r>
    </w:p>
    <w:p w14:paraId="53F80314">
      <w:pPr>
        <w:pageBreakBefore w:val="0"/>
        <w:widowControl w:val="0"/>
        <w:kinsoku/>
        <w:wordWrap/>
        <w:overflowPunct/>
        <w:topLinePunct w:val="0"/>
        <w:bidi w:val="0"/>
        <w:adjustRightInd w:val="0"/>
        <w:snapToGrid w:val="0"/>
        <w:spacing w:line="360" w:lineRule="auto"/>
        <w:ind w:firstLine="420" w:firstLineChars="200"/>
        <w:jc w:val="left"/>
        <w:textAlignment w:val="auto"/>
        <w:rPr>
          <w:rFonts w:hint="eastAsia"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对于不属于依法必须招标的暂估价项目的确认和批准采取第</w:t>
      </w:r>
      <w:r>
        <w:rPr>
          <w:rFonts w:hint="eastAsia" w:eastAsia="仿宋_GB2312"/>
          <w:color w:val="auto"/>
          <w:sz w:val="21"/>
          <w:szCs w:val="21"/>
          <w:highlight w:val="none"/>
          <w:u w:val="single"/>
          <w:lang w:val="en-US" w:eastAsia="zh-CN"/>
        </w:rPr>
        <w:t>3</w:t>
      </w:r>
      <w:r>
        <w:rPr>
          <w:rFonts w:ascii="Times New Roman" w:hAnsi="Times New Roman" w:eastAsia="仿宋_GB2312"/>
          <w:color w:val="auto"/>
          <w:sz w:val="21"/>
          <w:szCs w:val="21"/>
          <w:highlight w:val="none"/>
        </w:rPr>
        <w:t>种方式确定。</w:t>
      </w:r>
    </w:p>
    <w:p w14:paraId="305B570A">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sz w:val="21"/>
          <w:szCs w:val="21"/>
          <w:highlight w:val="none"/>
        </w:rPr>
        <w:t>第3种方式：</w:t>
      </w:r>
      <w:r>
        <w:rPr>
          <w:rFonts w:ascii="Times New Roman" w:hAnsi="Times New Roman" w:eastAsia="仿宋_GB2312"/>
          <w:color w:val="auto"/>
          <w:kern w:val="0"/>
          <w:sz w:val="21"/>
          <w:szCs w:val="21"/>
          <w:highlight w:val="none"/>
        </w:rPr>
        <w:t>承包人直接实施的暂估价项目</w:t>
      </w:r>
    </w:p>
    <w:p w14:paraId="1F59DD4B">
      <w:pPr>
        <w:pageBreakBefore w:val="0"/>
        <w:widowControl w:val="0"/>
        <w:kinsoku/>
        <w:wordWrap/>
        <w:overflowPunct/>
        <w:topLinePunct w:val="0"/>
        <w:bidi w:val="0"/>
        <w:adjustRightInd w:val="0"/>
        <w:snapToGrid w:val="0"/>
        <w:spacing w:line="360" w:lineRule="auto"/>
        <w:ind w:firstLine="420" w:firstLineChars="200"/>
        <w:jc w:val="left"/>
        <w:textAlignment w:val="auto"/>
        <w:rPr>
          <w:rFonts w:hint="eastAsia"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承包人直接实施的暂估价项目的约定：</w:t>
      </w:r>
      <w:r>
        <w:rPr>
          <w:rFonts w:ascii="Times New Roman" w:hAnsi="Times New Roman" w:eastAsia="仿宋_GB2312"/>
          <w:color w:val="auto"/>
          <w:sz w:val="21"/>
          <w:szCs w:val="21"/>
          <w:highlight w:val="none"/>
          <w:u w:val="single"/>
        </w:rPr>
        <w:t xml:space="preserve"> </w:t>
      </w:r>
      <w:r>
        <w:rPr>
          <w:rFonts w:hint="eastAsia" w:eastAsia="仿宋_GB2312"/>
          <w:color w:val="auto"/>
          <w:sz w:val="21"/>
          <w:szCs w:val="21"/>
          <w:highlight w:val="none"/>
          <w:u w:val="single"/>
          <w:lang w:val="en-US" w:eastAsia="zh-CN"/>
        </w:rPr>
        <w:t>实施前7日向发包人及监理人提交实施方案，经发包人及监理人审核通过后进行施工</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78FCCDD4">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黑体"/>
          <w:color w:val="auto"/>
          <w:sz w:val="21"/>
          <w:szCs w:val="21"/>
          <w:highlight w:val="none"/>
        </w:rPr>
      </w:pPr>
      <w:r>
        <w:rPr>
          <w:rFonts w:ascii="Times New Roman" w:hAnsi="Times New Roman" w:eastAsia="黑体"/>
          <w:color w:val="auto"/>
          <w:sz w:val="21"/>
          <w:szCs w:val="21"/>
          <w:highlight w:val="none"/>
        </w:rPr>
        <w:t>10.8 暂列金额</w:t>
      </w:r>
    </w:p>
    <w:p w14:paraId="48BF4F64">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hint="eastAsia" w:ascii="Times New Roman" w:hAnsi="Times New Roman" w:eastAsia="仿宋_GB2312"/>
          <w:color w:val="auto"/>
          <w:kern w:val="0"/>
          <w:sz w:val="21"/>
          <w:szCs w:val="21"/>
          <w:highlight w:val="none"/>
        </w:rPr>
        <w:t>合同当事人关于暂列金额使用的约定：</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执行通用合同条款</w:t>
      </w:r>
      <w:r>
        <w:rPr>
          <w:rFonts w:hint="eastAsia"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kern w:val="0"/>
          <w:sz w:val="21"/>
          <w:szCs w:val="21"/>
          <w:highlight w:val="none"/>
        </w:rPr>
        <w:t>。</w:t>
      </w:r>
    </w:p>
    <w:p w14:paraId="2D8F9D67">
      <w:pPr>
        <w:pStyle w:val="5"/>
        <w:pageBreakBefore w:val="0"/>
        <w:widowControl w:val="0"/>
        <w:kinsoku/>
        <w:wordWrap/>
        <w:overflowPunct/>
        <w:topLinePunct w:val="0"/>
        <w:bidi w:val="0"/>
        <w:adjustRightInd w:val="0"/>
        <w:snapToGrid w:val="0"/>
        <w:spacing w:before="0" w:after="0" w:line="360" w:lineRule="auto"/>
        <w:textAlignment w:val="auto"/>
        <w:rPr>
          <w:rFonts w:ascii="Times New Roman" w:hAnsi="Times New Roman"/>
          <w:b w:val="0"/>
          <w:color w:val="auto"/>
          <w:sz w:val="21"/>
          <w:szCs w:val="21"/>
          <w:highlight w:val="none"/>
        </w:rPr>
      </w:pPr>
      <w:bookmarkStart w:id="1652" w:name="_Toc351203643"/>
      <w:bookmarkStart w:id="1653" w:name="_Toc16543"/>
      <w:bookmarkStart w:id="1654" w:name="_Toc3805"/>
      <w:r>
        <w:rPr>
          <w:rFonts w:ascii="Times New Roman" w:hAnsi="Times New Roman"/>
          <w:b w:val="0"/>
          <w:color w:val="auto"/>
          <w:sz w:val="21"/>
          <w:szCs w:val="21"/>
          <w:highlight w:val="none"/>
        </w:rPr>
        <w:t>11. 价格调整</w:t>
      </w:r>
      <w:bookmarkEnd w:id="1652"/>
      <w:bookmarkEnd w:id="1653"/>
      <w:bookmarkEnd w:id="1654"/>
    </w:p>
    <w:p w14:paraId="244A88C5">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黑体"/>
          <w:color w:val="auto"/>
          <w:sz w:val="21"/>
          <w:szCs w:val="21"/>
          <w:highlight w:val="none"/>
        </w:rPr>
      </w:pPr>
      <w:bookmarkStart w:id="1655" w:name="_Toc296944540"/>
      <w:bookmarkStart w:id="1656" w:name="_Toc303539157"/>
      <w:bookmarkStart w:id="1657" w:name="_Toc297123550"/>
      <w:bookmarkStart w:id="1658" w:name="_Toc296346702"/>
      <w:bookmarkStart w:id="1659" w:name="_Toc297048387"/>
      <w:bookmarkStart w:id="1660" w:name="_Toc297120501"/>
      <w:bookmarkStart w:id="1661" w:name="_Toc300935000"/>
      <w:bookmarkStart w:id="1662" w:name="_Toc304295577"/>
      <w:bookmarkStart w:id="1663" w:name="_Toc312678039"/>
      <w:bookmarkStart w:id="1664" w:name="_Toc296503201"/>
      <w:bookmarkStart w:id="1665" w:name="_Toc296347200"/>
      <w:bookmarkStart w:id="1666" w:name="_Toc296891029"/>
      <w:bookmarkStart w:id="1667" w:name="_Toc292559406"/>
      <w:bookmarkStart w:id="1668" w:name="_Toc297216209"/>
      <w:bookmarkStart w:id="1669" w:name="_Toc296891241"/>
      <w:bookmarkStart w:id="1670" w:name="_Toc292559911"/>
      <w:r>
        <w:rPr>
          <w:rFonts w:ascii="Times New Roman" w:hAnsi="Times New Roman" w:eastAsia="黑体"/>
          <w:color w:val="auto"/>
          <w:sz w:val="21"/>
          <w:szCs w:val="21"/>
          <w:highlight w:val="none"/>
        </w:rPr>
        <w:t>11.1 市场价格波动引起的调整</w:t>
      </w:r>
    </w:p>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p w14:paraId="5517020B">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kern w:val="0"/>
          <w:sz w:val="21"/>
          <w:szCs w:val="21"/>
          <w:highlight w:val="none"/>
        </w:rPr>
        <w:t>市场价格波动是否调整合同价格的约定：</w:t>
      </w:r>
      <w:r>
        <w:rPr>
          <w:rFonts w:hint="eastAsia" w:eastAsia="仿宋_GB2312"/>
          <w:color w:val="auto"/>
          <w:sz w:val="21"/>
          <w:szCs w:val="21"/>
          <w:highlight w:val="none"/>
          <w:u w:val="single"/>
          <w:lang w:eastAsia="zh-CN"/>
        </w:rPr>
        <w:t>不进行调整</w:t>
      </w:r>
      <w:r>
        <w:rPr>
          <w:rFonts w:ascii="Times New Roman" w:hAnsi="Times New Roman" w:eastAsia="仿宋_GB2312"/>
          <w:color w:val="auto"/>
          <w:sz w:val="21"/>
          <w:szCs w:val="21"/>
          <w:highlight w:val="none"/>
        </w:rPr>
        <w:t>。</w:t>
      </w:r>
    </w:p>
    <w:p w14:paraId="01A9DF8C">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因市场价格波动调整合同价格，采用以下第</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 xml:space="preserve">  </w:t>
      </w:r>
      <w:r>
        <w:rPr>
          <w:rFonts w:hint="eastAsia" w:eastAsia="仿宋_GB2312" w:cs="Times New Roman"/>
          <w:color w:val="auto"/>
          <w:kern w:val="0"/>
          <w:sz w:val="21"/>
          <w:szCs w:val="21"/>
          <w:highlight w:val="none"/>
          <w:u w:val="single"/>
          <w:lang w:val="en-US" w:eastAsia="zh-CN"/>
        </w:rPr>
        <w:t>/</w:t>
      </w:r>
      <w:r>
        <w:rPr>
          <w:rFonts w:hint="eastAsia" w:ascii="Times New Roman" w:hAnsi="Times New Roman" w:eastAsia="仿宋_GB2312" w:cs="Times New Roman"/>
          <w:color w:val="auto"/>
          <w:kern w:val="0"/>
          <w:sz w:val="21"/>
          <w:szCs w:val="21"/>
          <w:highlight w:val="none"/>
          <w:u w:val="single"/>
          <w:lang w:val="en-US" w:eastAsia="zh-CN"/>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种方式对合同价格进行调整：</w:t>
      </w:r>
    </w:p>
    <w:p w14:paraId="568D35D8">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第1种方式：采用价格指数</w:t>
      </w:r>
      <w:r>
        <w:rPr>
          <w:rFonts w:hint="eastAsia" w:ascii="Times New Roman" w:hAnsi="Times New Roman" w:eastAsia="仿宋_GB2312"/>
          <w:color w:val="auto"/>
          <w:sz w:val="21"/>
          <w:szCs w:val="21"/>
          <w:highlight w:val="none"/>
        </w:rPr>
        <w:t>进行价格</w:t>
      </w:r>
      <w:r>
        <w:rPr>
          <w:rFonts w:ascii="Times New Roman" w:hAnsi="Times New Roman" w:eastAsia="仿宋_GB2312"/>
          <w:color w:val="auto"/>
          <w:sz w:val="21"/>
          <w:szCs w:val="21"/>
          <w:highlight w:val="none"/>
        </w:rPr>
        <w:t>调整。</w:t>
      </w:r>
    </w:p>
    <w:p w14:paraId="65CD91D8">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u w:val="single"/>
        </w:rPr>
      </w:pPr>
      <w:r>
        <w:rPr>
          <w:rFonts w:ascii="Times New Roman" w:hAnsi="Times New Roman" w:eastAsia="仿宋_GB2312"/>
          <w:color w:val="auto"/>
          <w:sz w:val="21"/>
          <w:szCs w:val="21"/>
          <w:highlight w:val="none"/>
        </w:rPr>
        <w:t>关于各可调因子、定值和变值权重，以及基本价格指数及其来源的约定：</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 xml:space="preserve"> </w:t>
      </w:r>
      <w:r>
        <w:rPr>
          <w:rFonts w:hint="eastAsia" w:eastAsia="仿宋_GB2312" w:cs="Times New Roman"/>
          <w:color w:val="auto"/>
          <w:kern w:val="0"/>
          <w:sz w:val="21"/>
          <w:szCs w:val="21"/>
          <w:highlight w:val="none"/>
          <w:u w:val="single"/>
          <w:lang w:val="en-US" w:eastAsia="zh-CN"/>
        </w:rPr>
        <w:t>/</w:t>
      </w:r>
      <w:r>
        <w:rPr>
          <w:rFonts w:hint="eastAsia" w:ascii="Times New Roman" w:hAnsi="Times New Roman" w:eastAsia="仿宋_GB2312" w:cs="Times New Roman"/>
          <w:color w:val="auto"/>
          <w:kern w:val="0"/>
          <w:sz w:val="21"/>
          <w:szCs w:val="21"/>
          <w:highlight w:val="none"/>
          <w:u w:val="single"/>
          <w:lang w:val="en-US" w:eastAsia="zh-CN"/>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4CE9CC3D">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第2种方式：采用造价信息</w:t>
      </w:r>
      <w:r>
        <w:rPr>
          <w:rFonts w:hint="eastAsia" w:ascii="Times New Roman" w:hAnsi="Times New Roman" w:eastAsia="仿宋_GB2312"/>
          <w:color w:val="auto"/>
          <w:sz w:val="21"/>
          <w:szCs w:val="21"/>
          <w:highlight w:val="none"/>
        </w:rPr>
        <w:t>进行价格</w:t>
      </w:r>
      <w:r>
        <w:rPr>
          <w:rFonts w:ascii="Times New Roman" w:hAnsi="Times New Roman" w:eastAsia="仿宋_GB2312"/>
          <w:color w:val="auto"/>
          <w:sz w:val="21"/>
          <w:szCs w:val="21"/>
          <w:highlight w:val="none"/>
        </w:rPr>
        <w:t>调整。</w:t>
      </w:r>
    </w:p>
    <w:p w14:paraId="34053B15">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（2）关于基准价格的约定：</w:t>
      </w:r>
      <w:r>
        <w:rPr>
          <w:rFonts w:ascii="Times New Roman" w:hAnsi="Times New Roman" w:eastAsia="仿宋_GB2312"/>
          <w:color w:val="auto"/>
          <w:sz w:val="21"/>
          <w:szCs w:val="21"/>
          <w:highlight w:val="none"/>
          <w:u w:val="single"/>
        </w:rPr>
        <w:t xml:space="preserve">     </w:t>
      </w:r>
      <w:r>
        <w:rPr>
          <w:rFonts w:hint="eastAsia" w:eastAsia="仿宋_GB2312"/>
          <w:color w:val="auto"/>
          <w:sz w:val="21"/>
          <w:szCs w:val="21"/>
          <w:highlight w:val="none"/>
          <w:u w:val="single"/>
          <w:lang w:val="en-US" w:eastAsia="zh-CN"/>
        </w:rPr>
        <w:t>/</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17BCA88F">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专用合同条款</w:t>
      </w:r>
      <w:r>
        <w:rPr>
          <w:rFonts w:hint="eastAsia" w:ascii="宋体" w:hAnsi="宋体" w:cs="宋体"/>
          <w:color w:val="auto"/>
          <w:sz w:val="21"/>
          <w:szCs w:val="21"/>
          <w:highlight w:val="none"/>
        </w:rPr>
        <w:t>①</w:t>
      </w:r>
      <w:r>
        <w:rPr>
          <w:rFonts w:ascii="Times New Roman" w:hAnsi="Times New Roman" w:eastAsia="仿宋_GB2312"/>
          <w:color w:val="auto"/>
          <w:sz w:val="21"/>
          <w:szCs w:val="21"/>
          <w:highlight w:val="none"/>
        </w:rPr>
        <w:t>承包人在已标价工程量清单或预算书中载明的材料单价低于基准价格的：专用合同条款合同履行期间材料单价涨幅以基准价格为基础超过</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 xml:space="preserve"> </w:t>
      </w:r>
      <w:r>
        <w:rPr>
          <w:rFonts w:hint="eastAsia" w:eastAsia="仿宋_GB2312" w:cs="Times New Roman"/>
          <w:color w:val="auto"/>
          <w:kern w:val="0"/>
          <w:sz w:val="21"/>
          <w:szCs w:val="21"/>
          <w:highlight w:val="none"/>
          <w:u w:val="single"/>
          <w:lang w:val="en-US" w:eastAsia="zh-CN"/>
        </w:rPr>
        <w:t>/</w:t>
      </w:r>
      <w:r>
        <w:rPr>
          <w:rFonts w:hint="eastAsia" w:ascii="Times New Roman" w:hAnsi="Times New Roman" w:eastAsia="仿宋_GB2312" w:cs="Times New Roman"/>
          <w:color w:val="auto"/>
          <w:kern w:val="0"/>
          <w:sz w:val="21"/>
          <w:szCs w:val="21"/>
          <w:highlight w:val="none"/>
          <w:u w:val="single"/>
          <w:lang w:val="en-US" w:eastAsia="zh-CN"/>
        </w:rPr>
        <w:t xml:space="preserve">  </w:t>
      </w:r>
      <w:r>
        <w:rPr>
          <w:rFonts w:ascii="Times New Roman" w:hAnsi="Times New Roman" w:eastAsia="仿宋_GB2312"/>
          <w:color w:val="auto"/>
          <w:sz w:val="21"/>
          <w:szCs w:val="21"/>
          <w:highlight w:val="none"/>
        </w:rPr>
        <w:t>%时，或材料单价跌幅以已标价工程量清单或预算书中载明材料单价为基础超过</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 xml:space="preserve"> </w:t>
      </w:r>
      <w:r>
        <w:rPr>
          <w:rFonts w:hint="eastAsia" w:eastAsia="仿宋_GB2312" w:cs="Times New Roman"/>
          <w:color w:val="auto"/>
          <w:kern w:val="0"/>
          <w:sz w:val="21"/>
          <w:szCs w:val="21"/>
          <w:highlight w:val="none"/>
          <w:u w:val="single"/>
          <w:lang w:val="en-US" w:eastAsia="zh-CN"/>
        </w:rPr>
        <w:t>/</w:t>
      </w:r>
      <w:r>
        <w:rPr>
          <w:rFonts w:hint="eastAsia" w:ascii="Times New Roman" w:hAnsi="Times New Roman" w:eastAsia="仿宋_GB2312" w:cs="Times New Roman"/>
          <w:color w:val="auto"/>
          <w:kern w:val="0"/>
          <w:sz w:val="21"/>
          <w:szCs w:val="21"/>
          <w:highlight w:val="none"/>
          <w:u w:val="single"/>
          <w:lang w:val="en-US" w:eastAsia="zh-CN"/>
        </w:rPr>
        <w:t xml:space="preserve"> </w:t>
      </w:r>
      <w:r>
        <w:rPr>
          <w:rFonts w:ascii="Times New Roman" w:hAnsi="Times New Roman" w:eastAsia="仿宋_GB2312"/>
          <w:color w:val="auto"/>
          <w:sz w:val="21"/>
          <w:szCs w:val="21"/>
          <w:highlight w:val="none"/>
        </w:rPr>
        <w:t>%时，其超过部分据实调整。</w:t>
      </w:r>
    </w:p>
    <w:p w14:paraId="43189049">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hint="eastAsia" w:ascii="宋体" w:hAnsi="宋体" w:cs="宋体"/>
          <w:color w:val="auto"/>
          <w:sz w:val="21"/>
          <w:szCs w:val="21"/>
          <w:highlight w:val="none"/>
        </w:rPr>
        <w:t>②</w:t>
      </w:r>
      <w:r>
        <w:rPr>
          <w:rFonts w:ascii="Times New Roman" w:hAnsi="Times New Roman" w:eastAsia="仿宋_GB2312"/>
          <w:color w:val="auto"/>
          <w:sz w:val="21"/>
          <w:szCs w:val="21"/>
          <w:highlight w:val="none"/>
        </w:rPr>
        <w:t>承包人在已标价工程量清单或预算书中载明的材料单价高于基准价格的：专用合同条款合同履行期间材料单价跌幅以基准价格为基础超过</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 xml:space="preserve"> </w:t>
      </w:r>
      <w:r>
        <w:rPr>
          <w:rFonts w:hint="eastAsia" w:eastAsia="仿宋_GB2312" w:cs="Times New Roman"/>
          <w:color w:val="auto"/>
          <w:kern w:val="0"/>
          <w:sz w:val="21"/>
          <w:szCs w:val="21"/>
          <w:highlight w:val="none"/>
          <w:u w:val="single"/>
          <w:lang w:val="en-US" w:eastAsia="zh-CN"/>
        </w:rPr>
        <w:t>/</w:t>
      </w:r>
      <w:r>
        <w:rPr>
          <w:rFonts w:hint="eastAsia" w:ascii="Times New Roman" w:hAnsi="Times New Roman" w:eastAsia="仿宋_GB2312" w:cs="Times New Roman"/>
          <w:color w:val="auto"/>
          <w:kern w:val="0"/>
          <w:sz w:val="21"/>
          <w:szCs w:val="21"/>
          <w:highlight w:val="none"/>
          <w:u w:val="single"/>
          <w:lang w:val="en-US" w:eastAsia="zh-CN"/>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%时，材料单价涨幅以已标价工程量清单或预算书中载明材料单价为基础超过</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 xml:space="preserve"> </w:t>
      </w:r>
      <w:r>
        <w:rPr>
          <w:rFonts w:hint="eastAsia" w:eastAsia="仿宋_GB2312" w:cs="Times New Roman"/>
          <w:color w:val="auto"/>
          <w:kern w:val="0"/>
          <w:sz w:val="21"/>
          <w:szCs w:val="21"/>
          <w:highlight w:val="none"/>
          <w:u w:val="single"/>
          <w:lang w:val="en-US" w:eastAsia="zh-CN"/>
        </w:rPr>
        <w:t>/</w:t>
      </w:r>
      <w:r>
        <w:rPr>
          <w:rFonts w:hint="eastAsia" w:ascii="Times New Roman" w:hAnsi="Times New Roman" w:eastAsia="仿宋_GB2312" w:cs="Times New Roman"/>
          <w:color w:val="auto"/>
          <w:kern w:val="0"/>
          <w:sz w:val="21"/>
          <w:szCs w:val="21"/>
          <w:highlight w:val="none"/>
          <w:u w:val="single"/>
          <w:lang w:val="en-US" w:eastAsia="zh-CN"/>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%时，其超过部分据实调整。</w:t>
      </w:r>
    </w:p>
    <w:p w14:paraId="040C3106">
      <w:pPr>
        <w:pageBreakBefore w:val="0"/>
        <w:widowControl w:val="0"/>
        <w:kinsoku/>
        <w:wordWrap/>
        <w:overflowPunct/>
        <w:topLinePunct w:val="0"/>
        <w:bidi w:val="0"/>
        <w:adjustRightInd w:val="0"/>
        <w:snapToGrid w:val="0"/>
        <w:spacing w:line="360" w:lineRule="auto"/>
        <w:ind w:firstLine="645"/>
        <w:jc w:val="left"/>
        <w:textAlignment w:val="auto"/>
        <w:rPr>
          <w:rFonts w:ascii="Times New Roman" w:hAnsi="Times New Roman" w:eastAsia="仿宋_GB2312"/>
          <w:color w:val="auto"/>
          <w:sz w:val="21"/>
          <w:szCs w:val="21"/>
          <w:highlight w:val="none"/>
        </w:rPr>
      </w:pPr>
      <w:r>
        <w:rPr>
          <w:rFonts w:hint="eastAsia" w:ascii="宋体" w:hAnsi="宋体" w:cs="宋体"/>
          <w:color w:val="auto"/>
          <w:sz w:val="21"/>
          <w:szCs w:val="21"/>
          <w:highlight w:val="none"/>
        </w:rPr>
        <w:t>③</w:t>
      </w:r>
      <w:r>
        <w:rPr>
          <w:rFonts w:ascii="Times New Roman" w:hAnsi="Times New Roman" w:eastAsia="仿宋_GB2312"/>
          <w:color w:val="auto"/>
          <w:sz w:val="21"/>
          <w:szCs w:val="21"/>
          <w:highlight w:val="none"/>
        </w:rPr>
        <w:t>承包人在已标价工程量清单或预算书中载明的材料单价等于基准单价的：专用合同条款合同履行期间材料单价涨跌幅以基准单价为基础超过±</w:t>
      </w:r>
      <w:r>
        <w:rPr>
          <w:rFonts w:hint="eastAsia" w:ascii="Times New Roman" w:hAnsi="Times New Roman" w:eastAsia="仿宋_GB2312"/>
          <w:color w:val="auto"/>
          <w:sz w:val="21"/>
          <w:szCs w:val="21"/>
          <w:highlight w:val="none"/>
          <w:lang w:val="en-US" w:eastAsia="zh-CN"/>
        </w:rPr>
        <w:t xml:space="preserve"> </w:t>
      </w:r>
      <w:r>
        <w:rPr>
          <w:rFonts w:hint="eastAsia" w:ascii="Times New Roman" w:hAnsi="Times New Roman" w:eastAsia="仿宋_GB2312" w:cs="Times New Roman"/>
          <w:color w:val="auto"/>
          <w:kern w:val="0"/>
          <w:sz w:val="21"/>
          <w:szCs w:val="21"/>
          <w:highlight w:val="none"/>
          <w:u w:val="single"/>
          <w:lang w:val="en-US" w:eastAsia="zh-CN"/>
        </w:rPr>
        <w:t xml:space="preserve">  </w:t>
      </w:r>
      <w:r>
        <w:rPr>
          <w:rFonts w:hint="eastAsia" w:eastAsia="仿宋_GB2312" w:cs="Times New Roman"/>
          <w:color w:val="auto"/>
          <w:kern w:val="0"/>
          <w:sz w:val="21"/>
          <w:szCs w:val="21"/>
          <w:highlight w:val="none"/>
          <w:u w:val="single"/>
          <w:lang w:val="en-US" w:eastAsia="zh-CN"/>
        </w:rPr>
        <w:t>/</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%时，其超过部分据实调整。</w:t>
      </w:r>
    </w:p>
    <w:p w14:paraId="65D2B738">
      <w:pPr>
        <w:pageBreakBefore w:val="0"/>
        <w:widowControl w:val="0"/>
        <w:kinsoku/>
        <w:wordWrap/>
        <w:overflowPunct/>
        <w:topLinePunct w:val="0"/>
        <w:bidi w:val="0"/>
        <w:adjustRightInd w:val="0"/>
        <w:snapToGrid w:val="0"/>
        <w:spacing w:line="360" w:lineRule="auto"/>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第3种方式：其他价格调整方式：</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 xml:space="preserve"> </w:t>
      </w:r>
      <w:r>
        <w:rPr>
          <w:rFonts w:hint="eastAsia" w:eastAsia="仿宋_GB2312" w:cs="Times New Roman"/>
          <w:color w:val="auto"/>
          <w:kern w:val="0"/>
          <w:sz w:val="21"/>
          <w:szCs w:val="21"/>
          <w:highlight w:val="none"/>
          <w:u w:val="single"/>
          <w:lang w:val="en-US" w:eastAsia="zh-CN"/>
        </w:rPr>
        <w:t>/</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bookmarkEnd w:id="1554"/>
    <w:bookmarkEnd w:id="1555"/>
    <w:bookmarkEnd w:id="1556"/>
    <w:bookmarkEnd w:id="1557"/>
    <w:bookmarkEnd w:id="1558"/>
    <w:bookmarkEnd w:id="1559"/>
    <w:p w14:paraId="138A4BB7">
      <w:pPr>
        <w:pStyle w:val="5"/>
        <w:pageBreakBefore w:val="0"/>
        <w:widowControl w:val="0"/>
        <w:kinsoku/>
        <w:wordWrap/>
        <w:overflowPunct/>
        <w:topLinePunct w:val="0"/>
        <w:bidi w:val="0"/>
        <w:adjustRightInd w:val="0"/>
        <w:snapToGrid w:val="0"/>
        <w:spacing w:before="0" w:after="0" w:line="360" w:lineRule="auto"/>
        <w:textAlignment w:val="auto"/>
        <w:rPr>
          <w:rFonts w:ascii="Times New Roman" w:hAnsi="Times New Roman"/>
          <w:b w:val="0"/>
          <w:color w:val="auto"/>
          <w:sz w:val="21"/>
          <w:szCs w:val="21"/>
          <w:highlight w:val="none"/>
        </w:rPr>
      </w:pPr>
      <w:bookmarkStart w:id="1671" w:name="_Toc297120505"/>
      <w:bookmarkStart w:id="1672" w:name="_Toc292559410"/>
      <w:bookmarkStart w:id="1673" w:name="_Toc296944544"/>
      <w:bookmarkStart w:id="1674" w:name="_Toc296347204"/>
      <w:bookmarkStart w:id="1675" w:name="_Toc296503205"/>
      <w:bookmarkStart w:id="1676" w:name="_Toc296891245"/>
      <w:bookmarkStart w:id="1677" w:name="_Toc296891033"/>
      <w:bookmarkStart w:id="1678" w:name="_Toc296346706"/>
      <w:bookmarkStart w:id="1679" w:name="_Toc297048391"/>
      <w:bookmarkStart w:id="1680" w:name="_Toc292559915"/>
      <w:bookmarkStart w:id="1681" w:name="_Toc351203644"/>
      <w:bookmarkStart w:id="1682" w:name="_Toc20059"/>
      <w:bookmarkStart w:id="1683" w:name="_Toc24534"/>
      <w:bookmarkStart w:id="1684" w:name="_Toc297216211"/>
      <w:bookmarkStart w:id="1685" w:name="_Toc300935002"/>
      <w:bookmarkStart w:id="1686" w:name="_Toc304295579"/>
      <w:bookmarkStart w:id="1687" w:name="_Toc312678040"/>
      <w:bookmarkStart w:id="1688" w:name="_Toc303539159"/>
      <w:bookmarkStart w:id="1689" w:name="_Toc297123552"/>
      <w:r>
        <w:rPr>
          <w:rFonts w:ascii="Times New Roman" w:hAnsi="Times New Roman"/>
          <w:b w:val="0"/>
          <w:color w:val="auto"/>
          <w:sz w:val="21"/>
          <w:szCs w:val="21"/>
          <w:highlight w:val="none"/>
        </w:rPr>
        <w:t xml:space="preserve">12. </w:t>
      </w:r>
      <w:bookmarkEnd w:id="1671"/>
      <w:bookmarkEnd w:id="1672"/>
      <w:bookmarkEnd w:id="1673"/>
      <w:bookmarkEnd w:id="1674"/>
      <w:bookmarkEnd w:id="1675"/>
      <w:bookmarkEnd w:id="1676"/>
      <w:bookmarkEnd w:id="1677"/>
      <w:bookmarkEnd w:id="1678"/>
      <w:bookmarkEnd w:id="1679"/>
      <w:bookmarkEnd w:id="1680"/>
      <w:r>
        <w:rPr>
          <w:rFonts w:ascii="Times New Roman" w:hAnsi="Times New Roman"/>
          <w:b w:val="0"/>
          <w:color w:val="auto"/>
          <w:sz w:val="21"/>
          <w:szCs w:val="21"/>
          <w:highlight w:val="none"/>
        </w:rPr>
        <w:t>合同价格、计量与支付</w:t>
      </w:r>
      <w:bookmarkEnd w:id="1681"/>
      <w:bookmarkEnd w:id="1682"/>
      <w:bookmarkEnd w:id="1683"/>
    </w:p>
    <w:bookmarkEnd w:id="1684"/>
    <w:bookmarkEnd w:id="1685"/>
    <w:bookmarkEnd w:id="1686"/>
    <w:bookmarkEnd w:id="1687"/>
    <w:bookmarkEnd w:id="1688"/>
    <w:bookmarkEnd w:id="1689"/>
    <w:p w14:paraId="5E30404C">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黑体"/>
          <w:color w:val="auto"/>
          <w:sz w:val="21"/>
          <w:szCs w:val="21"/>
          <w:highlight w:val="none"/>
        </w:rPr>
      </w:pPr>
      <w:bookmarkStart w:id="1690" w:name="_Toc292559916"/>
      <w:bookmarkStart w:id="1691" w:name="_Toc267251461"/>
      <w:bookmarkStart w:id="1692" w:name="_Toc292559411"/>
      <w:bookmarkStart w:id="1693" w:name="_Toc297120506"/>
      <w:bookmarkStart w:id="1694" w:name="_Toc296503206"/>
      <w:bookmarkStart w:id="1695" w:name="_Toc297048392"/>
      <w:bookmarkStart w:id="1696" w:name="_Toc296347205"/>
      <w:bookmarkStart w:id="1697" w:name="_Toc296891034"/>
      <w:bookmarkStart w:id="1698" w:name="_Toc296346707"/>
      <w:bookmarkStart w:id="1699" w:name="_Toc296891246"/>
      <w:bookmarkStart w:id="1700" w:name="_Toc296944545"/>
      <w:bookmarkStart w:id="1701" w:name="_Toc297123553"/>
      <w:bookmarkStart w:id="1702" w:name="_Toc297216212"/>
      <w:bookmarkStart w:id="1703" w:name="_Toc312678041"/>
      <w:bookmarkStart w:id="1704" w:name="_Toc304295580"/>
      <w:bookmarkStart w:id="1705" w:name="_Toc300935003"/>
      <w:bookmarkStart w:id="1706" w:name="_Toc303539160"/>
      <w:r>
        <w:rPr>
          <w:rFonts w:ascii="Times New Roman" w:hAnsi="Times New Roman" w:eastAsia="黑体"/>
          <w:color w:val="auto"/>
          <w:sz w:val="21"/>
          <w:szCs w:val="21"/>
          <w:highlight w:val="none"/>
        </w:rPr>
        <w:t>12.1 合</w:t>
      </w:r>
      <w:bookmarkEnd w:id="1690"/>
      <w:bookmarkEnd w:id="1691"/>
      <w:bookmarkEnd w:id="1692"/>
      <w:r>
        <w:rPr>
          <w:rFonts w:ascii="Times New Roman" w:hAnsi="Times New Roman" w:eastAsia="黑体"/>
          <w:color w:val="auto"/>
          <w:sz w:val="21"/>
          <w:szCs w:val="21"/>
          <w:highlight w:val="none"/>
        </w:rPr>
        <w:t>同价</w:t>
      </w:r>
      <w:bookmarkEnd w:id="1693"/>
      <w:bookmarkEnd w:id="1694"/>
      <w:bookmarkEnd w:id="1695"/>
      <w:bookmarkEnd w:id="1696"/>
      <w:bookmarkEnd w:id="1697"/>
      <w:bookmarkEnd w:id="1698"/>
      <w:bookmarkEnd w:id="1699"/>
      <w:bookmarkEnd w:id="1700"/>
      <w:r>
        <w:rPr>
          <w:rFonts w:ascii="Times New Roman" w:hAnsi="Times New Roman" w:eastAsia="黑体"/>
          <w:color w:val="auto"/>
          <w:sz w:val="21"/>
          <w:szCs w:val="21"/>
          <w:highlight w:val="none"/>
        </w:rPr>
        <w:t>格形式</w:t>
      </w:r>
    </w:p>
    <w:bookmarkEnd w:id="1701"/>
    <w:bookmarkEnd w:id="1702"/>
    <w:bookmarkEnd w:id="1703"/>
    <w:bookmarkEnd w:id="1704"/>
    <w:bookmarkEnd w:id="1705"/>
    <w:bookmarkEnd w:id="1706"/>
    <w:p w14:paraId="4BC56AC1">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hint="eastAsia" w:eastAsia="仿宋_GB2312"/>
          <w:color w:val="auto"/>
          <w:sz w:val="21"/>
          <w:szCs w:val="21"/>
          <w:highlight w:val="none"/>
          <w:lang w:eastAsia="zh-CN"/>
        </w:rPr>
        <w:t>1.</w:t>
      </w:r>
      <w:r>
        <w:rPr>
          <w:rFonts w:ascii="Times New Roman" w:hAnsi="Times New Roman" w:eastAsia="仿宋_GB2312"/>
          <w:color w:val="auto"/>
          <w:sz w:val="21"/>
          <w:szCs w:val="21"/>
          <w:highlight w:val="none"/>
        </w:rPr>
        <w:t>单价合同。</w:t>
      </w:r>
    </w:p>
    <w:p w14:paraId="5D68596B">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综合单价包含的风险范围：</w:t>
      </w:r>
      <w:r>
        <w:rPr>
          <w:rFonts w:hint="eastAsia" w:ascii="Times New Roman" w:hAnsi="Times New Roman" w:eastAsia="仿宋_GB2312" w:cs="Times New Roman"/>
          <w:color w:val="auto"/>
          <w:kern w:val="0"/>
          <w:sz w:val="21"/>
          <w:szCs w:val="21"/>
          <w:highlight w:val="none"/>
          <w:u w:val="single"/>
          <w:lang w:val="en-US" w:eastAsia="zh-CN"/>
        </w:rPr>
        <w:t>包含市场价格波动</w:t>
      </w:r>
      <w:r>
        <w:rPr>
          <w:rFonts w:hint="eastAsia" w:eastAsia="仿宋_GB2312" w:cs="Times New Roman"/>
          <w:color w:val="auto"/>
          <w:kern w:val="0"/>
          <w:sz w:val="21"/>
          <w:szCs w:val="21"/>
          <w:highlight w:val="none"/>
          <w:u w:val="single"/>
          <w:lang w:val="en-US" w:eastAsia="zh-CN"/>
        </w:rPr>
        <w:t>等</w:t>
      </w:r>
      <w:r>
        <w:rPr>
          <w:rFonts w:hint="eastAsia" w:ascii="Times New Roman" w:hAnsi="Times New Roman" w:eastAsia="仿宋_GB2312" w:cs="Times New Roman"/>
          <w:color w:val="auto"/>
          <w:kern w:val="0"/>
          <w:sz w:val="21"/>
          <w:szCs w:val="21"/>
          <w:highlight w:val="none"/>
          <w:u w:val="single"/>
          <w:lang w:val="en-US" w:eastAsia="zh-CN"/>
        </w:rPr>
        <w:t>所有风险</w:t>
      </w:r>
      <w:r>
        <w:rPr>
          <w:rFonts w:ascii="Times New Roman" w:hAnsi="Times New Roman" w:eastAsia="仿宋_GB2312"/>
          <w:color w:val="auto"/>
          <w:sz w:val="21"/>
          <w:szCs w:val="21"/>
          <w:highlight w:val="none"/>
        </w:rPr>
        <w:t>。</w:t>
      </w:r>
    </w:p>
    <w:p w14:paraId="63FB6B9A">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风险费用的计算方法：</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797B97A1">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风险范围以外合同价格的调整方法：</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73B5B242">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hint="eastAsia" w:eastAsia="仿宋_GB2312"/>
          <w:color w:val="auto"/>
          <w:sz w:val="21"/>
          <w:szCs w:val="21"/>
          <w:highlight w:val="none"/>
          <w:lang w:eastAsia="zh-CN"/>
        </w:rPr>
        <w:t>2.</w:t>
      </w:r>
      <w:r>
        <w:rPr>
          <w:rFonts w:ascii="Times New Roman" w:hAnsi="Times New Roman" w:eastAsia="仿宋_GB2312"/>
          <w:color w:val="auto"/>
          <w:sz w:val="21"/>
          <w:szCs w:val="21"/>
          <w:highlight w:val="none"/>
        </w:rPr>
        <w:t>总价合同。</w:t>
      </w:r>
    </w:p>
    <w:p w14:paraId="51AFF523">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总价包含的风险范围：</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lang w:val="en-US" w:eastAsia="zh-CN"/>
        </w:rPr>
        <w:t xml:space="preserve">    /</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lang w:val="en-US" w:eastAsia="zh-CN"/>
        </w:rPr>
        <w:t xml:space="preserve">     </w:t>
      </w:r>
      <w:r>
        <w:rPr>
          <w:rFonts w:ascii="Times New Roman" w:hAnsi="Times New Roman" w:eastAsia="仿宋_GB2312"/>
          <w:color w:val="auto"/>
          <w:sz w:val="21"/>
          <w:szCs w:val="21"/>
          <w:highlight w:val="none"/>
        </w:rPr>
        <w:t>。</w:t>
      </w:r>
    </w:p>
    <w:p w14:paraId="599FF2AB">
      <w:pPr>
        <w:pageBreakBefore w:val="0"/>
        <w:widowControl w:val="0"/>
        <w:kinsoku/>
        <w:wordWrap/>
        <w:overflowPunct/>
        <w:topLinePunct w:val="0"/>
        <w:bidi w:val="0"/>
        <w:adjustRightInd w:val="0"/>
        <w:snapToGrid w:val="0"/>
        <w:spacing w:line="360" w:lineRule="auto"/>
        <w:ind w:firstLine="420" w:firstLineChars="200"/>
        <w:jc w:val="left"/>
        <w:textAlignment w:val="auto"/>
        <w:rPr>
          <w:rFonts w:hint="eastAsia"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风险费用的计算方法：</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 xml:space="preserve"> </w:t>
      </w:r>
      <w:r>
        <w:rPr>
          <w:rFonts w:hint="eastAsia" w:ascii="Times New Roman" w:hAnsi="Times New Roman" w:eastAsia="仿宋_GB2312"/>
          <w:color w:val="auto"/>
          <w:sz w:val="21"/>
          <w:szCs w:val="21"/>
          <w:highlight w:val="none"/>
          <w:u w:val="single"/>
          <w:lang w:val="en-US" w:eastAsia="zh-CN"/>
        </w:rPr>
        <w:t>/</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lang w:val="en-US" w:eastAsia="zh-CN"/>
        </w:rPr>
        <w:t xml:space="preserve">   </w:t>
      </w:r>
      <w:r>
        <w:rPr>
          <w:rFonts w:ascii="Times New Roman" w:hAnsi="Times New Roman" w:eastAsia="仿宋_GB2312"/>
          <w:color w:val="auto"/>
          <w:sz w:val="21"/>
          <w:szCs w:val="21"/>
          <w:highlight w:val="none"/>
        </w:rPr>
        <w:t>。</w:t>
      </w:r>
    </w:p>
    <w:p w14:paraId="7EC3251E">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风险范围以外合同价格的调整方法：</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 xml:space="preserve">    </w:t>
      </w:r>
      <w:r>
        <w:rPr>
          <w:rFonts w:hint="eastAsia" w:ascii="Times New Roman" w:hAnsi="Times New Roman" w:eastAsia="仿宋_GB2312"/>
          <w:color w:val="auto"/>
          <w:sz w:val="21"/>
          <w:szCs w:val="21"/>
          <w:highlight w:val="none"/>
          <w:u w:val="single"/>
          <w:lang w:val="en-US" w:eastAsia="zh-CN"/>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283C9CA2">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hint="eastAsia" w:eastAsia="仿宋_GB2312"/>
          <w:color w:val="auto"/>
          <w:sz w:val="21"/>
          <w:szCs w:val="21"/>
          <w:highlight w:val="none"/>
          <w:lang w:eastAsia="zh-CN"/>
        </w:rPr>
        <w:t>3.</w:t>
      </w:r>
      <w:r>
        <w:rPr>
          <w:rFonts w:ascii="Times New Roman" w:hAnsi="Times New Roman" w:eastAsia="仿宋_GB2312"/>
          <w:color w:val="auto"/>
          <w:sz w:val="21"/>
          <w:szCs w:val="21"/>
          <w:highlight w:val="none"/>
        </w:rPr>
        <w:t>其他价格方式：</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lang w:val="en-US" w:eastAsia="zh-CN"/>
        </w:rPr>
        <w:t xml:space="preserve">   </w:t>
      </w:r>
      <w:r>
        <w:rPr>
          <w:rFonts w:hint="eastAsia" w:ascii="Times New Roman" w:hAnsi="Times New Roman" w:eastAsia="仿宋_GB2312" w:cs="Times New Roman"/>
          <w:color w:val="auto"/>
          <w:kern w:val="0"/>
          <w:sz w:val="21"/>
          <w:szCs w:val="21"/>
          <w:highlight w:val="none"/>
          <w:u w:val="single"/>
          <w:lang w:val="en-US" w:eastAsia="zh-CN"/>
        </w:rPr>
        <w:t xml:space="preserve"> </w:t>
      </w:r>
      <w:r>
        <w:rPr>
          <w:rFonts w:hint="eastAsia" w:ascii="Times New Roman" w:hAnsi="Times New Roman" w:eastAsia="仿宋_GB2312"/>
          <w:color w:val="auto"/>
          <w:sz w:val="21"/>
          <w:szCs w:val="21"/>
          <w:highlight w:val="none"/>
          <w:u w:val="single"/>
          <w:lang w:val="en-US" w:eastAsia="zh-CN"/>
        </w:rPr>
        <w:t xml:space="preserve">/    </w:t>
      </w:r>
      <w:r>
        <w:rPr>
          <w:rFonts w:hint="eastAsia" w:ascii="Times New Roman" w:hAnsi="Times New Roman" w:eastAsia="仿宋_GB2312" w:cs="Times New Roman"/>
          <w:color w:val="auto"/>
          <w:kern w:val="0"/>
          <w:sz w:val="21"/>
          <w:szCs w:val="21"/>
          <w:highlight w:val="none"/>
          <w:u w:val="single"/>
          <w:lang w:val="en-US" w:eastAsia="zh-CN"/>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36C2F4C5">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黑体"/>
          <w:color w:val="auto"/>
          <w:sz w:val="21"/>
          <w:szCs w:val="21"/>
          <w:highlight w:val="none"/>
        </w:rPr>
      </w:pPr>
      <w:bookmarkStart w:id="1707" w:name="_Toc312678042"/>
      <w:bookmarkStart w:id="1708" w:name="_Toc303539161"/>
      <w:bookmarkStart w:id="1709" w:name="_Toc297216213"/>
      <w:bookmarkStart w:id="1710" w:name="_Toc304295581"/>
      <w:bookmarkStart w:id="1711" w:name="_Toc297123554"/>
      <w:bookmarkStart w:id="1712" w:name="_Toc300935004"/>
      <w:bookmarkStart w:id="1713" w:name="_Toc296347206"/>
      <w:bookmarkStart w:id="1714" w:name="_Toc292559412"/>
      <w:bookmarkStart w:id="1715" w:name="_Toc292559917"/>
      <w:bookmarkStart w:id="1716" w:name="_Toc297120507"/>
      <w:bookmarkStart w:id="1717" w:name="_Toc296944546"/>
      <w:bookmarkStart w:id="1718" w:name="_Toc296891035"/>
      <w:bookmarkStart w:id="1719" w:name="_Toc297048393"/>
      <w:bookmarkStart w:id="1720" w:name="_Toc296891247"/>
      <w:bookmarkStart w:id="1721" w:name="_Toc296503207"/>
      <w:bookmarkStart w:id="1722" w:name="_Toc296346708"/>
      <w:r>
        <w:rPr>
          <w:rFonts w:ascii="Times New Roman" w:hAnsi="Times New Roman" w:eastAsia="黑体"/>
          <w:color w:val="auto"/>
          <w:sz w:val="21"/>
          <w:szCs w:val="21"/>
          <w:highlight w:val="none"/>
        </w:rPr>
        <w:t>12.2 预付款</w:t>
      </w:r>
    </w:p>
    <w:bookmarkEnd w:id="1707"/>
    <w:bookmarkEnd w:id="1708"/>
    <w:bookmarkEnd w:id="1709"/>
    <w:bookmarkEnd w:id="1710"/>
    <w:bookmarkEnd w:id="1711"/>
    <w:bookmarkEnd w:id="1712"/>
    <w:p w14:paraId="3F9C403D">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12.2.1 预付款的支付</w:t>
      </w:r>
    </w:p>
    <w:p w14:paraId="23837157">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预付款支付比例或金额：</w:t>
      </w:r>
      <w:r>
        <w:rPr>
          <w:rFonts w:hint="eastAsia" w:ascii="Times New Roman" w:hAnsi="Times New Roman" w:eastAsia="仿宋_GB2312"/>
          <w:color w:val="auto"/>
          <w:sz w:val="21"/>
          <w:szCs w:val="21"/>
          <w:highlight w:val="none"/>
          <w:u w:val="single"/>
        </w:rPr>
        <w:t>预付款为合同金额的30%。</w:t>
      </w:r>
    </w:p>
    <w:p w14:paraId="5F0B7F57">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预付款支付期限：</w:t>
      </w:r>
      <w:r>
        <w:rPr>
          <w:rFonts w:hint="eastAsia" w:ascii="Times New Roman" w:hAnsi="Times New Roman" w:eastAsia="仿宋_GB2312"/>
          <w:color w:val="auto"/>
          <w:sz w:val="21"/>
          <w:szCs w:val="21"/>
          <w:highlight w:val="none"/>
          <w:u w:val="single"/>
        </w:rPr>
        <w:t>在投标人进场前的7天内支付预付款</w:t>
      </w:r>
      <w:r>
        <w:rPr>
          <w:rFonts w:ascii="Times New Roman" w:hAnsi="Times New Roman" w:eastAsia="仿宋_GB2312"/>
          <w:color w:val="auto"/>
          <w:sz w:val="21"/>
          <w:szCs w:val="21"/>
          <w:highlight w:val="none"/>
        </w:rPr>
        <w:t>。</w:t>
      </w:r>
    </w:p>
    <w:p w14:paraId="0DF4D7DD">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预付款扣回的方式：</w:t>
      </w:r>
      <w:r>
        <w:rPr>
          <w:rFonts w:hint="eastAsia" w:ascii="Times New Roman" w:hAnsi="Times New Roman" w:eastAsia="仿宋_GB2312"/>
          <w:color w:val="auto"/>
          <w:sz w:val="21"/>
          <w:szCs w:val="21"/>
          <w:highlight w:val="none"/>
          <w:u w:val="single"/>
        </w:rPr>
        <w:t>预付款在工程进度款中抵扣</w:t>
      </w:r>
      <w:r>
        <w:rPr>
          <w:rFonts w:ascii="Times New Roman" w:hAnsi="Times New Roman" w:eastAsia="仿宋_GB2312"/>
          <w:color w:val="auto"/>
          <w:sz w:val="21"/>
          <w:szCs w:val="21"/>
          <w:highlight w:val="none"/>
        </w:rPr>
        <w:t>。</w:t>
      </w:r>
    </w:p>
    <w:p w14:paraId="7AEBEA42">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12.2.2 预付款担保</w:t>
      </w:r>
    </w:p>
    <w:p w14:paraId="4D84ECE4">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承包人提交预付款担保的期限：</w:t>
      </w:r>
      <w:r>
        <w:rPr>
          <w:rFonts w:hint="eastAsia" w:ascii="Times New Roman" w:hAnsi="Times New Roman" w:eastAsia="仿宋_GB2312" w:cs="Times New Roman"/>
          <w:color w:val="auto"/>
          <w:kern w:val="0"/>
          <w:sz w:val="21"/>
          <w:szCs w:val="21"/>
          <w:highlight w:val="none"/>
          <w:u w:val="single"/>
          <w:lang w:val="en-US" w:eastAsia="zh-CN"/>
        </w:rPr>
        <w:t>执行通用合同条款</w:t>
      </w:r>
      <w:r>
        <w:rPr>
          <w:rFonts w:ascii="Times New Roman" w:hAnsi="Times New Roman" w:eastAsia="仿宋_GB2312"/>
          <w:color w:val="auto"/>
          <w:sz w:val="21"/>
          <w:szCs w:val="21"/>
          <w:highlight w:val="none"/>
        </w:rPr>
        <w:t>。</w:t>
      </w:r>
    </w:p>
    <w:p w14:paraId="6590C7B8">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预付款担保的形式为：</w:t>
      </w:r>
      <w:r>
        <w:rPr>
          <w:rFonts w:hint="eastAsia" w:ascii="Times New Roman" w:hAnsi="Times New Roman" w:eastAsia="仿宋_GB2312" w:cs="Times New Roman"/>
          <w:color w:val="auto"/>
          <w:kern w:val="0"/>
          <w:sz w:val="21"/>
          <w:szCs w:val="21"/>
          <w:highlight w:val="none"/>
          <w:u w:val="single"/>
          <w:lang w:val="en-US" w:eastAsia="zh-CN"/>
        </w:rPr>
        <w:t>见索即付预付款保函</w:t>
      </w:r>
      <w:r>
        <w:rPr>
          <w:rFonts w:ascii="Times New Roman" w:hAnsi="Times New Roman" w:eastAsia="仿宋_GB2312"/>
          <w:color w:val="auto"/>
          <w:sz w:val="21"/>
          <w:szCs w:val="21"/>
          <w:highlight w:val="none"/>
        </w:rPr>
        <w:t>。</w:t>
      </w:r>
    </w:p>
    <w:bookmarkEnd w:id="1713"/>
    <w:bookmarkEnd w:id="1714"/>
    <w:bookmarkEnd w:id="1715"/>
    <w:bookmarkEnd w:id="1716"/>
    <w:bookmarkEnd w:id="1717"/>
    <w:bookmarkEnd w:id="1718"/>
    <w:bookmarkEnd w:id="1719"/>
    <w:bookmarkEnd w:id="1720"/>
    <w:bookmarkEnd w:id="1721"/>
    <w:bookmarkEnd w:id="1722"/>
    <w:p w14:paraId="290ACF6E">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黑体"/>
          <w:color w:val="auto"/>
          <w:sz w:val="21"/>
          <w:szCs w:val="21"/>
          <w:highlight w:val="none"/>
        </w:rPr>
      </w:pPr>
      <w:r>
        <w:rPr>
          <w:rFonts w:ascii="Times New Roman" w:hAnsi="Times New Roman" w:eastAsia="黑体"/>
          <w:color w:val="auto"/>
          <w:sz w:val="21"/>
          <w:szCs w:val="21"/>
          <w:highlight w:val="none"/>
        </w:rPr>
        <w:t>12.3 计量</w:t>
      </w:r>
    </w:p>
    <w:p w14:paraId="09DF91B8">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12.3.1 计量原则</w:t>
      </w:r>
    </w:p>
    <w:p w14:paraId="7F12FACE">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工程量计算规则：</w:t>
      </w:r>
      <w:r>
        <w:rPr>
          <w:rFonts w:hint="eastAsia" w:ascii="Times New Roman" w:hAnsi="Times New Roman" w:eastAsia="仿宋_GB2312" w:cs="Times New Roman"/>
          <w:color w:val="auto"/>
          <w:kern w:val="0"/>
          <w:sz w:val="21"/>
          <w:szCs w:val="21"/>
          <w:highlight w:val="none"/>
          <w:u w:val="single"/>
          <w:lang w:val="en-US" w:eastAsia="zh-CN"/>
        </w:rPr>
        <w:t>按国家标准《建设工程工程量清单计价标准》（GB/T50500-2024）规定的工程量计算规则计算实际完成的工程量并符合本合同约定及发包人的合规要求。但是，发包人对工程量计算规则有明确要求和标准的，承包人须无条件执行</w:t>
      </w:r>
      <w:r>
        <w:rPr>
          <w:rFonts w:ascii="Times New Roman" w:hAnsi="Times New Roman" w:eastAsia="仿宋_GB2312"/>
          <w:color w:val="auto"/>
          <w:sz w:val="21"/>
          <w:szCs w:val="21"/>
          <w:highlight w:val="none"/>
        </w:rPr>
        <w:t>。</w:t>
      </w:r>
    </w:p>
    <w:p w14:paraId="6C179ABB">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12.3.2 计量周期</w:t>
      </w:r>
    </w:p>
    <w:p w14:paraId="68F8AA3A">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关于计量周期的约定：</w:t>
      </w:r>
      <w:r>
        <w:rPr>
          <w:rFonts w:hint="eastAsia" w:ascii="Times New Roman" w:hAnsi="Times New Roman" w:eastAsia="仿宋_GB2312" w:cs="Times New Roman"/>
          <w:color w:val="auto"/>
          <w:kern w:val="0"/>
          <w:sz w:val="21"/>
          <w:szCs w:val="21"/>
          <w:highlight w:val="none"/>
          <w:u w:val="single"/>
          <w:lang w:val="en-US" w:eastAsia="zh-CN"/>
        </w:rPr>
        <w:t>执行通用合同条款</w:t>
      </w:r>
      <w:r>
        <w:rPr>
          <w:rFonts w:ascii="Times New Roman" w:hAnsi="Times New Roman" w:eastAsia="仿宋_GB2312"/>
          <w:color w:val="auto"/>
          <w:sz w:val="21"/>
          <w:szCs w:val="21"/>
          <w:highlight w:val="none"/>
        </w:rPr>
        <w:t>。</w:t>
      </w:r>
    </w:p>
    <w:p w14:paraId="10D04FB7">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12.3.3 单价合同的计量</w:t>
      </w:r>
    </w:p>
    <w:p w14:paraId="5F8558E2">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关于单价合同计量的约定：</w:t>
      </w:r>
      <w:r>
        <w:rPr>
          <w:rFonts w:hint="eastAsia" w:ascii="Times New Roman" w:hAnsi="Times New Roman" w:eastAsia="仿宋_GB2312" w:cs="Times New Roman"/>
          <w:color w:val="auto"/>
          <w:kern w:val="0"/>
          <w:sz w:val="21"/>
          <w:szCs w:val="21"/>
          <w:highlight w:val="none"/>
          <w:u w:val="single"/>
          <w:lang w:val="en-US" w:eastAsia="zh-CN"/>
        </w:rPr>
        <w:t>执行通用合同条款</w:t>
      </w:r>
      <w:r>
        <w:rPr>
          <w:rFonts w:ascii="Times New Roman" w:hAnsi="Times New Roman" w:eastAsia="仿宋_GB2312"/>
          <w:color w:val="auto"/>
          <w:sz w:val="21"/>
          <w:szCs w:val="21"/>
          <w:highlight w:val="none"/>
        </w:rPr>
        <w:t>。</w:t>
      </w:r>
    </w:p>
    <w:p w14:paraId="0C94D84E">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12.3.4 总价合同的计量</w:t>
      </w:r>
    </w:p>
    <w:p w14:paraId="51B8DB1A">
      <w:pPr>
        <w:pageBreakBefore w:val="0"/>
        <w:widowControl w:val="0"/>
        <w:kinsoku/>
        <w:wordWrap/>
        <w:overflowPunct/>
        <w:topLinePunct w:val="0"/>
        <w:bidi w:val="0"/>
        <w:adjustRightInd w:val="0"/>
        <w:snapToGrid w:val="0"/>
        <w:spacing w:line="360" w:lineRule="auto"/>
        <w:ind w:firstLine="420" w:firstLineChars="200"/>
        <w:jc w:val="left"/>
        <w:textAlignment w:val="auto"/>
        <w:rPr>
          <w:rFonts w:hint="eastAsia"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关于总价合同计量的约定：</w:t>
      </w:r>
      <w:r>
        <w:rPr>
          <w:rFonts w:hint="eastAsia" w:ascii="Times New Roman" w:hAnsi="Times New Roman" w:eastAsia="仿宋_GB2312" w:cs="Times New Roman"/>
          <w:color w:val="auto"/>
          <w:kern w:val="0"/>
          <w:sz w:val="21"/>
          <w:szCs w:val="21"/>
          <w:highlight w:val="none"/>
          <w:u w:val="single"/>
          <w:lang w:val="en-US" w:eastAsia="zh-CN"/>
        </w:rPr>
        <w:t>执行通用合同条款</w:t>
      </w:r>
      <w:r>
        <w:rPr>
          <w:rFonts w:ascii="Times New Roman" w:hAnsi="Times New Roman" w:eastAsia="仿宋_GB2312"/>
          <w:color w:val="auto"/>
          <w:sz w:val="21"/>
          <w:szCs w:val="21"/>
          <w:highlight w:val="none"/>
        </w:rPr>
        <w:t>。</w:t>
      </w:r>
    </w:p>
    <w:p w14:paraId="410726EB">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12.3.5总价合同采用支付分解表计量支付的，是否适用第</w:t>
      </w:r>
      <w:r>
        <w:rPr>
          <w:rFonts w:ascii="Times New Roman" w:hAnsi="Times New Roman" w:eastAsia="仿宋_GB2312"/>
          <w:color w:val="auto"/>
          <w:kern w:val="0"/>
          <w:sz w:val="21"/>
          <w:szCs w:val="21"/>
          <w:highlight w:val="none"/>
        </w:rPr>
        <w:t xml:space="preserve">12.3.4 </w:t>
      </w:r>
      <w:r>
        <w:rPr>
          <w:rFonts w:ascii="Times New Roman" w:hAnsi="Times New Roman" w:eastAsia="仿宋_GB2312"/>
          <w:color w:val="auto"/>
          <w:sz w:val="21"/>
          <w:szCs w:val="21"/>
          <w:highlight w:val="none"/>
        </w:rPr>
        <w:t>项</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总价合同的计量</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sz w:val="21"/>
          <w:szCs w:val="21"/>
          <w:highlight w:val="none"/>
        </w:rPr>
        <w:t>约定</w:t>
      </w:r>
      <w:r>
        <w:rPr>
          <w:rFonts w:hint="eastAsia" w:ascii="Times New Roman" w:hAnsi="Times New Roman" w:eastAsia="仿宋_GB2312"/>
          <w:color w:val="auto"/>
          <w:sz w:val="21"/>
          <w:szCs w:val="21"/>
          <w:highlight w:val="none"/>
        </w:rPr>
        <w:t>进行计量：</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lang w:val="en-US" w:eastAsia="zh-CN"/>
        </w:rPr>
        <w:t>/</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3CFB8534">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12.3.6 其他价格形式合同的计量</w:t>
      </w:r>
    </w:p>
    <w:p w14:paraId="58CEF6B0">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其他价格形式的计量方式和程序：</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 xml:space="preserve">无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0034346B">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黑体"/>
          <w:color w:val="auto"/>
          <w:sz w:val="21"/>
          <w:szCs w:val="21"/>
          <w:highlight w:val="none"/>
        </w:rPr>
      </w:pPr>
      <w:r>
        <w:rPr>
          <w:rFonts w:ascii="Times New Roman" w:hAnsi="Times New Roman" w:eastAsia="黑体"/>
          <w:color w:val="auto"/>
          <w:sz w:val="21"/>
          <w:szCs w:val="21"/>
          <w:highlight w:val="none"/>
        </w:rPr>
        <w:t>12.4 工程进度款支付</w:t>
      </w:r>
    </w:p>
    <w:p w14:paraId="3FB49F17">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bookmarkStart w:id="1723" w:name="_Toc296891251"/>
      <w:bookmarkStart w:id="1724" w:name="_Toc297123556"/>
      <w:bookmarkStart w:id="1725" w:name="_Toc292559921"/>
      <w:bookmarkStart w:id="1726" w:name="_Toc297048397"/>
      <w:bookmarkStart w:id="1727" w:name="_Toc296346712"/>
      <w:bookmarkStart w:id="1728" w:name="_Toc297216215"/>
      <w:bookmarkStart w:id="1729" w:name="_Toc300935006"/>
      <w:bookmarkStart w:id="1730" w:name="_Toc292559416"/>
      <w:bookmarkStart w:id="1731" w:name="_Toc296944550"/>
      <w:bookmarkStart w:id="1732" w:name="_Toc296891039"/>
      <w:bookmarkStart w:id="1733" w:name="_Toc296347210"/>
      <w:bookmarkStart w:id="1734" w:name="_Toc303539163"/>
      <w:bookmarkStart w:id="1735" w:name="_Toc296503211"/>
      <w:bookmarkStart w:id="1736" w:name="_Toc297120511"/>
      <w:r>
        <w:rPr>
          <w:rFonts w:ascii="Times New Roman" w:hAnsi="Times New Roman" w:eastAsia="仿宋_GB2312"/>
          <w:color w:val="auto"/>
          <w:sz w:val="21"/>
          <w:szCs w:val="21"/>
          <w:highlight w:val="none"/>
        </w:rPr>
        <w:t>12.4.1 付款周期</w:t>
      </w:r>
    </w:p>
    <w:p w14:paraId="4D651292">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关于付款周期的约定：</w:t>
      </w:r>
      <w:r>
        <w:rPr>
          <w:rFonts w:hint="eastAsia" w:ascii="Times New Roman" w:hAnsi="Times New Roman" w:eastAsia="仿宋_GB2312" w:cs="Times New Roman"/>
          <w:color w:val="auto"/>
          <w:kern w:val="0"/>
          <w:sz w:val="21"/>
          <w:szCs w:val="21"/>
          <w:highlight w:val="none"/>
          <w:u w:val="single"/>
          <w:lang w:val="en-US" w:eastAsia="zh-CN"/>
        </w:rPr>
        <w:t>进度款按合同约定和工程形象进度付款，预付款在工程进度款中抵扣</w:t>
      </w:r>
      <w:r>
        <w:rPr>
          <w:rFonts w:hint="eastAsia" w:eastAsia="仿宋_GB2312" w:cs="Times New Roman"/>
          <w:color w:val="auto"/>
          <w:kern w:val="0"/>
          <w:sz w:val="21"/>
          <w:szCs w:val="21"/>
          <w:highlight w:val="none"/>
          <w:u w:val="single"/>
          <w:lang w:val="en-US" w:eastAsia="zh-CN"/>
        </w:rPr>
        <w:t>；</w:t>
      </w:r>
      <w:r>
        <w:rPr>
          <w:rFonts w:hint="eastAsia" w:ascii="Times New Roman" w:hAnsi="Times New Roman" w:eastAsia="仿宋_GB2312" w:cs="Times New Roman"/>
          <w:color w:val="auto"/>
          <w:kern w:val="0"/>
          <w:sz w:val="21"/>
          <w:szCs w:val="21"/>
          <w:highlight w:val="none"/>
          <w:u w:val="single"/>
          <w:lang w:val="en-US" w:eastAsia="zh-CN"/>
        </w:rPr>
        <w:t>竣工验收合格后</w:t>
      </w:r>
      <w:r>
        <w:rPr>
          <w:rFonts w:hint="eastAsia" w:eastAsia="仿宋_GB2312" w:cs="Times New Roman"/>
          <w:color w:val="auto"/>
          <w:kern w:val="0"/>
          <w:sz w:val="21"/>
          <w:szCs w:val="21"/>
          <w:highlight w:val="none"/>
          <w:u w:val="single"/>
          <w:lang w:val="en-US" w:eastAsia="zh-CN"/>
        </w:rPr>
        <w:t>、</w:t>
      </w:r>
      <w:r>
        <w:rPr>
          <w:rFonts w:hint="eastAsia" w:ascii="Times New Roman" w:hAnsi="Times New Roman" w:eastAsia="仿宋_GB2312" w:cs="Times New Roman"/>
          <w:color w:val="auto"/>
          <w:kern w:val="0"/>
          <w:sz w:val="21"/>
          <w:szCs w:val="21"/>
          <w:highlight w:val="none"/>
          <w:u w:val="single"/>
          <w:lang w:val="en-US" w:eastAsia="zh-CN"/>
        </w:rPr>
        <w:t>项目竣工结算审核前，支付至合同金额的80%；</w:t>
      </w:r>
      <w:r>
        <w:rPr>
          <w:rFonts w:hint="default" w:ascii="Times New Roman" w:hAnsi="Times New Roman" w:eastAsia="仿宋_GB2312" w:cs="Times New Roman"/>
          <w:color w:val="auto"/>
          <w:kern w:val="0"/>
          <w:sz w:val="21"/>
          <w:szCs w:val="21"/>
          <w:highlight w:val="none"/>
          <w:u w:val="single"/>
          <w:lang w:val="en-US" w:eastAsia="zh-CN"/>
        </w:rPr>
        <w:t>上级部门委托中介机构审核后</w:t>
      </w:r>
      <w:r>
        <w:rPr>
          <w:rFonts w:hint="eastAsia" w:ascii="Times New Roman" w:hAnsi="Times New Roman" w:eastAsia="仿宋_GB2312" w:cs="Times New Roman"/>
          <w:color w:val="auto"/>
          <w:kern w:val="0"/>
          <w:sz w:val="21"/>
          <w:szCs w:val="21"/>
          <w:highlight w:val="none"/>
          <w:u w:val="single"/>
          <w:lang w:val="en-US" w:eastAsia="zh-CN"/>
        </w:rPr>
        <w:t>，</w:t>
      </w:r>
      <w:r>
        <w:rPr>
          <w:rFonts w:hint="default" w:ascii="Times New Roman" w:hAnsi="Times New Roman" w:eastAsia="仿宋_GB2312" w:cs="Times New Roman"/>
          <w:color w:val="auto"/>
          <w:kern w:val="0"/>
          <w:sz w:val="21"/>
          <w:szCs w:val="21"/>
          <w:highlight w:val="none"/>
          <w:u w:val="single"/>
          <w:lang w:val="en-US" w:eastAsia="zh-CN"/>
        </w:rPr>
        <w:t>按照结算金额预留质保金即结算金额的3%后支付尾款</w:t>
      </w:r>
      <w:r>
        <w:rPr>
          <w:rFonts w:hint="eastAsia" w:ascii="Times New Roman" w:hAnsi="Times New Roman" w:eastAsia="仿宋_GB2312" w:cs="Times New Roman"/>
          <w:color w:val="auto"/>
          <w:kern w:val="0"/>
          <w:sz w:val="21"/>
          <w:szCs w:val="21"/>
          <w:highlight w:val="none"/>
          <w:u w:val="single"/>
          <w:lang w:val="en-US" w:eastAsia="zh-CN"/>
        </w:rPr>
        <w:t>。</w:t>
      </w:r>
    </w:p>
    <w:p w14:paraId="11E684CF">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12.4.2 进度付款申请单的编制</w:t>
      </w:r>
    </w:p>
    <w:p w14:paraId="5EB32D21">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关于进度付款申请单编制的约定：</w:t>
      </w:r>
      <w:r>
        <w:rPr>
          <w:rFonts w:hint="eastAsia" w:ascii="Times New Roman" w:hAnsi="Times New Roman" w:eastAsia="仿宋_GB2312" w:cs="Times New Roman"/>
          <w:color w:val="auto"/>
          <w:kern w:val="0"/>
          <w:sz w:val="21"/>
          <w:szCs w:val="21"/>
          <w:highlight w:val="none"/>
          <w:u w:val="single"/>
          <w:lang w:val="en-US" w:eastAsia="zh-CN"/>
        </w:rPr>
        <w:t>执行通用合同条款</w:t>
      </w:r>
      <w:r>
        <w:rPr>
          <w:rFonts w:ascii="Times New Roman" w:hAnsi="Times New Roman" w:eastAsia="仿宋_GB2312"/>
          <w:color w:val="auto"/>
          <w:sz w:val="21"/>
          <w:szCs w:val="21"/>
          <w:highlight w:val="none"/>
        </w:rPr>
        <w:t>。</w:t>
      </w:r>
    </w:p>
    <w:p w14:paraId="16748A9A">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w:t>
      </w:r>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r>
        <w:rPr>
          <w:rFonts w:ascii="Times New Roman" w:hAnsi="Times New Roman" w:eastAsia="仿宋_GB2312"/>
          <w:color w:val="auto"/>
          <w:sz w:val="21"/>
          <w:szCs w:val="21"/>
          <w:highlight w:val="none"/>
        </w:rPr>
        <w:t>2.4.3 进度付款申请单的提交</w:t>
      </w:r>
    </w:p>
    <w:p w14:paraId="285E8745">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（1）单价合同进度付款申请单提交的约定</w:t>
      </w:r>
      <w:r>
        <w:rPr>
          <w:rFonts w:hint="eastAsia" w:ascii="Times New Roman" w:hAnsi="Times New Roman" w:eastAsia="仿宋_GB2312"/>
          <w:color w:val="auto"/>
          <w:sz w:val="21"/>
          <w:szCs w:val="21"/>
          <w:highlight w:val="none"/>
        </w:rPr>
        <w:t>：</w:t>
      </w:r>
      <w:r>
        <w:rPr>
          <w:rFonts w:hint="eastAsia" w:ascii="Times New Roman" w:hAnsi="Times New Roman" w:eastAsia="仿宋_GB2312" w:cs="Times New Roman"/>
          <w:color w:val="auto"/>
          <w:kern w:val="0"/>
          <w:sz w:val="21"/>
          <w:szCs w:val="21"/>
          <w:highlight w:val="none"/>
          <w:u w:val="single"/>
          <w:lang w:val="en-US" w:eastAsia="zh-CN"/>
        </w:rPr>
        <w:t>执行通用合同条款</w:t>
      </w:r>
      <w:r>
        <w:rPr>
          <w:rFonts w:ascii="Times New Roman" w:hAnsi="Times New Roman" w:eastAsia="仿宋_GB2312"/>
          <w:color w:val="auto"/>
          <w:sz w:val="21"/>
          <w:szCs w:val="21"/>
          <w:highlight w:val="none"/>
        </w:rPr>
        <w:t>。</w:t>
      </w:r>
    </w:p>
    <w:p w14:paraId="50F29470">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（2）总价合同进度付款申请单提交的约定</w:t>
      </w:r>
      <w:r>
        <w:rPr>
          <w:rFonts w:hint="eastAsia" w:ascii="Times New Roman" w:hAnsi="Times New Roman" w:eastAsia="仿宋_GB2312"/>
          <w:color w:val="auto"/>
          <w:sz w:val="21"/>
          <w:szCs w:val="21"/>
          <w:highlight w:val="none"/>
        </w:rPr>
        <w:t>：</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01C9E0A2">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（3）其他价格形式合同进度付款申请单提交的约定：</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无</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1E679343">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12.4.4 进度款审核和支付</w:t>
      </w:r>
    </w:p>
    <w:p w14:paraId="4DAAA097">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u w:val="single"/>
        </w:rPr>
      </w:pPr>
      <w:r>
        <w:rPr>
          <w:rFonts w:ascii="Times New Roman" w:hAnsi="Times New Roman" w:eastAsia="仿宋_GB2312"/>
          <w:color w:val="auto"/>
          <w:sz w:val="21"/>
          <w:szCs w:val="21"/>
          <w:highlight w:val="none"/>
        </w:rPr>
        <w:t>（1）监理人审查并报送发包人的期限：</w:t>
      </w:r>
      <w:r>
        <w:rPr>
          <w:rFonts w:hint="eastAsia" w:ascii="Times New Roman" w:hAnsi="Times New Roman" w:eastAsia="仿宋_GB2312" w:cs="Times New Roman"/>
          <w:color w:val="auto"/>
          <w:kern w:val="0"/>
          <w:sz w:val="21"/>
          <w:szCs w:val="21"/>
          <w:highlight w:val="none"/>
          <w:u w:val="single"/>
          <w:lang w:val="en-US" w:eastAsia="zh-CN"/>
        </w:rPr>
        <w:t>监理人应在收到承包人进度付款申请单以及相关资料后7天内完成审查并报送发包人</w:t>
      </w:r>
      <w:r>
        <w:rPr>
          <w:rFonts w:ascii="Times New Roman" w:hAnsi="Times New Roman" w:eastAsia="仿宋_GB2312"/>
          <w:color w:val="auto"/>
          <w:sz w:val="21"/>
          <w:szCs w:val="21"/>
          <w:highlight w:val="none"/>
        </w:rPr>
        <w:t>。</w:t>
      </w:r>
    </w:p>
    <w:p w14:paraId="1D96B1E3">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发包人完成审批并签发进度款支付证书的期限：</w:t>
      </w:r>
      <w:r>
        <w:rPr>
          <w:rFonts w:hint="eastAsia" w:ascii="Times New Roman" w:hAnsi="Times New Roman" w:eastAsia="仿宋_GB2312" w:cs="Times New Roman"/>
          <w:color w:val="auto"/>
          <w:kern w:val="0"/>
          <w:sz w:val="21"/>
          <w:szCs w:val="21"/>
          <w:highlight w:val="none"/>
          <w:u w:val="single"/>
          <w:lang w:val="en-US" w:eastAsia="zh-CN"/>
        </w:rPr>
        <w:t>发包人应在收到后7天内完成审批并签发进度款支付证书</w:t>
      </w:r>
      <w:r>
        <w:rPr>
          <w:rFonts w:ascii="Times New Roman" w:hAnsi="Times New Roman" w:eastAsia="仿宋_GB2312"/>
          <w:color w:val="auto"/>
          <w:sz w:val="21"/>
          <w:szCs w:val="21"/>
          <w:highlight w:val="none"/>
        </w:rPr>
        <w:t>。</w:t>
      </w:r>
    </w:p>
    <w:p w14:paraId="51ABE3B3">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（2）发包人支付进度款的期限：</w:t>
      </w:r>
      <w:r>
        <w:rPr>
          <w:rFonts w:hint="eastAsia" w:ascii="Times New Roman" w:hAnsi="Times New Roman" w:eastAsia="仿宋_GB2312" w:cs="Times New Roman"/>
          <w:color w:val="auto"/>
          <w:kern w:val="0"/>
          <w:sz w:val="21"/>
          <w:szCs w:val="21"/>
          <w:highlight w:val="none"/>
          <w:u w:val="single"/>
          <w:lang w:val="en-US" w:eastAsia="zh-CN"/>
        </w:rPr>
        <w:t>执行通用合同条款</w:t>
      </w:r>
      <w:r>
        <w:rPr>
          <w:rFonts w:ascii="Times New Roman" w:hAnsi="Times New Roman" w:eastAsia="仿宋_GB2312"/>
          <w:color w:val="auto"/>
          <w:sz w:val="21"/>
          <w:szCs w:val="21"/>
          <w:highlight w:val="none"/>
        </w:rPr>
        <w:t>。</w:t>
      </w:r>
    </w:p>
    <w:p w14:paraId="5D51BE40">
      <w:pPr>
        <w:pageBreakBefore w:val="0"/>
        <w:widowControl w:val="0"/>
        <w:kinsoku/>
        <w:wordWrap/>
        <w:overflowPunct/>
        <w:topLinePunct w:val="0"/>
        <w:bidi w:val="0"/>
        <w:adjustRightInd w:val="0"/>
        <w:snapToGrid w:val="0"/>
        <w:spacing w:line="360" w:lineRule="auto"/>
        <w:ind w:firstLine="420" w:firstLineChars="200"/>
        <w:jc w:val="left"/>
        <w:textAlignment w:val="auto"/>
        <w:rPr>
          <w:rFonts w:hint="eastAsia"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发包人逾期支付进度款的违约金的计算方式：</w:t>
      </w:r>
      <w:r>
        <w:rPr>
          <w:rFonts w:hint="eastAsia" w:ascii="Times New Roman" w:hAnsi="Times New Roman" w:eastAsia="仿宋_GB2312" w:cs="Times New Roman"/>
          <w:color w:val="auto"/>
          <w:kern w:val="0"/>
          <w:sz w:val="21"/>
          <w:szCs w:val="21"/>
          <w:highlight w:val="none"/>
          <w:u w:val="single"/>
          <w:lang w:val="en-US" w:eastAsia="zh-CN"/>
        </w:rPr>
        <w:t>执行通用合同条款</w:t>
      </w:r>
      <w:r>
        <w:rPr>
          <w:rFonts w:ascii="Times New Roman" w:hAnsi="Times New Roman" w:eastAsia="仿宋_GB2312"/>
          <w:color w:val="auto"/>
          <w:sz w:val="21"/>
          <w:szCs w:val="21"/>
          <w:highlight w:val="none"/>
        </w:rPr>
        <w:t>。</w:t>
      </w:r>
    </w:p>
    <w:p w14:paraId="1EC63EA8">
      <w:pPr>
        <w:pageBreakBefore w:val="0"/>
        <w:widowControl w:val="0"/>
        <w:kinsoku/>
        <w:wordWrap/>
        <w:overflowPunct/>
        <w:topLinePunct w:val="0"/>
        <w:bidi w:val="0"/>
        <w:adjustRightInd w:val="0"/>
        <w:snapToGrid w:val="0"/>
        <w:spacing w:line="360" w:lineRule="auto"/>
        <w:ind w:firstLine="525" w:firstLineChars="250"/>
        <w:jc w:val="left"/>
        <w:textAlignment w:val="auto"/>
        <w:rPr>
          <w:rFonts w:hint="eastAsia"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12.4.6 支付分解表的编制</w:t>
      </w:r>
    </w:p>
    <w:p w14:paraId="59F47760">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hint="eastAsia" w:eastAsia="仿宋_GB2312"/>
          <w:color w:val="auto"/>
          <w:sz w:val="21"/>
          <w:szCs w:val="21"/>
          <w:highlight w:val="none"/>
          <w:lang w:eastAsia="zh-CN"/>
        </w:rPr>
        <w:t>2.</w:t>
      </w:r>
      <w:r>
        <w:rPr>
          <w:rFonts w:ascii="Times New Roman" w:hAnsi="Times New Roman" w:eastAsia="仿宋_GB2312"/>
          <w:color w:val="auto"/>
          <w:sz w:val="21"/>
          <w:szCs w:val="21"/>
          <w:highlight w:val="none"/>
        </w:rPr>
        <w:t>总价合同支付分解表的编制与审批：</w:t>
      </w:r>
      <w:r>
        <w:rPr>
          <w:rFonts w:hint="eastAsia" w:ascii="Times New Roman" w:hAnsi="Times New Roman" w:eastAsia="仿宋_GB2312" w:cs="Times New Roman"/>
          <w:color w:val="auto"/>
          <w:kern w:val="0"/>
          <w:sz w:val="21"/>
          <w:szCs w:val="21"/>
          <w:highlight w:val="none"/>
          <w:u w:val="single"/>
          <w:lang w:val="en-US" w:eastAsia="zh-CN"/>
        </w:rPr>
        <w:t>执行通用合同条款</w:t>
      </w:r>
      <w:r>
        <w:rPr>
          <w:rFonts w:ascii="Times New Roman" w:hAnsi="Times New Roman" w:eastAsia="仿宋_GB2312"/>
          <w:color w:val="auto"/>
          <w:sz w:val="21"/>
          <w:szCs w:val="21"/>
          <w:highlight w:val="none"/>
        </w:rPr>
        <w:t>。</w:t>
      </w:r>
    </w:p>
    <w:p w14:paraId="7CE73165">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hint="eastAsia" w:eastAsia="仿宋_GB2312"/>
          <w:color w:val="auto"/>
          <w:sz w:val="21"/>
          <w:szCs w:val="21"/>
          <w:highlight w:val="none"/>
          <w:lang w:eastAsia="zh-CN"/>
        </w:rPr>
        <w:t>3.</w:t>
      </w:r>
      <w:r>
        <w:rPr>
          <w:rFonts w:ascii="Times New Roman" w:hAnsi="Times New Roman" w:eastAsia="仿宋_GB2312"/>
          <w:color w:val="auto"/>
          <w:sz w:val="21"/>
          <w:szCs w:val="21"/>
          <w:highlight w:val="none"/>
        </w:rPr>
        <w:t>单价合同的总价项目支付分解表的编制与审批：</w:t>
      </w:r>
      <w:r>
        <w:rPr>
          <w:rFonts w:hint="eastAsia" w:ascii="Times New Roman" w:hAnsi="Times New Roman" w:eastAsia="仿宋_GB2312" w:cs="Times New Roman"/>
          <w:color w:val="auto"/>
          <w:kern w:val="0"/>
          <w:sz w:val="21"/>
          <w:szCs w:val="21"/>
          <w:highlight w:val="none"/>
          <w:u w:val="single"/>
          <w:lang w:val="en-US" w:eastAsia="zh-CN"/>
        </w:rPr>
        <w:t>执行通用合同条款</w:t>
      </w:r>
      <w:r>
        <w:rPr>
          <w:rFonts w:ascii="Times New Roman" w:hAnsi="Times New Roman" w:eastAsia="仿宋_GB2312"/>
          <w:color w:val="auto"/>
          <w:sz w:val="21"/>
          <w:szCs w:val="21"/>
          <w:highlight w:val="none"/>
        </w:rPr>
        <w:t>。</w:t>
      </w:r>
    </w:p>
    <w:bookmarkEnd w:id="1560"/>
    <w:p w14:paraId="4639279B">
      <w:pPr>
        <w:pStyle w:val="5"/>
        <w:pageBreakBefore w:val="0"/>
        <w:widowControl w:val="0"/>
        <w:kinsoku/>
        <w:wordWrap/>
        <w:overflowPunct/>
        <w:topLinePunct w:val="0"/>
        <w:bidi w:val="0"/>
        <w:adjustRightInd w:val="0"/>
        <w:snapToGrid w:val="0"/>
        <w:spacing w:before="0" w:after="0" w:line="360" w:lineRule="auto"/>
        <w:textAlignment w:val="auto"/>
        <w:rPr>
          <w:rFonts w:ascii="Times New Roman" w:hAnsi="Times New Roman"/>
          <w:b w:val="0"/>
          <w:color w:val="auto"/>
          <w:sz w:val="21"/>
          <w:szCs w:val="21"/>
          <w:highlight w:val="none"/>
        </w:rPr>
      </w:pPr>
      <w:bookmarkStart w:id="1737" w:name="_Toc29310"/>
      <w:bookmarkStart w:id="1738" w:name="_Toc15308"/>
      <w:bookmarkStart w:id="1739" w:name="_Toc351203645"/>
      <w:bookmarkStart w:id="1740" w:name="_Toc297123564"/>
      <w:bookmarkStart w:id="1741" w:name="_Toc296891259"/>
      <w:bookmarkStart w:id="1742" w:name="_Toc303539172"/>
      <w:bookmarkStart w:id="1743" w:name="_Toc296503219"/>
      <w:bookmarkStart w:id="1744" w:name="_Toc292559929"/>
      <w:bookmarkStart w:id="1745" w:name="_Toc297120519"/>
      <w:bookmarkStart w:id="1746" w:name="_Toc297048405"/>
      <w:bookmarkStart w:id="1747" w:name="_Toc297216223"/>
      <w:bookmarkStart w:id="1748" w:name="_Toc296347218"/>
      <w:bookmarkStart w:id="1749" w:name="_Toc292559424"/>
      <w:bookmarkStart w:id="1750" w:name="_Toc296944558"/>
      <w:bookmarkStart w:id="1751" w:name="_Toc300935015"/>
      <w:bookmarkStart w:id="1752" w:name="_Toc296891047"/>
      <w:bookmarkStart w:id="1753" w:name="_Toc312678053"/>
      <w:bookmarkStart w:id="1754" w:name="_Toc296346720"/>
      <w:bookmarkStart w:id="1755" w:name="_Toc304295593"/>
      <w:r>
        <w:rPr>
          <w:rFonts w:ascii="Times New Roman" w:hAnsi="Times New Roman"/>
          <w:b w:val="0"/>
          <w:color w:val="auto"/>
          <w:sz w:val="21"/>
          <w:szCs w:val="21"/>
          <w:highlight w:val="none"/>
        </w:rPr>
        <w:t>13.</w:t>
      </w:r>
      <w:r>
        <w:rPr>
          <w:rFonts w:hint="eastAsia" w:ascii="Times New Roman" w:hAnsi="Times New Roman"/>
          <w:b w:val="0"/>
          <w:color w:val="auto"/>
          <w:sz w:val="21"/>
          <w:szCs w:val="21"/>
          <w:highlight w:val="none"/>
        </w:rPr>
        <w:t xml:space="preserve"> </w:t>
      </w:r>
      <w:r>
        <w:rPr>
          <w:rFonts w:ascii="Times New Roman" w:hAnsi="Times New Roman"/>
          <w:b w:val="0"/>
          <w:color w:val="auto"/>
          <w:sz w:val="21"/>
          <w:szCs w:val="21"/>
          <w:highlight w:val="none"/>
        </w:rPr>
        <w:t>验收和工程试车</w:t>
      </w:r>
      <w:bookmarkEnd w:id="1737"/>
      <w:bookmarkEnd w:id="1738"/>
      <w:bookmarkEnd w:id="1739"/>
    </w:p>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p w14:paraId="10BE95B3">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黑体"/>
          <w:color w:val="auto"/>
          <w:sz w:val="21"/>
          <w:szCs w:val="21"/>
          <w:highlight w:val="none"/>
        </w:rPr>
      </w:pPr>
      <w:r>
        <w:rPr>
          <w:rFonts w:ascii="Times New Roman" w:hAnsi="Times New Roman" w:eastAsia="黑体"/>
          <w:color w:val="auto"/>
          <w:sz w:val="21"/>
          <w:szCs w:val="21"/>
          <w:highlight w:val="none"/>
        </w:rPr>
        <w:t>13.1 分部分项工程验收</w:t>
      </w:r>
    </w:p>
    <w:p w14:paraId="7F23324C">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13.1.2监理人不能按时进行验收时，应提前</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24</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小时提交书面延期要求。</w:t>
      </w:r>
    </w:p>
    <w:p w14:paraId="7D10D2E4">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b/>
          <w:color w:val="auto"/>
          <w:sz w:val="21"/>
          <w:szCs w:val="21"/>
          <w:highlight w:val="none"/>
        </w:rPr>
      </w:pPr>
      <w:r>
        <w:rPr>
          <w:rFonts w:ascii="Times New Roman" w:hAnsi="Times New Roman" w:eastAsia="仿宋_GB2312"/>
          <w:color w:val="auto"/>
          <w:sz w:val="21"/>
          <w:szCs w:val="21"/>
          <w:highlight w:val="none"/>
        </w:rPr>
        <w:t>关于延期最长不得超过：</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 xml:space="preserve"> 48</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小时。</w:t>
      </w:r>
    </w:p>
    <w:p w14:paraId="76334A29">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黑体"/>
          <w:color w:val="auto"/>
          <w:sz w:val="21"/>
          <w:szCs w:val="21"/>
          <w:highlight w:val="none"/>
        </w:rPr>
      </w:pPr>
      <w:bookmarkStart w:id="1756" w:name="_Toc296347222"/>
      <w:bookmarkStart w:id="1757" w:name="_Toc296891051"/>
      <w:bookmarkStart w:id="1758" w:name="_Toc296346724"/>
      <w:bookmarkStart w:id="1759" w:name="_Toc304295596"/>
      <w:bookmarkStart w:id="1760" w:name="_Toc300935016"/>
      <w:bookmarkStart w:id="1761" w:name="_Toc297120523"/>
      <w:bookmarkStart w:id="1762" w:name="_Toc297048409"/>
      <w:bookmarkStart w:id="1763" w:name="_Toc312678056"/>
      <w:bookmarkStart w:id="1764" w:name="_Toc297216224"/>
      <w:bookmarkStart w:id="1765" w:name="_Toc292559933"/>
      <w:bookmarkStart w:id="1766" w:name="_Toc296891263"/>
      <w:bookmarkStart w:id="1767" w:name="_Toc296503223"/>
      <w:bookmarkStart w:id="1768" w:name="_Toc297123565"/>
      <w:bookmarkStart w:id="1769" w:name="_Toc292559428"/>
      <w:bookmarkStart w:id="1770" w:name="_Toc296944562"/>
      <w:bookmarkStart w:id="1771" w:name="_Toc303539173"/>
      <w:bookmarkStart w:id="1772" w:name="_Toc267251471"/>
      <w:bookmarkStart w:id="1773" w:name="_Toc267251475"/>
      <w:bookmarkStart w:id="1774" w:name="_Toc267251470"/>
      <w:bookmarkStart w:id="1775" w:name="_Toc267251476"/>
      <w:bookmarkStart w:id="1776" w:name="_Toc267251473"/>
      <w:bookmarkStart w:id="1777" w:name="_Toc267251472"/>
      <w:bookmarkStart w:id="1778" w:name="_Toc267251474"/>
      <w:r>
        <w:rPr>
          <w:rFonts w:ascii="Times New Roman" w:hAnsi="Times New Roman" w:eastAsia="黑体"/>
          <w:color w:val="auto"/>
          <w:sz w:val="21"/>
          <w:szCs w:val="21"/>
          <w:highlight w:val="none"/>
        </w:rPr>
        <w:t>13.2 竣工验收</w:t>
      </w:r>
    </w:p>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p w14:paraId="552ACD35">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bookmarkStart w:id="1779" w:name="_Toc280868704"/>
      <w:bookmarkStart w:id="1780" w:name="_Toc280868705"/>
      <w:bookmarkStart w:id="1781" w:name="_Toc280868706"/>
      <w:bookmarkStart w:id="1782" w:name="_Toc280868707"/>
      <w:bookmarkStart w:id="1783" w:name="_Toc280868708"/>
      <w:bookmarkStart w:id="1784" w:name="_Toc280868709"/>
      <w:r>
        <w:rPr>
          <w:rFonts w:ascii="Times New Roman" w:hAnsi="Times New Roman" w:eastAsia="仿宋_GB2312"/>
          <w:color w:val="auto"/>
          <w:sz w:val="21"/>
          <w:szCs w:val="21"/>
          <w:highlight w:val="none"/>
        </w:rPr>
        <w:t>13.2.2竣工验收程序</w:t>
      </w:r>
    </w:p>
    <w:bookmarkEnd w:id="1779"/>
    <w:p w14:paraId="110F00A1">
      <w:pPr>
        <w:pageBreakBefore w:val="0"/>
        <w:widowControl w:val="0"/>
        <w:kinsoku/>
        <w:wordWrap/>
        <w:overflowPunct/>
        <w:topLinePunct w:val="0"/>
        <w:bidi w:val="0"/>
        <w:adjustRightInd w:val="0"/>
        <w:snapToGrid w:val="0"/>
        <w:spacing w:line="360" w:lineRule="auto"/>
        <w:ind w:left="4376" w:leftChars="284" w:hanging="3780" w:hangingChars="18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关于竣工验收程序的约定：</w:t>
      </w:r>
    </w:p>
    <w:p w14:paraId="210FA779">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630" w:firstLineChars="300"/>
        <w:jc w:val="left"/>
        <w:textAlignment w:val="auto"/>
        <w:rPr>
          <w:rFonts w:hint="eastAsia" w:ascii="Times New Roman" w:hAnsi="Times New Roman" w:eastAsia="仿宋_GB2312"/>
          <w:color w:val="auto"/>
          <w:sz w:val="21"/>
          <w:szCs w:val="21"/>
          <w:highlight w:val="none"/>
          <w:u w:val="single"/>
        </w:rPr>
      </w:pPr>
      <w:r>
        <w:rPr>
          <w:rFonts w:hint="eastAsia" w:ascii="Times New Roman" w:hAnsi="Times New Roman" w:eastAsia="仿宋_GB2312"/>
          <w:color w:val="auto"/>
          <w:sz w:val="21"/>
          <w:szCs w:val="21"/>
          <w:highlight w:val="none"/>
          <w:u w:val="single"/>
        </w:rPr>
        <w:t>1.验收申请与准备：约定承包方提交验收申请的前提条件完成全部合同约定工程、施工资料齐全。施工单位需提交的验收资料清单</w:t>
      </w:r>
      <w:r>
        <w:rPr>
          <w:rFonts w:hint="eastAsia" w:eastAsia="仿宋_GB2312"/>
          <w:color w:val="auto"/>
          <w:sz w:val="21"/>
          <w:szCs w:val="21"/>
          <w:highlight w:val="none"/>
          <w:u w:val="single"/>
          <w:lang w:eastAsia="zh-CN"/>
        </w:rPr>
        <w:t>（</w:t>
      </w:r>
      <w:r>
        <w:rPr>
          <w:rFonts w:hint="eastAsia" w:ascii="Times New Roman" w:hAnsi="Times New Roman" w:eastAsia="仿宋_GB2312"/>
          <w:color w:val="auto"/>
          <w:sz w:val="21"/>
          <w:szCs w:val="21"/>
          <w:highlight w:val="none"/>
          <w:u w:val="single"/>
        </w:rPr>
        <w:t>如竣工图、质量报告、检测报告等</w:t>
      </w:r>
      <w:r>
        <w:rPr>
          <w:rFonts w:hint="eastAsia" w:eastAsia="仿宋_GB2312"/>
          <w:color w:val="auto"/>
          <w:sz w:val="21"/>
          <w:szCs w:val="21"/>
          <w:highlight w:val="none"/>
          <w:u w:val="single"/>
          <w:lang w:eastAsia="zh-CN"/>
        </w:rPr>
        <w:t>）</w:t>
      </w:r>
      <w:r>
        <w:rPr>
          <w:rFonts w:hint="eastAsia" w:ascii="Times New Roman" w:hAnsi="Times New Roman" w:eastAsia="仿宋_GB2312"/>
          <w:color w:val="auto"/>
          <w:sz w:val="21"/>
          <w:szCs w:val="21"/>
          <w:highlight w:val="none"/>
          <w:u w:val="single"/>
        </w:rPr>
        <w:t>及提交时限。</w:t>
      </w:r>
    </w:p>
    <w:p w14:paraId="473C5933">
      <w:pPr>
        <w:pageBreakBefore w:val="0"/>
        <w:widowControl w:val="0"/>
        <w:kinsoku/>
        <w:wordWrap/>
        <w:overflowPunct/>
        <w:topLinePunct w:val="0"/>
        <w:bidi w:val="0"/>
        <w:adjustRightInd w:val="0"/>
        <w:snapToGrid w:val="0"/>
        <w:spacing w:line="360" w:lineRule="auto"/>
        <w:ind w:left="4376" w:leftChars="284" w:hanging="3780" w:hangingChars="1800"/>
        <w:jc w:val="left"/>
        <w:textAlignment w:val="auto"/>
        <w:rPr>
          <w:rFonts w:hint="eastAsia" w:ascii="Times New Roman" w:hAnsi="Times New Roman" w:eastAsia="仿宋_GB2312"/>
          <w:color w:val="auto"/>
          <w:sz w:val="21"/>
          <w:szCs w:val="21"/>
          <w:highlight w:val="none"/>
          <w:u w:val="single"/>
        </w:rPr>
      </w:pPr>
      <w:r>
        <w:rPr>
          <w:rFonts w:hint="eastAsia" w:ascii="Times New Roman" w:hAnsi="Times New Roman" w:eastAsia="仿宋_GB2312"/>
          <w:color w:val="auto"/>
          <w:sz w:val="21"/>
          <w:szCs w:val="21"/>
          <w:highlight w:val="none"/>
          <w:u w:val="single"/>
        </w:rPr>
        <w:t>2.初步验收</w:t>
      </w:r>
      <w:r>
        <w:rPr>
          <w:rFonts w:hint="eastAsia" w:eastAsia="仿宋_GB2312"/>
          <w:color w:val="auto"/>
          <w:sz w:val="21"/>
          <w:szCs w:val="21"/>
          <w:highlight w:val="none"/>
          <w:u w:val="single"/>
          <w:lang w:eastAsia="zh-CN"/>
        </w:rPr>
        <w:t>（</w:t>
      </w:r>
      <w:r>
        <w:rPr>
          <w:rFonts w:hint="eastAsia" w:ascii="Times New Roman" w:hAnsi="Times New Roman" w:eastAsia="仿宋_GB2312"/>
          <w:color w:val="auto"/>
          <w:sz w:val="21"/>
          <w:szCs w:val="21"/>
          <w:highlight w:val="none"/>
          <w:u w:val="single"/>
        </w:rPr>
        <w:t>预验收</w:t>
      </w:r>
      <w:r>
        <w:rPr>
          <w:rFonts w:hint="eastAsia" w:eastAsia="仿宋_GB2312"/>
          <w:color w:val="auto"/>
          <w:sz w:val="21"/>
          <w:szCs w:val="21"/>
          <w:highlight w:val="none"/>
          <w:u w:val="single"/>
          <w:lang w:eastAsia="zh-CN"/>
        </w:rPr>
        <w:t>）</w:t>
      </w:r>
    </w:p>
    <w:p w14:paraId="34427B13">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630" w:firstLineChars="300"/>
        <w:jc w:val="left"/>
        <w:textAlignment w:val="auto"/>
        <w:rPr>
          <w:rFonts w:hint="eastAsia" w:ascii="Times New Roman" w:hAnsi="Times New Roman" w:eastAsia="仿宋_GB2312"/>
          <w:color w:val="auto"/>
          <w:sz w:val="21"/>
          <w:szCs w:val="21"/>
          <w:highlight w:val="none"/>
          <w:u w:val="single"/>
        </w:rPr>
      </w:pPr>
      <w:r>
        <w:rPr>
          <w:rFonts w:hint="eastAsia" w:ascii="Times New Roman" w:hAnsi="Times New Roman" w:eastAsia="仿宋_GB2312"/>
          <w:color w:val="auto"/>
          <w:sz w:val="21"/>
          <w:szCs w:val="21"/>
          <w:highlight w:val="none"/>
          <w:u w:val="single"/>
        </w:rPr>
        <w:t>约定由监理单位组织预验收，明确预验收的时间</w:t>
      </w:r>
      <w:r>
        <w:rPr>
          <w:rFonts w:hint="eastAsia" w:eastAsia="仿宋_GB2312"/>
          <w:color w:val="auto"/>
          <w:sz w:val="21"/>
          <w:szCs w:val="21"/>
          <w:highlight w:val="none"/>
          <w:u w:val="single"/>
          <w:lang w:eastAsia="zh-CN"/>
        </w:rPr>
        <w:t>（</w:t>
      </w:r>
      <w:r>
        <w:rPr>
          <w:rFonts w:hint="eastAsia" w:ascii="Times New Roman" w:hAnsi="Times New Roman" w:eastAsia="仿宋_GB2312"/>
          <w:color w:val="auto"/>
          <w:sz w:val="21"/>
          <w:szCs w:val="21"/>
          <w:highlight w:val="none"/>
          <w:u w:val="single"/>
        </w:rPr>
        <w:t>通常在正式验收前7-15天</w:t>
      </w:r>
      <w:r>
        <w:rPr>
          <w:rFonts w:hint="eastAsia" w:eastAsia="仿宋_GB2312"/>
          <w:color w:val="auto"/>
          <w:sz w:val="21"/>
          <w:szCs w:val="21"/>
          <w:highlight w:val="none"/>
          <w:u w:val="single"/>
          <w:lang w:eastAsia="zh-CN"/>
        </w:rPr>
        <w:t>）</w:t>
      </w:r>
      <w:r>
        <w:rPr>
          <w:rFonts w:hint="eastAsia" w:ascii="Times New Roman" w:hAnsi="Times New Roman" w:eastAsia="仿宋_GB2312"/>
          <w:color w:val="auto"/>
          <w:sz w:val="21"/>
          <w:szCs w:val="21"/>
          <w:highlight w:val="none"/>
          <w:u w:val="single"/>
        </w:rPr>
        <w:t>及合格标准。约定预验收中发现问题的整改期限，整改完成后方可申请正式验收。</w:t>
      </w:r>
    </w:p>
    <w:p w14:paraId="58D95EC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630" w:firstLineChars="300"/>
        <w:jc w:val="left"/>
        <w:textAlignment w:val="auto"/>
        <w:rPr>
          <w:rFonts w:hint="eastAsia" w:ascii="Times New Roman" w:hAnsi="Times New Roman" w:eastAsia="仿宋_GB2312"/>
          <w:color w:val="auto"/>
          <w:sz w:val="21"/>
          <w:szCs w:val="21"/>
          <w:highlight w:val="none"/>
          <w:u w:val="single"/>
        </w:rPr>
      </w:pPr>
      <w:r>
        <w:rPr>
          <w:rFonts w:hint="eastAsia" w:ascii="Times New Roman" w:hAnsi="Times New Roman" w:eastAsia="仿宋_GB2312"/>
          <w:color w:val="auto"/>
          <w:sz w:val="21"/>
          <w:szCs w:val="21"/>
          <w:highlight w:val="none"/>
          <w:u w:val="single"/>
        </w:rPr>
        <w:t>3.正式验收：监理单位经预验收后认为已经具备竣工验收条件的，应将竣工验收申请报告提交发包方，发包方应在收到经监理单位审核的竣工验收申请报告后15天内审批完毕并组织监理人、承包人、设计人等相关单位完成竣工验收。</w:t>
      </w:r>
    </w:p>
    <w:p w14:paraId="23E63D19">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630" w:firstLineChars="300"/>
        <w:jc w:val="left"/>
        <w:textAlignment w:val="auto"/>
        <w:rPr>
          <w:rFonts w:hint="eastAsia" w:ascii="Times New Roman" w:hAnsi="Times New Roman" w:eastAsia="仿宋_GB2312"/>
          <w:color w:val="auto"/>
          <w:sz w:val="21"/>
          <w:szCs w:val="21"/>
          <w:highlight w:val="none"/>
          <w:u w:val="single"/>
        </w:rPr>
      </w:pPr>
      <w:r>
        <w:rPr>
          <w:rFonts w:hint="eastAsia" w:ascii="Times New Roman" w:hAnsi="Times New Roman" w:eastAsia="仿宋_GB2312"/>
          <w:color w:val="auto"/>
          <w:sz w:val="21"/>
          <w:szCs w:val="21"/>
          <w:highlight w:val="none"/>
          <w:u w:val="single"/>
        </w:rPr>
        <w:t>4.竣工验收合格的，应出具验收报告，由参与验收的各单位签字盖章确认。如竣工验收不合格的，监理人应按照验收意见发出指示，要求承包人对不合格工程返工、修复或采取其他补救措施，由此增加的费用和</w:t>
      </w:r>
      <w:r>
        <w:rPr>
          <w:rFonts w:hint="eastAsia" w:eastAsia="仿宋_GB2312"/>
          <w:color w:val="auto"/>
          <w:sz w:val="21"/>
          <w:szCs w:val="21"/>
          <w:highlight w:val="none"/>
          <w:u w:val="single"/>
          <w:lang w:eastAsia="zh-CN"/>
        </w:rPr>
        <w:t>（</w:t>
      </w:r>
      <w:r>
        <w:rPr>
          <w:rFonts w:hint="eastAsia" w:ascii="Times New Roman" w:hAnsi="Times New Roman" w:eastAsia="仿宋_GB2312"/>
          <w:color w:val="auto"/>
          <w:sz w:val="21"/>
          <w:szCs w:val="21"/>
          <w:highlight w:val="none"/>
          <w:u w:val="single"/>
        </w:rPr>
        <w:t>或</w:t>
      </w:r>
      <w:r>
        <w:rPr>
          <w:rFonts w:hint="eastAsia" w:eastAsia="仿宋_GB2312"/>
          <w:color w:val="auto"/>
          <w:sz w:val="21"/>
          <w:szCs w:val="21"/>
          <w:highlight w:val="none"/>
          <w:u w:val="single"/>
          <w:lang w:eastAsia="zh-CN"/>
        </w:rPr>
        <w:t>）</w:t>
      </w:r>
      <w:r>
        <w:rPr>
          <w:rFonts w:hint="eastAsia" w:ascii="Times New Roman" w:hAnsi="Times New Roman" w:eastAsia="仿宋_GB2312"/>
          <w:color w:val="auto"/>
          <w:sz w:val="21"/>
          <w:szCs w:val="21"/>
          <w:highlight w:val="none"/>
          <w:u w:val="single"/>
        </w:rPr>
        <w:t>延误的工期由承包人承担。承包人在完成不合格工程的返工、修复或采取其他补救措施后，应重新提交竣工验收申请报告，并按本项约定的程序重新进行验收。</w:t>
      </w:r>
    </w:p>
    <w:p w14:paraId="223F314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630" w:firstLineChars="300"/>
        <w:jc w:val="left"/>
        <w:textAlignment w:val="auto"/>
        <w:rPr>
          <w:rFonts w:hint="eastAsia" w:ascii="Times New Roman" w:hAnsi="Times New Roman" w:eastAsia="仿宋_GB2312"/>
          <w:color w:val="auto"/>
          <w:sz w:val="21"/>
          <w:szCs w:val="21"/>
          <w:highlight w:val="none"/>
          <w:u w:val="single"/>
        </w:rPr>
      </w:pPr>
      <w:r>
        <w:rPr>
          <w:rFonts w:hint="eastAsia" w:ascii="Times New Roman" w:hAnsi="Times New Roman" w:eastAsia="仿宋_GB2312"/>
          <w:color w:val="auto"/>
          <w:sz w:val="21"/>
          <w:szCs w:val="21"/>
          <w:highlight w:val="none"/>
          <w:u w:val="single"/>
        </w:rPr>
        <w:t>5.验收通过与移交：通过竣工验收后14日内完成工程实体和竣工验收资料的移交，工程保修期自验收合格、移交之日起算。</w:t>
      </w:r>
    </w:p>
    <w:p w14:paraId="26A984C7">
      <w:pPr>
        <w:pageBreakBefore w:val="0"/>
        <w:widowControl w:val="0"/>
        <w:kinsoku/>
        <w:wordWrap/>
        <w:overflowPunct/>
        <w:topLinePunct w:val="0"/>
        <w:bidi w:val="0"/>
        <w:adjustRightInd w:val="0"/>
        <w:snapToGrid w:val="0"/>
        <w:spacing w:line="360" w:lineRule="auto"/>
        <w:ind w:firstLine="420" w:firstLineChars="200"/>
        <w:jc w:val="left"/>
        <w:textAlignment w:val="auto"/>
        <w:rPr>
          <w:rFonts w:hint="eastAsia" w:ascii="Times New Roman" w:hAnsi="Times New Roman" w:eastAsia="仿宋_GB2312"/>
          <w:color w:val="auto"/>
          <w:sz w:val="21"/>
          <w:szCs w:val="21"/>
          <w:highlight w:val="none"/>
        </w:rPr>
      </w:pPr>
      <w:r>
        <w:rPr>
          <w:rFonts w:ascii="Times New Roman" w:hAnsi="Times New Roman" w:eastAsia="仿宋_GB2312"/>
          <w:color w:val="auto"/>
          <w:kern w:val="0"/>
          <w:sz w:val="21"/>
          <w:szCs w:val="21"/>
          <w:highlight w:val="none"/>
        </w:rPr>
        <w:t>发包人不按照本项约定组织竣工验收、颁发工程接收证书的违约金的计算方法：</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执行通用合同条款</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bookmarkEnd w:id="1780"/>
    <w:p w14:paraId="18CDA379">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13.2.5移交、接收全部与部分工程</w:t>
      </w:r>
    </w:p>
    <w:bookmarkEnd w:id="1781"/>
    <w:p w14:paraId="724BD205">
      <w:pPr>
        <w:pageBreakBefore w:val="0"/>
        <w:widowControl w:val="0"/>
        <w:kinsoku/>
        <w:wordWrap/>
        <w:overflowPunct/>
        <w:topLinePunct w:val="0"/>
        <w:bidi w:val="0"/>
        <w:adjustRightInd w:val="0"/>
        <w:snapToGrid w:val="0"/>
        <w:spacing w:line="360" w:lineRule="auto"/>
        <w:ind w:firstLine="420" w:firstLineChars="200"/>
        <w:jc w:val="left"/>
        <w:textAlignment w:val="auto"/>
        <w:rPr>
          <w:rFonts w:hint="eastAsia" w:ascii="Times New Roman" w:hAnsi="Times New Roman" w:eastAsia="仿宋_GB2312"/>
          <w:color w:val="auto"/>
          <w:kern w:val="0"/>
          <w:sz w:val="21"/>
          <w:szCs w:val="21"/>
          <w:highlight w:val="none"/>
        </w:rPr>
      </w:pPr>
      <w:r>
        <w:rPr>
          <w:rFonts w:hint="eastAsia" w:ascii="Times New Roman" w:hAnsi="Times New Roman" w:eastAsia="仿宋_GB2312"/>
          <w:color w:val="auto"/>
          <w:kern w:val="0"/>
          <w:sz w:val="21"/>
          <w:szCs w:val="21"/>
          <w:highlight w:val="none"/>
        </w:rPr>
        <w:t>承包人向发包人移交工程的期限：</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 xml:space="preserve">通过竣工验收后14日内完成工程实体和竣工验收资料的移交，移交时仍存在未完或需整改的事项，可由发包人、承包人签署《移交时遗留事项清单》，明确遗留事项及承包人应处理完成遗留事项的时限等 </w:t>
      </w:r>
      <w:r>
        <w:rPr>
          <w:rFonts w:hint="eastAsia" w:ascii="Times New Roman" w:hAnsi="Times New Roman" w:eastAsia="仿宋_GB2312"/>
          <w:color w:val="auto"/>
          <w:sz w:val="21"/>
          <w:szCs w:val="21"/>
          <w:highlight w:val="none"/>
        </w:rPr>
        <w:t>。</w:t>
      </w:r>
    </w:p>
    <w:p w14:paraId="162317BD">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u w:val="single"/>
        </w:rPr>
      </w:pPr>
      <w:r>
        <w:rPr>
          <w:rFonts w:ascii="Times New Roman" w:hAnsi="Times New Roman" w:eastAsia="仿宋_GB2312"/>
          <w:color w:val="auto"/>
          <w:kern w:val="0"/>
          <w:sz w:val="21"/>
          <w:szCs w:val="21"/>
          <w:highlight w:val="none"/>
        </w:rPr>
        <w:t>发包人未按本合同约定接收全部或部分工程的，违约金的计算方法为：</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 xml:space="preserve"> 无</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bookmarkEnd w:id="1782"/>
    <w:p w14:paraId="313F0D45">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s="Times New Roman"/>
          <w:color w:val="auto"/>
          <w:sz w:val="21"/>
          <w:szCs w:val="21"/>
          <w:highlight w:val="none"/>
          <w:u w:val="single"/>
        </w:rPr>
      </w:pPr>
      <w:r>
        <w:rPr>
          <w:rFonts w:ascii="Times New Roman" w:hAnsi="Times New Roman" w:eastAsia="仿宋_GB2312"/>
          <w:color w:val="auto"/>
          <w:sz w:val="21"/>
          <w:szCs w:val="21"/>
          <w:highlight w:val="none"/>
        </w:rPr>
        <w:t>承包人未按时移交工程的，违约金的计算方法为：</w:t>
      </w:r>
      <w:r>
        <w:rPr>
          <w:rFonts w:hint="eastAsia" w:ascii="Times New Roman" w:hAnsi="Times New Roman" w:eastAsia="仿宋_GB2312" w:cs="Times New Roman"/>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误期14天内，误期违约金额为1万元/天，如果误期超过14天，发包人有权解除合同，承包人应向发包人支付全部合同履约保证金作为违约金。</w:t>
      </w:r>
    </w:p>
    <w:p w14:paraId="6405A885">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黑体"/>
          <w:color w:val="auto"/>
          <w:sz w:val="21"/>
          <w:szCs w:val="21"/>
          <w:highlight w:val="none"/>
        </w:rPr>
      </w:pPr>
      <w:r>
        <w:rPr>
          <w:rFonts w:ascii="Times New Roman" w:hAnsi="Times New Roman" w:eastAsia="黑体"/>
          <w:color w:val="auto"/>
          <w:sz w:val="21"/>
          <w:szCs w:val="21"/>
          <w:highlight w:val="none"/>
        </w:rPr>
        <w:t>13.3 工程试车</w:t>
      </w:r>
    </w:p>
    <w:bookmarkEnd w:id="1783"/>
    <w:p w14:paraId="017F925D">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13.3.1 试车程序</w:t>
      </w:r>
    </w:p>
    <w:p w14:paraId="5995210B">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工程试车内容：</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无</w:t>
      </w:r>
      <w:r>
        <w:rPr>
          <w:rFonts w:ascii="Times New Roman" w:hAnsi="Times New Roman" w:eastAsia="仿宋_GB2312"/>
          <w:color w:val="auto"/>
          <w:sz w:val="21"/>
          <w:szCs w:val="21"/>
          <w:highlight w:val="none"/>
        </w:rPr>
        <w:t>。</w:t>
      </w:r>
    </w:p>
    <w:p w14:paraId="65884E5D">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（1）单机无负荷试车费用由</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kern w:val="0"/>
          <w:sz w:val="21"/>
          <w:szCs w:val="21"/>
          <w:highlight w:val="none"/>
        </w:rPr>
        <w:t>承担；</w:t>
      </w:r>
    </w:p>
    <w:p w14:paraId="30BDEF34">
      <w:pPr>
        <w:pageBreakBefore w:val="0"/>
        <w:widowControl w:val="0"/>
        <w:kinsoku/>
        <w:wordWrap/>
        <w:overflowPunct/>
        <w:topLinePunct w:val="0"/>
        <w:bidi w:val="0"/>
        <w:adjustRightInd w:val="0"/>
        <w:snapToGrid w:val="0"/>
        <w:spacing w:line="360" w:lineRule="auto"/>
        <w:ind w:firstLine="420" w:firstLineChars="200"/>
        <w:jc w:val="left"/>
        <w:textAlignment w:val="auto"/>
        <w:rPr>
          <w:rFonts w:hint="eastAsia"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（2）无负荷联动试车费用由</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kern w:val="0"/>
          <w:sz w:val="21"/>
          <w:szCs w:val="21"/>
          <w:highlight w:val="none"/>
        </w:rPr>
        <w:t>承担。</w:t>
      </w:r>
    </w:p>
    <w:p w14:paraId="473AA66A">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13.3.3 投料试车</w:t>
      </w:r>
    </w:p>
    <w:p w14:paraId="6E2E6DD0">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hint="eastAsia" w:ascii="Times New Roman" w:hAnsi="Times New Roman" w:eastAsia="仿宋_GB2312"/>
          <w:color w:val="auto"/>
          <w:kern w:val="0"/>
          <w:sz w:val="21"/>
          <w:szCs w:val="21"/>
          <w:highlight w:val="none"/>
        </w:rPr>
        <w:t>关于投料试车相关事项的约定：</w:t>
      </w:r>
      <w:r>
        <w:rPr>
          <w:rFonts w:hint="eastAsia"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不采用</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3C0DE2E4">
      <w:pPr>
        <w:pageBreakBefore w:val="0"/>
        <w:widowControl w:val="0"/>
        <w:kinsoku/>
        <w:wordWrap/>
        <w:overflowPunct/>
        <w:topLinePunct w:val="0"/>
        <w:bidi w:val="0"/>
        <w:adjustRightInd w:val="0"/>
        <w:snapToGrid w:val="0"/>
        <w:spacing w:line="360" w:lineRule="auto"/>
        <w:ind w:firstLine="420" w:firstLineChars="200"/>
        <w:textAlignment w:val="auto"/>
        <w:outlineLvl w:val="4"/>
        <w:rPr>
          <w:rFonts w:ascii="Times New Roman" w:hAnsi="Times New Roman" w:eastAsia="黑体"/>
          <w:color w:val="auto"/>
          <w:sz w:val="21"/>
          <w:szCs w:val="21"/>
          <w:highlight w:val="none"/>
        </w:rPr>
      </w:pPr>
      <w:bookmarkStart w:id="1785" w:name="_Toc13060"/>
      <w:r>
        <w:rPr>
          <w:rFonts w:ascii="Times New Roman" w:hAnsi="Times New Roman" w:eastAsia="黑体"/>
          <w:color w:val="auto"/>
          <w:sz w:val="21"/>
          <w:szCs w:val="21"/>
          <w:highlight w:val="none"/>
        </w:rPr>
        <w:t>13.6 竣工退场</w:t>
      </w:r>
      <w:bookmarkEnd w:id="1785"/>
    </w:p>
    <w:p w14:paraId="109D39A4">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13.6.1 竣工退场</w:t>
      </w:r>
    </w:p>
    <w:p w14:paraId="554E8F5F">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承包人完成竣工退场的期限：</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竣工验收合格，并提交完整的工程存档资料后</w:t>
      </w:r>
      <w:r>
        <w:rPr>
          <w:rFonts w:hint="eastAsia" w:eastAsia="仿宋_GB2312" w:cs="Times New Roman"/>
          <w:color w:val="auto"/>
          <w:kern w:val="0"/>
          <w:sz w:val="21"/>
          <w:szCs w:val="21"/>
          <w:highlight w:val="none"/>
          <w:u w:val="single"/>
          <w:lang w:val="en-US" w:eastAsia="zh-CN"/>
        </w:rPr>
        <w:t>7</w:t>
      </w:r>
      <w:r>
        <w:rPr>
          <w:rFonts w:hint="eastAsia" w:ascii="Times New Roman" w:hAnsi="Times New Roman" w:eastAsia="仿宋_GB2312" w:cs="Times New Roman"/>
          <w:color w:val="auto"/>
          <w:kern w:val="0"/>
          <w:sz w:val="21"/>
          <w:szCs w:val="21"/>
          <w:highlight w:val="none"/>
          <w:u w:val="single"/>
          <w:lang w:val="en-US" w:eastAsia="zh-CN"/>
        </w:rPr>
        <w:t>天内退场</w:t>
      </w:r>
      <w:r>
        <w:rPr>
          <w:rFonts w:ascii="Times New Roman" w:hAnsi="Times New Roman" w:eastAsia="仿宋_GB2312"/>
          <w:color w:val="auto"/>
          <w:kern w:val="0"/>
          <w:sz w:val="21"/>
          <w:szCs w:val="21"/>
          <w:highlight w:val="none"/>
        </w:rPr>
        <w:t>。</w:t>
      </w:r>
    </w:p>
    <w:p w14:paraId="6373C632">
      <w:pPr>
        <w:pStyle w:val="5"/>
        <w:pageBreakBefore w:val="0"/>
        <w:widowControl w:val="0"/>
        <w:kinsoku/>
        <w:wordWrap/>
        <w:overflowPunct/>
        <w:topLinePunct w:val="0"/>
        <w:bidi w:val="0"/>
        <w:adjustRightInd w:val="0"/>
        <w:snapToGrid w:val="0"/>
        <w:spacing w:before="0" w:after="0" w:line="360" w:lineRule="auto"/>
        <w:textAlignment w:val="auto"/>
        <w:rPr>
          <w:rFonts w:ascii="Times New Roman" w:hAnsi="Times New Roman"/>
          <w:b w:val="0"/>
          <w:color w:val="auto"/>
          <w:sz w:val="21"/>
          <w:szCs w:val="21"/>
          <w:highlight w:val="none"/>
        </w:rPr>
      </w:pPr>
      <w:bookmarkStart w:id="1786" w:name="_Toc14269"/>
      <w:bookmarkStart w:id="1787" w:name="_Toc351203646"/>
      <w:bookmarkStart w:id="1788" w:name="_Toc11365"/>
      <w:r>
        <w:rPr>
          <w:rFonts w:ascii="Times New Roman" w:hAnsi="Times New Roman"/>
          <w:b w:val="0"/>
          <w:color w:val="auto"/>
          <w:sz w:val="21"/>
          <w:szCs w:val="21"/>
          <w:highlight w:val="none"/>
        </w:rPr>
        <w:t>14. 竣工结算</w:t>
      </w:r>
      <w:bookmarkEnd w:id="1786"/>
      <w:bookmarkEnd w:id="1787"/>
      <w:bookmarkEnd w:id="1788"/>
    </w:p>
    <w:p w14:paraId="778F9E93">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黑体"/>
          <w:color w:val="auto"/>
          <w:sz w:val="21"/>
          <w:szCs w:val="21"/>
          <w:highlight w:val="none"/>
        </w:rPr>
      </w:pPr>
      <w:r>
        <w:rPr>
          <w:rFonts w:ascii="Times New Roman" w:hAnsi="Times New Roman" w:eastAsia="黑体"/>
          <w:color w:val="auto"/>
          <w:sz w:val="21"/>
          <w:szCs w:val="21"/>
          <w:highlight w:val="none"/>
        </w:rPr>
        <w:t>14.1 竣工</w:t>
      </w:r>
      <w:r>
        <w:rPr>
          <w:rFonts w:hint="eastAsia" w:ascii="Times New Roman" w:hAnsi="Times New Roman" w:eastAsia="黑体"/>
          <w:color w:val="auto"/>
          <w:sz w:val="21"/>
          <w:szCs w:val="21"/>
          <w:highlight w:val="none"/>
        </w:rPr>
        <w:t>结算</w:t>
      </w:r>
      <w:r>
        <w:rPr>
          <w:rFonts w:ascii="Times New Roman" w:hAnsi="Times New Roman" w:eastAsia="黑体"/>
          <w:color w:val="auto"/>
          <w:sz w:val="21"/>
          <w:szCs w:val="21"/>
          <w:highlight w:val="none"/>
        </w:rPr>
        <w:t>申请</w:t>
      </w:r>
    </w:p>
    <w:p w14:paraId="24338CD4">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承包人提交竣工</w:t>
      </w:r>
      <w:r>
        <w:rPr>
          <w:rFonts w:hint="eastAsia" w:ascii="Times New Roman" w:hAnsi="Times New Roman" w:eastAsia="仿宋_GB2312"/>
          <w:color w:val="auto"/>
          <w:sz w:val="21"/>
          <w:szCs w:val="21"/>
          <w:highlight w:val="none"/>
        </w:rPr>
        <w:t>结算</w:t>
      </w:r>
      <w:r>
        <w:rPr>
          <w:rFonts w:ascii="Times New Roman" w:hAnsi="Times New Roman" w:eastAsia="仿宋_GB2312"/>
          <w:color w:val="auto"/>
          <w:sz w:val="21"/>
          <w:szCs w:val="21"/>
          <w:highlight w:val="none"/>
        </w:rPr>
        <w:t>申请单的期限：</w:t>
      </w:r>
      <w:r>
        <w:rPr>
          <w:rFonts w:hint="eastAsia" w:ascii="Times New Roman" w:hAnsi="Times New Roman" w:eastAsia="仿宋_GB2312" w:cs="Times New Roman"/>
          <w:color w:val="auto"/>
          <w:kern w:val="0"/>
          <w:sz w:val="21"/>
          <w:szCs w:val="21"/>
          <w:highlight w:val="none"/>
          <w:u w:val="single"/>
          <w:lang w:val="en-US" w:eastAsia="zh-CN"/>
        </w:rPr>
        <w:t xml:space="preserve">竣工验收合格后28天内 </w:t>
      </w:r>
      <w:r>
        <w:rPr>
          <w:rFonts w:ascii="Times New Roman" w:hAnsi="Times New Roman" w:eastAsia="仿宋_GB2312"/>
          <w:color w:val="auto"/>
          <w:sz w:val="21"/>
          <w:szCs w:val="21"/>
          <w:highlight w:val="none"/>
        </w:rPr>
        <w:t>。</w:t>
      </w:r>
    </w:p>
    <w:p w14:paraId="41BD8E98">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竣工</w:t>
      </w:r>
      <w:r>
        <w:rPr>
          <w:rFonts w:hint="eastAsia" w:ascii="Times New Roman" w:hAnsi="Times New Roman" w:eastAsia="仿宋_GB2312"/>
          <w:color w:val="auto"/>
          <w:sz w:val="21"/>
          <w:szCs w:val="21"/>
          <w:highlight w:val="none"/>
        </w:rPr>
        <w:t>结算</w:t>
      </w:r>
      <w:r>
        <w:rPr>
          <w:rFonts w:ascii="Times New Roman" w:hAnsi="Times New Roman" w:eastAsia="仿宋_GB2312"/>
          <w:color w:val="auto"/>
          <w:sz w:val="21"/>
          <w:szCs w:val="21"/>
          <w:highlight w:val="none"/>
        </w:rPr>
        <w:t>申请单应包括的内容：</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签字盖章的完整竣工图纸及其他与结算相关的结算文件</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6BA2818A">
      <w:pPr>
        <w:pageBreakBefore w:val="0"/>
        <w:widowControl w:val="0"/>
        <w:kinsoku/>
        <w:wordWrap/>
        <w:overflowPunct/>
        <w:topLinePunct w:val="0"/>
        <w:bidi w:val="0"/>
        <w:adjustRightInd w:val="0"/>
        <w:snapToGrid w:val="0"/>
        <w:spacing w:line="360" w:lineRule="auto"/>
        <w:ind w:firstLine="420" w:firstLineChars="200"/>
        <w:textAlignment w:val="auto"/>
        <w:outlineLvl w:val="4"/>
        <w:rPr>
          <w:rFonts w:ascii="Times New Roman" w:hAnsi="Times New Roman" w:eastAsia="黑体"/>
          <w:color w:val="auto"/>
          <w:sz w:val="21"/>
          <w:szCs w:val="21"/>
          <w:highlight w:val="none"/>
        </w:rPr>
      </w:pPr>
      <w:bookmarkStart w:id="1789" w:name="_Toc25106"/>
      <w:r>
        <w:rPr>
          <w:rFonts w:ascii="Times New Roman" w:hAnsi="Times New Roman" w:eastAsia="黑体"/>
          <w:color w:val="auto"/>
          <w:sz w:val="21"/>
          <w:szCs w:val="21"/>
          <w:highlight w:val="none"/>
        </w:rPr>
        <w:t>14.2 竣工结算审核</w:t>
      </w:r>
      <w:bookmarkEnd w:id="1789"/>
    </w:p>
    <w:p w14:paraId="057DAA2A">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发包人</w:t>
      </w:r>
      <w:r>
        <w:rPr>
          <w:rFonts w:hint="eastAsia" w:ascii="Times New Roman" w:hAnsi="Times New Roman" w:eastAsia="仿宋_GB2312"/>
          <w:color w:val="auto"/>
          <w:sz w:val="21"/>
          <w:szCs w:val="21"/>
          <w:highlight w:val="none"/>
        </w:rPr>
        <w:t>审批</w:t>
      </w:r>
      <w:r>
        <w:rPr>
          <w:rFonts w:ascii="Times New Roman" w:hAnsi="Times New Roman" w:eastAsia="仿宋_GB2312"/>
          <w:color w:val="auto"/>
          <w:sz w:val="21"/>
          <w:szCs w:val="21"/>
          <w:highlight w:val="none"/>
        </w:rPr>
        <w:t>竣工付款申请单的期限：</w:t>
      </w:r>
      <w:r>
        <w:rPr>
          <w:rFonts w:hint="eastAsia" w:ascii="Times New Roman" w:hAnsi="Times New Roman" w:eastAsia="仿宋_GB2312" w:cs="Times New Roman"/>
          <w:color w:val="auto"/>
          <w:kern w:val="0"/>
          <w:sz w:val="21"/>
          <w:szCs w:val="21"/>
          <w:highlight w:val="none"/>
          <w:u w:val="single"/>
          <w:lang w:val="en-US" w:eastAsia="zh-CN"/>
        </w:rPr>
        <w:t xml:space="preserve"> 执行通用合同条款</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7EC07862">
      <w:pPr>
        <w:pageBreakBefore w:val="0"/>
        <w:widowControl w:val="0"/>
        <w:kinsoku/>
        <w:wordWrap/>
        <w:overflowPunct/>
        <w:topLinePunct w:val="0"/>
        <w:bidi w:val="0"/>
        <w:adjustRightInd w:val="0"/>
        <w:snapToGrid w:val="0"/>
        <w:spacing w:line="360" w:lineRule="auto"/>
        <w:ind w:firstLine="420" w:firstLineChars="200"/>
        <w:jc w:val="left"/>
        <w:textAlignment w:val="auto"/>
        <w:rPr>
          <w:rFonts w:hint="eastAsia"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发包人完成竣工付款的期限：</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 xml:space="preserve"> 执行通用合同条款</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315078FE">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hint="eastAsia" w:ascii="Times New Roman" w:hAnsi="Times New Roman" w:eastAsia="仿宋_GB2312"/>
          <w:color w:val="auto"/>
          <w:sz w:val="21"/>
          <w:szCs w:val="21"/>
          <w:highlight w:val="none"/>
        </w:rPr>
        <w:t>关于竣工付款证书异议部分复核的方式和程序：</w:t>
      </w:r>
      <w:r>
        <w:rPr>
          <w:rFonts w:hint="eastAsia" w:ascii="Times New Roman" w:hAnsi="Times New Roman" w:eastAsia="仿宋_GB2312" w:cs="Times New Roman"/>
          <w:color w:val="auto"/>
          <w:kern w:val="0"/>
          <w:sz w:val="21"/>
          <w:szCs w:val="21"/>
          <w:highlight w:val="none"/>
          <w:u w:val="single"/>
          <w:lang w:val="en-US" w:eastAsia="zh-CN"/>
        </w:rPr>
        <w:t>执行通用合同条款</w:t>
      </w:r>
      <w:r>
        <w:rPr>
          <w:rFonts w:ascii="Times New Roman" w:hAnsi="Times New Roman" w:eastAsia="仿宋_GB2312"/>
          <w:color w:val="auto"/>
          <w:sz w:val="21"/>
          <w:szCs w:val="21"/>
          <w:highlight w:val="none"/>
        </w:rPr>
        <w:t>。</w:t>
      </w:r>
    </w:p>
    <w:p w14:paraId="7D9D66B5">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黑体"/>
          <w:color w:val="auto"/>
          <w:sz w:val="21"/>
          <w:szCs w:val="21"/>
          <w:highlight w:val="none"/>
        </w:rPr>
      </w:pPr>
      <w:r>
        <w:rPr>
          <w:rFonts w:ascii="Times New Roman" w:hAnsi="Times New Roman" w:eastAsia="黑体"/>
          <w:color w:val="auto"/>
          <w:sz w:val="21"/>
          <w:szCs w:val="21"/>
          <w:highlight w:val="none"/>
        </w:rPr>
        <w:t>14.4 最终结清</w:t>
      </w:r>
    </w:p>
    <w:p w14:paraId="0AEA296E">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14.4.1 最终结清申请单</w:t>
      </w:r>
    </w:p>
    <w:p w14:paraId="128A3086">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承包人提交最终结清申请单的份数：</w:t>
      </w:r>
      <w:r>
        <w:rPr>
          <w:rFonts w:hint="eastAsia" w:eastAsia="仿宋_GB2312" w:cs="Times New Roman"/>
          <w:color w:val="auto"/>
          <w:kern w:val="0"/>
          <w:sz w:val="21"/>
          <w:szCs w:val="21"/>
          <w:highlight w:val="none"/>
          <w:u w:val="single"/>
          <w:lang w:val="en-US" w:eastAsia="zh-CN"/>
        </w:rPr>
        <w:t>4</w:t>
      </w:r>
      <w:r>
        <w:rPr>
          <w:rFonts w:hint="eastAsia" w:ascii="Times New Roman" w:hAnsi="Times New Roman" w:eastAsia="仿宋_GB2312" w:cs="Times New Roman"/>
          <w:color w:val="auto"/>
          <w:kern w:val="0"/>
          <w:sz w:val="21"/>
          <w:szCs w:val="21"/>
          <w:highlight w:val="none"/>
          <w:u w:val="single"/>
          <w:lang w:val="en-US" w:eastAsia="zh-CN"/>
        </w:rPr>
        <w:t xml:space="preserve">份 </w:t>
      </w:r>
      <w:r>
        <w:rPr>
          <w:rFonts w:ascii="Times New Roman" w:hAnsi="Times New Roman" w:eastAsia="仿宋_GB2312"/>
          <w:color w:val="auto"/>
          <w:sz w:val="21"/>
          <w:szCs w:val="21"/>
          <w:highlight w:val="none"/>
        </w:rPr>
        <w:t>。</w:t>
      </w:r>
    </w:p>
    <w:p w14:paraId="1D003383">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kern w:val="0"/>
          <w:sz w:val="21"/>
          <w:szCs w:val="21"/>
          <w:highlight w:val="none"/>
        </w:rPr>
        <w:t>承包人提交最终结算申请单的期限：</w:t>
      </w:r>
      <w:r>
        <w:rPr>
          <w:rFonts w:hint="eastAsia" w:ascii="Times New Roman" w:hAnsi="Times New Roman" w:eastAsia="仿宋_GB2312" w:cs="Times New Roman"/>
          <w:color w:val="auto"/>
          <w:kern w:val="0"/>
          <w:sz w:val="21"/>
          <w:szCs w:val="21"/>
          <w:highlight w:val="none"/>
          <w:u w:val="single"/>
          <w:lang w:val="en-US" w:eastAsia="zh-CN"/>
        </w:rPr>
        <w:t xml:space="preserve">执行通用合同条款 </w:t>
      </w:r>
      <w:r>
        <w:rPr>
          <w:rFonts w:ascii="Times New Roman" w:hAnsi="Times New Roman" w:eastAsia="仿宋_GB2312"/>
          <w:color w:val="auto"/>
          <w:sz w:val="21"/>
          <w:szCs w:val="21"/>
          <w:highlight w:val="none"/>
        </w:rPr>
        <w:t xml:space="preserve">。 </w:t>
      </w:r>
    </w:p>
    <w:p w14:paraId="2472B9A4">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14.4.2 最终结清证书和支付</w:t>
      </w:r>
    </w:p>
    <w:p w14:paraId="7B6D8301">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（1）发包人完成最终结清申请单的</w:t>
      </w:r>
      <w:r>
        <w:rPr>
          <w:rFonts w:hint="eastAsia" w:ascii="Times New Roman" w:hAnsi="Times New Roman" w:eastAsia="仿宋_GB2312"/>
          <w:color w:val="auto"/>
          <w:sz w:val="21"/>
          <w:szCs w:val="21"/>
          <w:highlight w:val="none"/>
        </w:rPr>
        <w:t>审批</w:t>
      </w:r>
      <w:r>
        <w:rPr>
          <w:rFonts w:ascii="Times New Roman" w:hAnsi="Times New Roman" w:eastAsia="仿宋_GB2312"/>
          <w:color w:val="auto"/>
          <w:sz w:val="21"/>
          <w:szCs w:val="21"/>
          <w:highlight w:val="none"/>
        </w:rPr>
        <w:t>并颁发最终结清证书的期限：</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 xml:space="preserve">执行通用合同条款  </w:t>
      </w:r>
      <w:r>
        <w:rPr>
          <w:rFonts w:ascii="Times New Roman" w:hAnsi="Times New Roman" w:eastAsia="仿宋_GB2312"/>
          <w:color w:val="auto"/>
          <w:sz w:val="21"/>
          <w:szCs w:val="21"/>
          <w:highlight w:val="none"/>
        </w:rPr>
        <w:t>。</w:t>
      </w:r>
    </w:p>
    <w:p w14:paraId="26696BA0">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（2）发包人完成支付的期限：</w:t>
      </w:r>
      <w:r>
        <w:rPr>
          <w:rFonts w:hint="eastAsia" w:ascii="Times New Roman" w:hAnsi="Times New Roman" w:eastAsia="仿宋_GB2312" w:cs="Times New Roman"/>
          <w:color w:val="auto"/>
          <w:kern w:val="0"/>
          <w:sz w:val="21"/>
          <w:szCs w:val="21"/>
          <w:highlight w:val="none"/>
          <w:u w:val="single"/>
          <w:lang w:val="en-US" w:eastAsia="zh-CN"/>
        </w:rPr>
        <w:t xml:space="preserve">执行通用合同条款 </w:t>
      </w:r>
      <w:r>
        <w:rPr>
          <w:rFonts w:ascii="Times New Roman" w:hAnsi="Times New Roman" w:eastAsia="仿宋_GB2312"/>
          <w:color w:val="auto"/>
          <w:sz w:val="21"/>
          <w:szCs w:val="21"/>
          <w:highlight w:val="none"/>
        </w:rPr>
        <w:t>。</w:t>
      </w:r>
    </w:p>
    <w:bookmarkEnd w:id="1772"/>
    <w:bookmarkEnd w:id="1773"/>
    <w:bookmarkEnd w:id="1774"/>
    <w:bookmarkEnd w:id="1775"/>
    <w:bookmarkEnd w:id="1776"/>
    <w:bookmarkEnd w:id="1777"/>
    <w:bookmarkEnd w:id="1778"/>
    <w:bookmarkEnd w:id="1784"/>
    <w:p w14:paraId="1B36A37E">
      <w:pPr>
        <w:pStyle w:val="5"/>
        <w:pageBreakBefore w:val="0"/>
        <w:widowControl w:val="0"/>
        <w:kinsoku/>
        <w:wordWrap/>
        <w:overflowPunct/>
        <w:topLinePunct w:val="0"/>
        <w:bidi w:val="0"/>
        <w:adjustRightInd w:val="0"/>
        <w:snapToGrid w:val="0"/>
        <w:spacing w:before="0" w:after="0" w:line="360" w:lineRule="auto"/>
        <w:textAlignment w:val="auto"/>
        <w:rPr>
          <w:rFonts w:eastAsia="黑体"/>
          <w:b w:val="0"/>
          <w:color w:val="auto"/>
          <w:sz w:val="21"/>
          <w:szCs w:val="21"/>
          <w:highlight w:val="none"/>
        </w:rPr>
      </w:pPr>
      <w:bookmarkStart w:id="1790" w:name="_Toc351203647"/>
      <w:bookmarkStart w:id="1791" w:name="_Toc9096"/>
      <w:bookmarkStart w:id="1792" w:name="_Toc7824"/>
      <w:bookmarkStart w:id="1793" w:name="_Toc267251483"/>
      <w:bookmarkStart w:id="1794" w:name="_Toc267251484"/>
      <w:bookmarkStart w:id="1795" w:name="_Toc267251482"/>
      <w:bookmarkStart w:id="1796" w:name="_Toc267251485"/>
      <w:bookmarkStart w:id="1797" w:name="_Toc267251488"/>
      <w:bookmarkStart w:id="1798" w:name="_Toc267251489"/>
      <w:bookmarkStart w:id="1799" w:name="_Toc267251486"/>
      <w:bookmarkStart w:id="1800" w:name="_Toc267251490"/>
      <w:bookmarkStart w:id="1801" w:name="_Toc267251503"/>
      <w:bookmarkStart w:id="1802" w:name="_Toc267251496"/>
      <w:bookmarkStart w:id="1803" w:name="_Toc267251497"/>
      <w:bookmarkStart w:id="1804" w:name="_Toc267251499"/>
      <w:bookmarkStart w:id="1805" w:name="_Toc267251501"/>
      <w:bookmarkStart w:id="1806" w:name="_Toc267251493"/>
      <w:bookmarkStart w:id="1807" w:name="_Toc267251494"/>
      <w:bookmarkStart w:id="1808" w:name="_Toc267251492"/>
      <w:bookmarkStart w:id="1809" w:name="_Toc267251502"/>
      <w:bookmarkStart w:id="1810" w:name="_Toc267251491"/>
      <w:bookmarkStart w:id="1811" w:name="_Toc267251495"/>
      <w:bookmarkStart w:id="1812" w:name="_Toc267251498"/>
      <w:bookmarkStart w:id="1813" w:name="_Toc267251506"/>
      <w:bookmarkStart w:id="1814" w:name="_Toc267251504"/>
      <w:bookmarkStart w:id="1815" w:name="_Toc267251507"/>
      <w:bookmarkStart w:id="1816" w:name="_Toc267251508"/>
      <w:bookmarkStart w:id="1817" w:name="_Toc267251513"/>
      <w:bookmarkStart w:id="1818" w:name="_Toc267251515"/>
      <w:bookmarkStart w:id="1819" w:name="_Toc267251509"/>
      <w:bookmarkStart w:id="1820" w:name="_Toc267251510"/>
      <w:bookmarkStart w:id="1821" w:name="_Toc267251511"/>
      <w:bookmarkStart w:id="1822" w:name="_Toc267251514"/>
      <w:r>
        <w:rPr>
          <w:rFonts w:eastAsia="黑体"/>
          <w:b w:val="0"/>
          <w:color w:val="auto"/>
          <w:sz w:val="21"/>
          <w:szCs w:val="21"/>
          <w:highlight w:val="none"/>
        </w:rPr>
        <w:t>15. 缺陷责任期与保修</w:t>
      </w:r>
      <w:bookmarkEnd w:id="1790"/>
      <w:bookmarkEnd w:id="1791"/>
      <w:bookmarkEnd w:id="1792"/>
    </w:p>
    <w:p w14:paraId="0D07A55A">
      <w:pPr>
        <w:pageBreakBefore w:val="0"/>
        <w:widowControl w:val="0"/>
        <w:kinsoku/>
        <w:wordWrap/>
        <w:overflowPunct/>
        <w:topLinePunct w:val="0"/>
        <w:bidi w:val="0"/>
        <w:adjustRightInd w:val="0"/>
        <w:snapToGrid w:val="0"/>
        <w:spacing w:line="360" w:lineRule="auto"/>
        <w:ind w:firstLine="420" w:firstLineChars="200"/>
        <w:textAlignment w:val="auto"/>
        <w:outlineLvl w:val="4"/>
        <w:rPr>
          <w:rFonts w:ascii="Times New Roman" w:hAnsi="Times New Roman" w:eastAsia="黑体"/>
          <w:color w:val="auto"/>
          <w:sz w:val="21"/>
          <w:szCs w:val="21"/>
          <w:highlight w:val="none"/>
        </w:rPr>
      </w:pPr>
      <w:bookmarkStart w:id="1823" w:name="_Toc8163"/>
      <w:r>
        <w:rPr>
          <w:rFonts w:ascii="Times New Roman" w:hAnsi="Times New Roman" w:eastAsia="黑体"/>
          <w:color w:val="auto"/>
          <w:sz w:val="21"/>
          <w:szCs w:val="21"/>
          <w:highlight w:val="none"/>
        </w:rPr>
        <w:t>15.2缺陷责任期</w:t>
      </w:r>
      <w:bookmarkEnd w:id="1793"/>
      <w:bookmarkEnd w:id="1823"/>
    </w:p>
    <w:p w14:paraId="5FF81348">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缺陷责任期的具体期限</w:t>
      </w:r>
      <w:r>
        <w:rPr>
          <w:rFonts w:ascii="Times New Roman" w:hAnsi="Times New Roman" w:eastAsia="仿宋_GB2312"/>
          <w:color w:val="auto"/>
          <w:sz w:val="21"/>
          <w:szCs w:val="21"/>
          <w:highlight w:val="none"/>
          <w:u w:val="single"/>
        </w:rPr>
        <w:t>：</w:t>
      </w:r>
      <w:r>
        <w:rPr>
          <w:rFonts w:hint="eastAsia" w:ascii="Times New Roman" w:hAnsi="Times New Roman" w:eastAsia="仿宋_GB2312"/>
          <w:color w:val="auto"/>
          <w:sz w:val="21"/>
          <w:szCs w:val="21"/>
          <w:highlight w:val="none"/>
          <w:u w:val="single"/>
        </w:rPr>
        <w:t>工程通过竣工验收之日起</w:t>
      </w:r>
      <w:r>
        <w:rPr>
          <w:rFonts w:hint="eastAsia" w:ascii="Times New Roman" w:hAnsi="Times New Roman" w:eastAsia="仿宋_GB2312" w:cs="Times New Roman"/>
          <w:color w:val="auto"/>
          <w:kern w:val="0"/>
          <w:sz w:val="21"/>
          <w:szCs w:val="21"/>
          <w:highlight w:val="none"/>
          <w:u w:val="single"/>
          <w:lang w:val="en-US" w:eastAsia="zh-CN"/>
        </w:rPr>
        <w:t>24个月</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11DC494D">
      <w:pPr>
        <w:pageBreakBefore w:val="0"/>
        <w:widowControl w:val="0"/>
        <w:kinsoku/>
        <w:wordWrap/>
        <w:overflowPunct/>
        <w:topLinePunct w:val="0"/>
        <w:bidi w:val="0"/>
        <w:adjustRightInd w:val="0"/>
        <w:snapToGrid w:val="0"/>
        <w:spacing w:line="360" w:lineRule="auto"/>
        <w:ind w:firstLine="420" w:firstLineChars="200"/>
        <w:textAlignment w:val="auto"/>
        <w:outlineLvl w:val="4"/>
        <w:rPr>
          <w:rFonts w:ascii="Times New Roman" w:hAnsi="Times New Roman" w:eastAsia="黑体"/>
          <w:color w:val="auto"/>
          <w:sz w:val="21"/>
          <w:szCs w:val="21"/>
          <w:highlight w:val="none"/>
        </w:rPr>
      </w:pPr>
      <w:bookmarkStart w:id="1824" w:name="_Toc28688"/>
      <w:r>
        <w:rPr>
          <w:rFonts w:ascii="Times New Roman" w:hAnsi="Times New Roman" w:eastAsia="黑体"/>
          <w:color w:val="auto"/>
          <w:sz w:val="21"/>
          <w:szCs w:val="21"/>
          <w:highlight w:val="none"/>
        </w:rPr>
        <w:t>15.3 质量保证金</w:t>
      </w:r>
      <w:bookmarkEnd w:id="1824"/>
    </w:p>
    <w:p w14:paraId="42D8CC77">
      <w:pPr>
        <w:pageBreakBefore w:val="0"/>
        <w:widowControl w:val="0"/>
        <w:kinsoku/>
        <w:wordWrap/>
        <w:overflowPunct/>
        <w:topLinePunct w:val="0"/>
        <w:bidi w:val="0"/>
        <w:adjustRightInd w:val="0"/>
        <w:snapToGrid w:val="0"/>
        <w:spacing w:line="360" w:lineRule="auto"/>
        <w:ind w:firstLine="420" w:firstLineChars="200"/>
        <w:jc w:val="left"/>
        <w:textAlignment w:val="auto"/>
        <w:rPr>
          <w:rFonts w:eastAsia="仿宋_GB2312"/>
          <w:color w:val="auto"/>
          <w:sz w:val="21"/>
          <w:szCs w:val="21"/>
          <w:highlight w:val="none"/>
        </w:rPr>
      </w:pPr>
      <w:r>
        <w:rPr>
          <w:rFonts w:hint="eastAsia" w:ascii="Times New Roman" w:hAnsi="Times New Roman" w:eastAsia="仿宋_GB2312"/>
          <w:color w:val="auto"/>
          <w:sz w:val="21"/>
          <w:szCs w:val="21"/>
          <w:highlight w:val="none"/>
        </w:rPr>
        <w:t>关于是否扣留质量保证金的约定：</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工程质量保证金为结算工程款的3%</w:t>
      </w:r>
      <w:r>
        <w:rPr>
          <w:rFonts w:hint="eastAsia" w:eastAsia="仿宋_GB2312"/>
          <w:color w:val="auto"/>
          <w:sz w:val="21"/>
          <w:szCs w:val="21"/>
          <w:highlight w:val="none"/>
          <w:u w:val="single"/>
          <w:lang w:eastAsia="zh-CN"/>
        </w:rPr>
        <w:t>，</w:t>
      </w:r>
      <w:r>
        <w:rPr>
          <w:rFonts w:hint="eastAsia" w:ascii="Times New Roman" w:hAnsi="Times New Roman" w:eastAsia="仿宋_GB2312"/>
          <w:color w:val="auto"/>
          <w:sz w:val="21"/>
          <w:szCs w:val="21"/>
          <w:highlight w:val="none"/>
          <w:u w:val="single"/>
        </w:rPr>
        <w:t>在工程竣工结算时一次性扣留</w:t>
      </w:r>
      <w:r>
        <w:rPr>
          <w:rFonts w:ascii="Times New Roman" w:hAnsi="Times New Roman" w:eastAsia="仿宋_GB2312"/>
          <w:color w:val="auto"/>
          <w:sz w:val="21"/>
          <w:szCs w:val="21"/>
          <w:highlight w:val="none"/>
        </w:rPr>
        <w:t>。</w:t>
      </w:r>
      <w:r>
        <w:rPr>
          <w:rFonts w:hint="eastAsia" w:eastAsia="仿宋_GB2312"/>
          <w:color w:val="auto"/>
          <w:sz w:val="21"/>
          <w:szCs w:val="21"/>
          <w:highlight w:val="none"/>
        </w:rPr>
        <w:t>在工程项目竣工前，承包人按专用合同条款第3.7条提供履约担保的，发包人不得同时预留工程质量保证金。</w:t>
      </w:r>
    </w:p>
    <w:p w14:paraId="486477F7">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 xml:space="preserve">15.3.1 </w:t>
      </w:r>
      <w:r>
        <w:rPr>
          <w:rFonts w:hint="eastAsia" w:ascii="Times New Roman" w:hAnsi="Times New Roman" w:eastAsia="仿宋_GB2312"/>
          <w:color w:val="auto"/>
          <w:sz w:val="21"/>
          <w:szCs w:val="21"/>
          <w:highlight w:val="none"/>
        </w:rPr>
        <w:t>承包人提供</w:t>
      </w:r>
      <w:r>
        <w:rPr>
          <w:rFonts w:ascii="Times New Roman" w:hAnsi="Times New Roman" w:eastAsia="仿宋_GB2312"/>
          <w:color w:val="auto"/>
          <w:sz w:val="21"/>
          <w:szCs w:val="21"/>
          <w:highlight w:val="none"/>
        </w:rPr>
        <w:t>质量保证金的</w:t>
      </w:r>
      <w:r>
        <w:rPr>
          <w:rFonts w:hint="eastAsia" w:ascii="Times New Roman" w:hAnsi="Times New Roman" w:eastAsia="仿宋_GB2312"/>
          <w:color w:val="auto"/>
          <w:sz w:val="21"/>
          <w:szCs w:val="21"/>
          <w:highlight w:val="none"/>
        </w:rPr>
        <w:t>方</w:t>
      </w:r>
      <w:r>
        <w:rPr>
          <w:rFonts w:ascii="Times New Roman" w:hAnsi="Times New Roman" w:eastAsia="仿宋_GB2312"/>
          <w:color w:val="auto"/>
          <w:sz w:val="21"/>
          <w:szCs w:val="21"/>
          <w:highlight w:val="none"/>
        </w:rPr>
        <w:t>式</w:t>
      </w:r>
    </w:p>
    <w:p w14:paraId="5951704F">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质量保证金采用以下第</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w:t>
      </w:r>
      <w:r>
        <w:rPr>
          <w:rFonts w:hint="eastAsia" w:eastAsia="仿宋_GB2312" w:cs="Times New Roman"/>
          <w:color w:val="auto"/>
          <w:kern w:val="0"/>
          <w:sz w:val="21"/>
          <w:szCs w:val="21"/>
          <w:highlight w:val="none"/>
          <w:u w:val="single"/>
          <w:lang w:val="en-US" w:eastAsia="zh-CN"/>
        </w:rPr>
        <w:t>2</w:t>
      </w:r>
      <w:r>
        <w:rPr>
          <w:rFonts w:hint="eastAsia" w:ascii="Times New Roman" w:hAnsi="Times New Roman" w:eastAsia="仿宋_GB2312" w:cs="Times New Roman"/>
          <w:color w:val="auto"/>
          <w:kern w:val="0"/>
          <w:sz w:val="21"/>
          <w:szCs w:val="21"/>
          <w:highlight w:val="none"/>
          <w:u w:val="single"/>
          <w:lang w:val="en-US" w:eastAsia="zh-CN"/>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种方式：</w:t>
      </w:r>
    </w:p>
    <w:p w14:paraId="261AD5DC">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（1）质量保证金保函，保证金额为：</w:t>
      </w:r>
      <w:r>
        <w:rPr>
          <w:rFonts w:ascii="Times New Roman" w:hAnsi="Times New Roman" w:eastAsia="仿宋_GB2312"/>
          <w:color w:val="auto"/>
          <w:kern w:val="0"/>
          <w:sz w:val="21"/>
          <w:szCs w:val="21"/>
          <w:highlight w:val="none"/>
          <w:u w:val="single"/>
        </w:rPr>
        <w:t xml:space="preserve">   </w:t>
      </w:r>
      <w:r>
        <w:rPr>
          <w:rFonts w:hint="eastAsia" w:ascii="Times New Roman" w:hAnsi="Times New Roman" w:eastAsia="仿宋_GB2312"/>
          <w:color w:val="auto"/>
          <w:kern w:val="0"/>
          <w:sz w:val="21"/>
          <w:szCs w:val="21"/>
          <w:highlight w:val="none"/>
          <w:u w:val="single"/>
        </w:rPr>
        <w:t xml:space="preserve">            </w:t>
      </w:r>
      <w:r>
        <w:rPr>
          <w:rFonts w:ascii="Times New Roman" w:hAnsi="Times New Roman" w:eastAsia="仿宋_GB2312"/>
          <w:color w:val="auto"/>
          <w:kern w:val="0"/>
          <w:sz w:val="21"/>
          <w:szCs w:val="21"/>
          <w:highlight w:val="none"/>
          <w:u w:val="single"/>
        </w:rPr>
        <w:t xml:space="preserve">    </w:t>
      </w:r>
      <w:r>
        <w:rPr>
          <w:rFonts w:ascii="Times New Roman" w:hAnsi="Times New Roman" w:eastAsia="仿宋_GB2312"/>
          <w:color w:val="auto"/>
          <w:kern w:val="0"/>
          <w:sz w:val="21"/>
          <w:szCs w:val="21"/>
          <w:highlight w:val="none"/>
        </w:rPr>
        <w:t xml:space="preserve">； </w:t>
      </w:r>
    </w:p>
    <w:p w14:paraId="70260796">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w:t>
      </w:r>
      <w:r>
        <w:rPr>
          <w:rFonts w:ascii="Times New Roman" w:hAnsi="Times New Roman" w:eastAsia="仿宋_GB2312"/>
          <w:color w:val="auto"/>
          <w:kern w:val="0"/>
          <w:sz w:val="21"/>
          <w:szCs w:val="21"/>
          <w:highlight w:val="none"/>
          <w:u w:val="single"/>
        </w:rPr>
        <w:t xml:space="preserve"> </w:t>
      </w:r>
      <w:r>
        <w:rPr>
          <w:rFonts w:hint="eastAsia" w:eastAsia="仿宋_GB2312"/>
          <w:color w:val="auto"/>
          <w:kern w:val="0"/>
          <w:sz w:val="21"/>
          <w:szCs w:val="21"/>
          <w:highlight w:val="none"/>
          <w:u w:val="single"/>
          <w:lang w:val="en-US" w:eastAsia="zh-CN"/>
        </w:rPr>
        <w:t>3</w:t>
      </w:r>
      <w:r>
        <w:rPr>
          <w:rFonts w:ascii="Times New Roman" w:hAnsi="Times New Roman" w:eastAsia="仿宋_GB2312"/>
          <w:color w:val="auto"/>
          <w:kern w:val="0"/>
          <w:sz w:val="21"/>
          <w:szCs w:val="21"/>
          <w:highlight w:val="none"/>
        </w:rPr>
        <w:t>%的工程款；</w:t>
      </w:r>
    </w:p>
    <w:p w14:paraId="74C32FC6">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（3）其他</w:t>
      </w:r>
      <w:r>
        <w:rPr>
          <w:rFonts w:hint="eastAsia" w:ascii="Times New Roman" w:hAnsi="Times New Roman" w:eastAsia="仿宋_GB2312"/>
          <w:color w:val="auto"/>
          <w:kern w:val="0"/>
          <w:sz w:val="21"/>
          <w:szCs w:val="21"/>
          <w:highlight w:val="none"/>
        </w:rPr>
        <w:t>方</w:t>
      </w:r>
      <w:r>
        <w:rPr>
          <w:rFonts w:ascii="Times New Roman" w:hAnsi="Times New Roman" w:eastAsia="仿宋_GB2312"/>
          <w:color w:val="auto"/>
          <w:kern w:val="0"/>
          <w:sz w:val="21"/>
          <w:szCs w:val="21"/>
          <w:highlight w:val="none"/>
        </w:rPr>
        <w:t>式</w:t>
      </w:r>
      <w:r>
        <w:rPr>
          <w:rFonts w:hint="eastAsia" w:ascii="Times New Roman" w:hAnsi="Times New Roman" w:eastAsia="仿宋_GB2312"/>
          <w:color w:val="auto"/>
          <w:kern w:val="0"/>
          <w:sz w:val="21"/>
          <w:szCs w:val="21"/>
          <w:highlight w:val="none"/>
          <w:lang w:val="en-US" w:eastAsia="zh-CN"/>
        </w:rPr>
        <w:t>：</w:t>
      </w:r>
      <w:r>
        <w:rPr>
          <w:rFonts w:ascii="Times New Roman" w:hAnsi="Times New Roman" w:eastAsia="仿宋_GB2312"/>
          <w:color w:val="auto"/>
          <w:kern w:val="0"/>
          <w:sz w:val="21"/>
          <w:szCs w:val="21"/>
          <w:highlight w:val="none"/>
          <w:u w:val="single"/>
        </w:rPr>
        <w:t xml:space="preserve"> </w:t>
      </w:r>
      <w:r>
        <w:rPr>
          <w:rFonts w:hint="eastAsia" w:eastAsia="仿宋_GB2312" w:cs="Times New Roman"/>
          <w:color w:val="auto"/>
          <w:kern w:val="0"/>
          <w:sz w:val="21"/>
          <w:szCs w:val="21"/>
          <w:highlight w:val="none"/>
          <w:u w:val="single"/>
          <w:lang w:val="en-US" w:eastAsia="zh-CN"/>
        </w:rPr>
        <w:t xml:space="preserve">                </w:t>
      </w:r>
      <w:r>
        <w:rPr>
          <w:rFonts w:hint="eastAsia" w:ascii="Times New Roman" w:hAnsi="Times New Roman" w:eastAsia="仿宋_GB2312" w:cs="Times New Roman"/>
          <w:color w:val="auto"/>
          <w:kern w:val="0"/>
          <w:sz w:val="21"/>
          <w:szCs w:val="21"/>
          <w:highlight w:val="none"/>
          <w:u w:val="single"/>
          <w:lang w:val="en-US" w:eastAsia="zh-CN"/>
        </w:rPr>
        <w:t xml:space="preserve"> </w:t>
      </w:r>
      <w:r>
        <w:rPr>
          <w:rFonts w:ascii="Times New Roman" w:hAnsi="Times New Roman" w:eastAsia="仿宋_GB2312"/>
          <w:color w:val="auto"/>
          <w:kern w:val="0"/>
          <w:sz w:val="21"/>
          <w:szCs w:val="21"/>
          <w:highlight w:val="none"/>
        </w:rPr>
        <w:t>。</w:t>
      </w:r>
    </w:p>
    <w:p w14:paraId="623BF337">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 xml:space="preserve">15.3.2 质量保证金的扣留 </w:t>
      </w:r>
    </w:p>
    <w:p w14:paraId="434E2609">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质量保证金的扣留采取以下第</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w:t>
      </w:r>
      <w:r>
        <w:rPr>
          <w:rFonts w:hint="eastAsia" w:eastAsia="仿宋_GB2312" w:cs="Times New Roman"/>
          <w:color w:val="auto"/>
          <w:kern w:val="0"/>
          <w:sz w:val="21"/>
          <w:szCs w:val="21"/>
          <w:highlight w:val="none"/>
          <w:u w:val="single"/>
          <w:lang w:val="en-US" w:eastAsia="zh-CN"/>
        </w:rPr>
        <w:t>2</w:t>
      </w:r>
      <w:r>
        <w:rPr>
          <w:rFonts w:hint="eastAsia" w:ascii="Times New Roman" w:hAnsi="Times New Roman" w:eastAsia="仿宋_GB2312" w:cs="Times New Roman"/>
          <w:color w:val="auto"/>
          <w:kern w:val="0"/>
          <w:sz w:val="21"/>
          <w:szCs w:val="21"/>
          <w:highlight w:val="none"/>
          <w:u w:val="single"/>
          <w:lang w:val="en-US" w:eastAsia="zh-CN"/>
        </w:rPr>
        <w:t>）</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种方式：</w:t>
      </w:r>
    </w:p>
    <w:p w14:paraId="31C49652">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（1）在支付工程进度款时逐次扣留，在此情形下，质量保证金的计算基数不包括预付款的支付、扣回以及价格调整的金额；</w:t>
      </w:r>
    </w:p>
    <w:p w14:paraId="651581CA">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（2）工程竣工结算时一次性扣留质量保证金；</w:t>
      </w:r>
    </w:p>
    <w:p w14:paraId="77E1CE36">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（3）其他扣留方式</w:t>
      </w:r>
      <w:r>
        <w:rPr>
          <w:rFonts w:hint="eastAsia" w:eastAsia="仿宋_GB2312"/>
          <w:color w:val="auto"/>
          <w:kern w:val="0"/>
          <w:sz w:val="21"/>
          <w:szCs w:val="21"/>
          <w:highlight w:val="none"/>
          <w:lang w:eastAsia="zh-CN"/>
        </w:rPr>
        <w:t>：</w:t>
      </w:r>
      <w:r>
        <w:rPr>
          <w:rFonts w:ascii="Times New Roman" w:hAnsi="Times New Roman" w:eastAsia="仿宋_GB2312"/>
          <w:color w:val="auto"/>
          <w:kern w:val="0"/>
          <w:sz w:val="21"/>
          <w:szCs w:val="21"/>
          <w:highlight w:val="none"/>
          <w:u w:val="single"/>
        </w:rPr>
        <w:t xml:space="preserve"> </w:t>
      </w:r>
      <w:r>
        <w:rPr>
          <w:rFonts w:hint="eastAsia" w:eastAsia="仿宋_GB2312"/>
          <w:color w:val="auto"/>
          <w:kern w:val="0"/>
          <w:sz w:val="21"/>
          <w:szCs w:val="21"/>
          <w:highlight w:val="none"/>
          <w:u w:val="single"/>
          <w:lang w:val="en-US" w:eastAsia="zh-CN"/>
        </w:rPr>
        <w:t xml:space="preserve">                     </w:t>
      </w:r>
      <w:r>
        <w:rPr>
          <w:rFonts w:ascii="Times New Roman" w:hAnsi="Times New Roman" w:eastAsia="仿宋_GB2312"/>
          <w:color w:val="auto"/>
          <w:kern w:val="0"/>
          <w:sz w:val="21"/>
          <w:szCs w:val="21"/>
          <w:highlight w:val="none"/>
          <w:u w:val="single"/>
        </w:rPr>
        <w:t xml:space="preserve"> </w:t>
      </w:r>
      <w:r>
        <w:rPr>
          <w:rFonts w:ascii="Times New Roman" w:hAnsi="Times New Roman" w:eastAsia="仿宋_GB2312"/>
          <w:color w:val="auto"/>
          <w:kern w:val="0"/>
          <w:sz w:val="21"/>
          <w:szCs w:val="21"/>
          <w:highlight w:val="none"/>
        </w:rPr>
        <w:t>。</w:t>
      </w:r>
    </w:p>
    <w:p w14:paraId="4E689FF2">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关于质量保证金的补充约定：</w:t>
      </w:r>
      <w:r>
        <w:rPr>
          <w:rFonts w:ascii="Times New Roman" w:hAnsi="Times New Roman" w:eastAsia="仿宋_GB2312"/>
          <w:color w:val="auto"/>
          <w:kern w:val="0"/>
          <w:sz w:val="21"/>
          <w:szCs w:val="21"/>
          <w:highlight w:val="none"/>
          <w:u w:val="single"/>
        </w:rPr>
        <w:t xml:space="preserve">          </w:t>
      </w:r>
      <w:r>
        <w:rPr>
          <w:rFonts w:hint="eastAsia" w:ascii="Times New Roman" w:hAnsi="Times New Roman" w:eastAsia="仿宋_GB2312"/>
          <w:color w:val="auto"/>
          <w:kern w:val="0"/>
          <w:sz w:val="21"/>
          <w:szCs w:val="21"/>
          <w:highlight w:val="none"/>
          <w:u w:val="single"/>
        </w:rPr>
        <w:t xml:space="preserve">    </w:t>
      </w:r>
      <w:r>
        <w:rPr>
          <w:rFonts w:ascii="Times New Roman" w:hAnsi="Times New Roman" w:eastAsia="仿宋_GB2312"/>
          <w:color w:val="auto"/>
          <w:kern w:val="0"/>
          <w:sz w:val="21"/>
          <w:szCs w:val="21"/>
          <w:highlight w:val="none"/>
          <w:u w:val="single"/>
        </w:rPr>
        <w:t xml:space="preserve">  </w:t>
      </w:r>
      <w:r>
        <w:rPr>
          <w:rFonts w:hint="eastAsia" w:ascii="Times New Roman" w:hAnsi="Times New Roman" w:eastAsia="仿宋_GB2312"/>
          <w:color w:val="auto"/>
          <w:kern w:val="0"/>
          <w:sz w:val="21"/>
          <w:szCs w:val="21"/>
          <w:highlight w:val="none"/>
          <w:u w:val="single"/>
        </w:rPr>
        <w:t xml:space="preserve">      </w:t>
      </w:r>
      <w:r>
        <w:rPr>
          <w:rFonts w:ascii="Times New Roman" w:hAnsi="Times New Roman" w:eastAsia="仿宋_GB2312"/>
          <w:color w:val="auto"/>
          <w:kern w:val="0"/>
          <w:sz w:val="21"/>
          <w:szCs w:val="21"/>
          <w:highlight w:val="none"/>
          <w:u w:val="single"/>
        </w:rPr>
        <w:t xml:space="preserve">  </w:t>
      </w:r>
      <w:r>
        <w:rPr>
          <w:rFonts w:hint="eastAsia" w:ascii="Times New Roman" w:hAnsi="Times New Roman" w:eastAsia="仿宋_GB2312"/>
          <w:color w:val="auto"/>
          <w:kern w:val="0"/>
          <w:sz w:val="21"/>
          <w:szCs w:val="21"/>
          <w:highlight w:val="none"/>
          <w:u w:val="single"/>
        </w:rPr>
        <w:t xml:space="preserve">    </w:t>
      </w:r>
      <w:r>
        <w:rPr>
          <w:rFonts w:ascii="Times New Roman" w:hAnsi="Times New Roman" w:eastAsia="仿宋_GB2312"/>
          <w:color w:val="auto"/>
          <w:kern w:val="0"/>
          <w:sz w:val="21"/>
          <w:szCs w:val="21"/>
          <w:highlight w:val="none"/>
        </w:rPr>
        <w:t>。</w:t>
      </w:r>
    </w:p>
    <w:bookmarkEnd w:id="1794"/>
    <w:bookmarkEnd w:id="1795"/>
    <w:p w14:paraId="2E7E16E6">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黑体"/>
          <w:color w:val="auto"/>
          <w:sz w:val="21"/>
          <w:szCs w:val="21"/>
          <w:highlight w:val="none"/>
        </w:rPr>
      </w:pPr>
      <w:r>
        <w:rPr>
          <w:rFonts w:ascii="Times New Roman" w:hAnsi="Times New Roman" w:eastAsia="黑体"/>
          <w:color w:val="auto"/>
          <w:sz w:val="21"/>
          <w:szCs w:val="21"/>
          <w:highlight w:val="none"/>
        </w:rPr>
        <w:t>15.4保修</w:t>
      </w:r>
    </w:p>
    <w:bookmarkEnd w:id="1796"/>
    <w:p w14:paraId="0B03FDD2">
      <w:pPr>
        <w:pageBreakBefore w:val="0"/>
        <w:widowControl w:val="0"/>
        <w:kinsoku/>
        <w:wordWrap/>
        <w:overflowPunct/>
        <w:topLinePunct w:val="0"/>
        <w:bidi w:val="0"/>
        <w:adjustRightInd w:val="0"/>
        <w:snapToGrid w:val="0"/>
        <w:spacing w:line="360" w:lineRule="auto"/>
        <w:ind w:firstLine="409" w:firstLineChars="195"/>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15.4.1 保修责任</w:t>
      </w:r>
    </w:p>
    <w:p w14:paraId="5B3BF223">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sz w:val="21"/>
          <w:szCs w:val="21"/>
          <w:highlight w:val="none"/>
        </w:rPr>
        <w:t>工程保修期为：</w:t>
      </w:r>
      <w:r>
        <w:rPr>
          <w:rFonts w:ascii="Times New Roman" w:hAnsi="Times New Roman" w:eastAsia="仿宋_GB2312"/>
          <w:color w:val="auto"/>
          <w:kern w:val="0"/>
          <w:sz w:val="21"/>
          <w:szCs w:val="21"/>
          <w:highlight w:val="none"/>
          <w:u w:val="single"/>
        </w:rPr>
        <w:t xml:space="preserve"> </w:t>
      </w:r>
      <w:r>
        <w:rPr>
          <w:rFonts w:hint="eastAsia" w:ascii="Times New Roman" w:hAnsi="Times New Roman" w:eastAsia="仿宋_GB2312"/>
          <w:color w:val="auto"/>
          <w:kern w:val="0"/>
          <w:sz w:val="21"/>
          <w:szCs w:val="21"/>
          <w:highlight w:val="none"/>
          <w:u w:val="single"/>
        </w:rPr>
        <w:t>装修工程2年，防水工程5年，电气、给排水工程2年，暖通空调工程2年</w:t>
      </w:r>
      <w:r>
        <w:rPr>
          <w:rFonts w:hint="eastAsia" w:eastAsia="仿宋_GB2312"/>
          <w:color w:val="auto"/>
          <w:kern w:val="0"/>
          <w:sz w:val="21"/>
          <w:szCs w:val="21"/>
          <w:highlight w:val="none"/>
          <w:u w:val="single"/>
          <w:lang w:eastAsia="zh-CN"/>
        </w:rPr>
        <w:t>，</w:t>
      </w:r>
      <w:r>
        <w:rPr>
          <w:rFonts w:hint="eastAsia" w:ascii="Times New Roman" w:hAnsi="Times New Roman" w:eastAsia="仿宋_GB2312"/>
          <w:color w:val="auto"/>
          <w:kern w:val="0"/>
          <w:sz w:val="21"/>
          <w:szCs w:val="21"/>
          <w:highlight w:val="none"/>
          <w:u w:val="single"/>
        </w:rPr>
        <w:t>质保期自竣工验收合格之日起计算。质保期内出现质量问题，承包人应在接到通知后48小时内到场维修，费用由承包人承担。</w:t>
      </w:r>
    </w:p>
    <w:p w14:paraId="368A9212">
      <w:pPr>
        <w:pageBreakBefore w:val="0"/>
        <w:widowControl w:val="0"/>
        <w:kinsoku/>
        <w:wordWrap/>
        <w:overflowPunct/>
        <w:topLinePunct w:val="0"/>
        <w:bidi w:val="0"/>
        <w:adjustRightInd w:val="0"/>
        <w:snapToGrid w:val="0"/>
        <w:spacing w:line="360" w:lineRule="auto"/>
        <w:ind w:firstLine="409" w:firstLineChars="195"/>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15.4.3 修复通知</w:t>
      </w:r>
    </w:p>
    <w:p w14:paraId="16498380">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承包人收到保修通知并到达工程现场的合理时间：</w:t>
      </w:r>
      <w:r>
        <w:rPr>
          <w:rFonts w:hint="eastAsia" w:ascii="Times New Roman" w:hAnsi="Times New Roman" w:eastAsia="仿宋_GB2312" w:cs="Times New Roman"/>
          <w:color w:val="auto"/>
          <w:kern w:val="0"/>
          <w:sz w:val="21"/>
          <w:szCs w:val="21"/>
          <w:highlight w:val="none"/>
          <w:u w:val="single"/>
          <w:lang w:val="en-US" w:eastAsia="zh-CN"/>
        </w:rPr>
        <w:t>24小时内</w:t>
      </w:r>
      <w:r>
        <w:rPr>
          <w:rFonts w:ascii="Times New Roman" w:hAnsi="Times New Roman" w:eastAsia="仿宋_GB2312"/>
          <w:color w:val="auto"/>
          <w:kern w:val="0"/>
          <w:sz w:val="21"/>
          <w:szCs w:val="21"/>
          <w:highlight w:val="none"/>
        </w:rPr>
        <w:t>。</w:t>
      </w:r>
    </w:p>
    <w:bookmarkEnd w:id="1797"/>
    <w:bookmarkEnd w:id="1798"/>
    <w:bookmarkEnd w:id="1799"/>
    <w:bookmarkEnd w:id="1800"/>
    <w:p w14:paraId="3C2317DD">
      <w:pPr>
        <w:pStyle w:val="5"/>
        <w:pageBreakBefore w:val="0"/>
        <w:widowControl w:val="0"/>
        <w:kinsoku/>
        <w:wordWrap/>
        <w:overflowPunct/>
        <w:topLinePunct w:val="0"/>
        <w:bidi w:val="0"/>
        <w:adjustRightInd w:val="0"/>
        <w:snapToGrid w:val="0"/>
        <w:spacing w:before="0" w:after="0" w:line="360" w:lineRule="auto"/>
        <w:textAlignment w:val="auto"/>
        <w:rPr>
          <w:rFonts w:eastAsia="黑体"/>
          <w:b w:val="0"/>
          <w:color w:val="auto"/>
          <w:sz w:val="21"/>
          <w:szCs w:val="21"/>
          <w:highlight w:val="none"/>
        </w:rPr>
      </w:pPr>
      <w:bookmarkStart w:id="1825" w:name="_Toc351203648"/>
      <w:bookmarkStart w:id="1826" w:name="_Toc22908"/>
      <w:bookmarkStart w:id="1827" w:name="_Toc9171"/>
      <w:bookmarkStart w:id="1828" w:name="_Toc280868717"/>
      <w:bookmarkStart w:id="1829" w:name="_Toc280868718"/>
      <w:r>
        <w:rPr>
          <w:rFonts w:eastAsia="黑体"/>
          <w:b w:val="0"/>
          <w:color w:val="auto"/>
          <w:sz w:val="21"/>
          <w:szCs w:val="21"/>
          <w:highlight w:val="none"/>
        </w:rPr>
        <w:t>16. 违约</w:t>
      </w:r>
      <w:bookmarkEnd w:id="1825"/>
      <w:bookmarkEnd w:id="1826"/>
      <w:bookmarkEnd w:id="1827"/>
    </w:p>
    <w:p w14:paraId="0F7D2AE5">
      <w:pPr>
        <w:pageBreakBefore w:val="0"/>
        <w:widowControl w:val="0"/>
        <w:kinsoku/>
        <w:wordWrap/>
        <w:overflowPunct/>
        <w:topLinePunct w:val="0"/>
        <w:bidi w:val="0"/>
        <w:adjustRightInd w:val="0"/>
        <w:snapToGrid w:val="0"/>
        <w:spacing w:line="360" w:lineRule="auto"/>
        <w:ind w:firstLine="420" w:firstLineChars="200"/>
        <w:textAlignment w:val="auto"/>
        <w:outlineLvl w:val="4"/>
        <w:rPr>
          <w:rFonts w:ascii="Times New Roman" w:hAnsi="Times New Roman" w:eastAsia="黑体"/>
          <w:color w:val="auto"/>
          <w:sz w:val="21"/>
          <w:szCs w:val="21"/>
          <w:highlight w:val="none"/>
        </w:rPr>
      </w:pPr>
      <w:bookmarkStart w:id="1830" w:name="_Toc21070"/>
      <w:r>
        <w:rPr>
          <w:rFonts w:ascii="Times New Roman" w:hAnsi="Times New Roman" w:eastAsia="黑体"/>
          <w:color w:val="auto"/>
          <w:sz w:val="21"/>
          <w:szCs w:val="21"/>
          <w:highlight w:val="none"/>
        </w:rPr>
        <w:t>16.1 发包人违约</w:t>
      </w:r>
      <w:bookmarkEnd w:id="1830"/>
    </w:p>
    <w:p w14:paraId="4F1FCA2D">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16.1.1发包人违约的情形</w:t>
      </w:r>
    </w:p>
    <w:p w14:paraId="41078A87">
      <w:pPr>
        <w:pageBreakBefore w:val="0"/>
        <w:widowControl w:val="0"/>
        <w:kinsoku/>
        <w:wordWrap/>
        <w:overflowPunct/>
        <w:topLinePunct w:val="0"/>
        <w:bidi w:val="0"/>
        <w:adjustRightInd w:val="0"/>
        <w:snapToGrid w:val="0"/>
        <w:spacing w:line="360" w:lineRule="auto"/>
        <w:ind w:left="1226" w:leftChars="284" w:hanging="630" w:hangingChars="300"/>
        <w:jc w:val="left"/>
        <w:textAlignment w:val="auto"/>
        <w:rPr>
          <w:rFonts w:hint="eastAsia"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发包人违约的其他情形：</w:t>
      </w:r>
      <w:r>
        <w:rPr>
          <w:rFonts w:hint="eastAsia" w:ascii="Times New Roman" w:hAnsi="Times New Roman" w:eastAsia="仿宋_GB2312" w:cs="Times New Roman"/>
          <w:color w:val="auto"/>
          <w:kern w:val="0"/>
          <w:sz w:val="21"/>
          <w:szCs w:val="21"/>
          <w:highlight w:val="none"/>
          <w:u w:val="single"/>
          <w:lang w:val="en-US" w:eastAsia="zh-CN"/>
        </w:rPr>
        <w:t xml:space="preserve"> 无 </w:t>
      </w:r>
      <w:r>
        <w:rPr>
          <w:rFonts w:ascii="Times New Roman" w:hAnsi="Times New Roman" w:eastAsia="仿宋_GB2312"/>
          <w:color w:val="auto"/>
          <w:kern w:val="0"/>
          <w:sz w:val="21"/>
          <w:szCs w:val="21"/>
          <w:highlight w:val="none"/>
        </w:rPr>
        <w:t>。</w:t>
      </w:r>
    </w:p>
    <w:p w14:paraId="020BACD4">
      <w:pPr>
        <w:pageBreakBefore w:val="0"/>
        <w:widowControl w:val="0"/>
        <w:kinsoku/>
        <w:wordWrap/>
        <w:overflowPunct/>
        <w:topLinePunct w:val="0"/>
        <w:bidi w:val="0"/>
        <w:adjustRightInd w:val="0"/>
        <w:snapToGrid w:val="0"/>
        <w:spacing w:line="360" w:lineRule="auto"/>
        <w:ind w:left="1500" w:hanging="1050" w:hangingChars="5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 xml:space="preserve">    16.1.2 发包人违约的责任</w:t>
      </w:r>
    </w:p>
    <w:p w14:paraId="75B561AA">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发包人违约责任的承担方式和计算方法：</w:t>
      </w:r>
    </w:p>
    <w:p w14:paraId="107B49D5">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u w:val="single"/>
        </w:rPr>
      </w:pPr>
      <w:r>
        <w:rPr>
          <w:rFonts w:ascii="Times New Roman" w:hAnsi="Times New Roman" w:eastAsia="仿宋_GB2312"/>
          <w:color w:val="auto"/>
          <w:kern w:val="0"/>
          <w:sz w:val="21"/>
          <w:szCs w:val="21"/>
          <w:highlight w:val="none"/>
        </w:rPr>
        <w:t>（1）因发包人原因未能在计划开工日期前7天内下达开工通知的违约责任：</w:t>
      </w:r>
      <w:r>
        <w:rPr>
          <w:rFonts w:ascii="Times New Roman" w:hAnsi="Times New Roman" w:eastAsia="仿宋_GB2312"/>
          <w:color w:val="auto"/>
          <w:kern w:val="0"/>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 xml:space="preserve"> 无 </w:t>
      </w:r>
      <w:r>
        <w:rPr>
          <w:rFonts w:hint="eastAsia" w:ascii="Times New Roman" w:hAnsi="Times New Roman" w:eastAsia="仿宋_GB2312"/>
          <w:color w:val="auto"/>
          <w:kern w:val="0"/>
          <w:sz w:val="21"/>
          <w:szCs w:val="21"/>
          <w:highlight w:val="none"/>
          <w:u w:val="single"/>
        </w:rPr>
        <w:t xml:space="preserve">                       </w:t>
      </w:r>
      <w:r>
        <w:rPr>
          <w:rFonts w:ascii="Times New Roman" w:hAnsi="Times New Roman" w:eastAsia="仿宋_GB2312"/>
          <w:color w:val="auto"/>
          <w:kern w:val="0"/>
          <w:sz w:val="21"/>
          <w:szCs w:val="21"/>
          <w:highlight w:val="none"/>
          <w:u w:val="single"/>
        </w:rPr>
        <w:t xml:space="preserve"> </w:t>
      </w:r>
      <w:r>
        <w:rPr>
          <w:rFonts w:hint="eastAsia" w:ascii="Times New Roman" w:hAnsi="Times New Roman" w:eastAsia="仿宋_GB2312"/>
          <w:color w:val="auto"/>
          <w:kern w:val="0"/>
          <w:sz w:val="21"/>
          <w:szCs w:val="21"/>
          <w:highlight w:val="none"/>
          <w:u w:val="single"/>
        </w:rPr>
        <w:t xml:space="preserve"> </w:t>
      </w:r>
      <w:r>
        <w:rPr>
          <w:rFonts w:ascii="Times New Roman" w:hAnsi="Times New Roman" w:eastAsia="仿宋_GB2312"/>
          <w:color w:val="auto"/>
          <w:kern w:val="0"/>
          <w:sz w:val="21"/>
          <w:szCs w:val="21"/>
          <w:highlight w:val="none"/>
        </w:rPr>
        <w:t>。</w:t>
      </w:r>
    </w:p>
    <w:p w14:paraId="28B80839">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（2）因发包人原因未能按合同约定支付合同价款的违约责任：</w:t>
      </w:r>
      <w:r>
        <w:rPr>
          <w:rFonts w:hint="eastAsia" w:ascii="Times New Roman" w:hAnsi="Times New Roman" w:eastAsia="仿宋_GB2312"/>
          <w:color w:val="auto"/>
          <w:kern w:val="0"/>
          <w:sz w:val="21"/>
          <w:szCs w:val="21"/>
          <w:highlight w:val="none"/>
          <w:u w:val="single"/>
          <w:lang w:eastAsia="zh-CN"/>
        </w:rPr>
        <w:t>无</w:t>
      </w:r>
      <w:r>
        <w:rPr>
          <w:rFonts w:ascii="Times New Roman" w:hAnsi="Times New Roman" w:eastAsia="仿宋_GB2312"/>
          <w:color w:val="auto"/>
          <w:kern w:val="0"/>
          <w:sz w:val="21"/>
          <w:szCs w:val="21"/>
          <w:highlight w:val="none"/>
        </w:rPr>
        <w:t>。</w:t>
      </w:r>
    </w:p>
    <w:p w14:paraId="6E61A995">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（3）发包人违反第10.1款</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变更的范围</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第（2）项约定，自行实施被取消的工作或转由他人实施的违约责任：</w:t>
      </w:r>
      <w:r>
        <w:rPr>
          <w:rFonts w:ascii="Times New Roman" w:hAnsi="Times New Roman" w:eastAsia="仿宋_GB2312"/>
          <w:color w:val="auto"/>
          <w:kern w:val="0"/>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无</w:t>
      </w:r>
      <w:r>
        <w:rPr>
          <w:rFonts w:ascii="Times New Roman" w:hAnsi="Times New Roman" w:eastAsia="仿宋_GB2312"/>
          <w:color w:val="auto"/>
          <w:kern w:val="0"/>
          <w:sz w:val="21"/>
          <w:szCs w:val="21"/>
          <w:highlight w:val="none"/>
          <w:u w:val="single"/>
        </w:rPr>
        <w:t xml:space="preserve"> </w:t>
      </w:r>
      <w:r>
        <w:rPr>
          <w:rFonts w:hint="eastAsia" w:ascii="Times New Roman" w:hAnsi="Times New Roman" w:eastAsia="仿宋_GB2312"/>
          <w:color w:val="auto"/>
          <w:kern w:val="0"/>
          <w:sz w:val="21"/>
          <w:szCs w:val="21"/>
          <w:highlight w:val="none"/>
          <w:u w:val="single"/>
        </w:rPr>
        <w:t xml:space="preserve">   </w:t>
      </w:r>
      <w:r>
        <w:rPr>
          <w:rFonts w:ascii="Times New Roman" w:hAnsi="Times New Roman" w:eastAsia="仿宋_GB2312"/>
          <w:color w:val="auto"/>
          <w:kern w:val="0"/>
          <w:sz w:val="21"/>
          <w:szCs w:val="21"/>
          <w:highlight w:val="none"/>
        </w:rPr>
        <w:t>。</w:t>
      </w:r>
    </w:p>
    <w:p w14:paraId="4152D454">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（4）发包人提供的材料、工程设备的规格、数量或质量不符合合同约定，或因发包人原因导致交货日期延误或交货地点变更等情况的违约责任：</w:t>
      </w:r>
      <w:r>
        <w:rPr>
          <w:rFonts w:ascii="Times New Roman" w:hAnsi="Times New Roman" w:eastAsia="仿宋_GB2312"/>
          <w:color w:val="auto"/>
          <w:kern w:val="0"/>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无</w:t>
      </w:r>
      <w:r>
        <w:rPr>
          <w:rFonts w:ascii="Times New Roman" w:hAnsi="Times New Roman" w:eastAsia="仿宋_GB2312"/>
          <w:color w:val="auto"/>
          <w:kern w:val="0"/>
          <w:sz w:val="21"/>
          <w:szCs w:val="21"/>
          <w:highlight w:val="none"/>
          <w:u w:val="single"/>
        </w:rPr>
        <w:t xml:space="preserve"> </w:t>
      </w:r>
      <w:r>
        <w:rPr>
          <w:rFonts w:ascii="Times New Roman" w:hAnsi="Times New Roman" w:eastAsia="仿宋_GB2312"/>
          <w:color w:val="auto"/>
          <w:kern w:val="0"/>
          <w:sz w:val="21"/>
          <w:szCs w:val="21"/>
          <w:highlight w:val="none"/>
        </w:rPr>
        <w:t>。</w:t>
      </w:r>
    </w:p>
    <w:p w14:paraId="35837C3C">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（5）因发包人违反合同约定造成暂停施工的违约责任：</w:t>
      </w:r>
      <w:r>
        <w:rPr>
          <w:rFonts w:hint="eastAsia" w:ascii="Times New Roman" w:hAnsi="Times New Roman" w:eastAsia="仿宋_GB2312" w:cs="Times New Roman"/>
          <w:color w:val="auto"/>
          <w:kern w:val="0"/>
          <w:sz w:val="21"/>
          <w:szCs w:val="21"/>
          <w:highlight w:val="none"/>
          <w:u w:val="single"/>
          <w:lang w:val="en-US" w:eastAsia="zh-CN"/>
        </w:rPr>
        <w:t>无</w:t>
      </w:r>
      <w:r>
        <w:rPr>
          <w:rFonts w:ascii="Times New Roman" w:hAnsi="Times New Roman" w:eastAsia="仿宋_GB2312"/>
          <w:color w:val="auto"/>
          <w:kern w:val="0"/>
          <w:sz w:val="21"/>
          <w:szCs w:val="21"/>
          <w:highlight w:val="none"/>
        </w:rPr>
        <w:t>。</w:t>
      </w:r>
    </w:p>
    <w:p w14:paraId="2310C6CD">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（6）发包人无正当理由没有在约定期限内发出复工指示，导致承包人无法复工的违约责任：</w:t>
      </w:r>
      <w:r>
        <w:rPr>
          <w:rFonts w:ascii="Times New Roman" w:hAnsi="Times New Roman" w:eastAsia="仿宋_GB2312"/>
          <w:color w:val="auto"/>
          <w:kern w:val="0"/>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无</w:t>
      </w:r>
      <w:r>
        <w:rPr>
          <w:rFonts w:ascii="Times New Roman" w:hAnsi="Times New Roman" w:eastAsia="仿宋_GB2312"/>
          <w:color w:val="auto"/>
          <w:kern w:val="0"/>
          <w:sz w:val="21"/>
          <w:szCs w:val="21"/>
          <w:highlight w:val="none"/>
        </w:rPr>
        <w:t>。</w:t>
      </w:r>
    </w:p>
    <w:p w14:paraId="5F30AB88">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（7）</w:t>
      </w:r>
      <w:r>
        <w:rPr>
          <w:rFonts w:hint="eastAsia" w:ascii="Times New Roman" w:hAnsi="Times New Roman" w:eastAsia="仿宋_GB2312"/>
          <w:color w:val="auto"/>
          <w:kern w:val="0"/>
          <w:sz w:val="21"/>
          <w:szCs w:val="21"/>
          <w:highlight w:val="none"/>
        </w:rPr>
        <w:t>其他：</w:t>
      </w:r>
      <w:r>
        <w:rPr>
          <w:rFonts w:hint="eastAsia" w:ascii="Times New Roman" w:hAnsi="Times New Roman" w:eastAsia="仿宋_GB2312" w:cs="Times New Roman"/>
          <w:color w:val="auto"/>
          <w:kern w:val="0"/>
          <w:sz w:val="21"/>
          <w:szCs w:val="21"/>
          <w:highlight w:val="none"/>
          <w:u w:val="single"/>
          <w:lang w:val="en-US" w:eastAsia="zh-CN"/>
        </w:rPr>
        <w:t>无</w:t>
      </w:r>
      <w:r>
        <w:rPr>
          <w:rFonts w:ascii="Times New Roman" w:hAnsi="Times New Roman" w:eastAsia="仿宋_GB2312"/>
          <w:color w:val="auto"/>
          <w:kern w:val="0"/>
          <w:sz w:val="21"/>
          <w:szCs w:val="21"/>
          <w:highlight w:val="none"/>
        </w:rPr>
        <w:t>。</w:t>
      </w:r>
    </w:p>
    <w:p w14:paraId="6008B195">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16.1.3 因发包人违约解除合同</w:t>
      </w:r>
    </w:p>
    <w:p w14:paraId="153071B1">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承包人按16.1.1项</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发包人违约的情形</w:t>
      </w:r>
      <w:r>
        <w:rPr>
          <w:rFonts w:hint="eastAsia"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rPr>
        <w:t>约定暂停施工满</w:t>
      </w:r>
      <w:r>
        <w:rPr>
          <w:rFonts w:hint="eastAsia" w:ascii="Times New Roman" w:hAnsi="Times New Roman" w:eastAsia="仿宋_GB2312" w:cs="Times New Roman"/>
          <w:color w:val="auto"/>
          <w:kern w:val="0"/>
          <w:sz w:val="21"/>
          <w:szCs w:val="21"/>
          <w:highlight w:val="none"/>
          <w:u w:val="single"/>
          <w:lang w:val="en-US" w:eastAsia="zh-CN"/>
        </w:rPr>
        <w:t xml:space="preserve"> 60</w:t>
      </w:r>
      <w:r>
        <w:rPr>
          <w:rFonts w:ascii="Times New Roman" w:hAnsi="Times New Roman" w:eastAsia="仿宋_GB2312"/>
          <w:color w:val="auto"/>
          <w:kern w:val="0"/>
          <w:sz w:val="21"/>
          <w:szCs w:val="21"/>
          <w:highlight w:val="none"/>
        </w:rPr>
        <w:t>天后发包人仍不纠正其违约行为并致使合同目的不能实现的，承包人有权解除合同。</w:t>
      </w:r>
    </w:p>
    <w:p w14:paraId="378B7F99">
      <w:pPr>
        <w:pageBreakBefore w:val="0"/>
        <w:widowControl w:val="0"/>
        <w:kinsoku/>
        <w:wordWrap/>
        <w:overflowPunct/>
        <w:topLinePunct w:val="0"/>
        <w:bidi w:val="0"/>
        <w:adjustRightInd w:val="0"/>
        <w:snapToGrid w:val="0"/>
        <w:spacing w:line="360" w:lineRule="auto"/>
        <w:ind w:firstLine="420" w:firstLineChars="200"/>
        <w:textAlignment w:val="auto"/>
        <w:outlineLvl w:val="4"/>
        <w:rPr>
          <w:rFonts w:ascii="Times New Roman" w:hAnsi="Times New Roman" w:eastAsia="黑体"/>
          <w:color w:val="auto"/>
          <w:sz w:val="21"/>
          <w:szCs w:val="21"/>
          <w:highlight w:val="none"/>
        </w:rPr>
      </w:pPr>
      <w:bookmarkStart w:id="1831" w:name="_Toc16331"/>
      <w:r>
        <w:rPr>
          <w:rFonts w:ascii="Times New Roman" w:hAnsi="Times New Roman" w:eastAsia="黑体"/>
          <w:color w:val="auto"/>
          <w:sz w:val="21"/>
          <w:szCs w:val="21"/>
          <w:highlight w:val="none"/>
        </w:rPr>
        <w:t>16.2 承包人违约</w:t>
      </w:r>
      <w:bookmarkEnd w:id="1831"/>
    </w:p>
    <w:p w14:paraId="73E13E2C">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16.2.1 承包人违约的情形</w:t>
      </w:r>
    </w:p>
    <w:p w14:paraId="34B7F8BD">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承包人违约的其他情形：</w:t>
      </w:r>
      <w:r>
        <w:rPr>
          <w:rFonts w:ascii="Times New Roman" w:hAnsi="Times New Roman" w:eastAsia="仿宋_GB2312"/>
          <w:color w:val="auto"/>
          <w:kern w:val="0"/>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无</w:t>
      </w:r>
      <w:r>
        <w:rPr>
          <w:rFonts w:ascii="Times New Roman" w:hAnsi="Times New Roman" w:eastAsia="仿宋_GB2312"/>
          <w:color w:val="auto"/>
          <w:kern w:val="0"/>
          <w:sz w:val="21"/>
          <w:szCs w:val="21"/>
          <w:highlight w:val="none"/>
        </w:rPr>
        <w:t>。</w:t>
      </w:r>
    </w:p>
    <w:p w14:paraId="56F7EC8C">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16.2.2承包人违约的责任</w:t>
      </w:r>
    </w:p>
    <w:p w14:paraId="32DF7EA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color w:val="auto"/>
          <w:sz w:val="21"/>
          <w:szCs w:val="21"/>
        </w:rPr>
      </w:pPr>
      <w:r>
        <w:rPr>
          <w:rFonts w:ascii="Times New Roman" w:hAnsi="Times New Roman" w:eastAsia="仿宋_GB2312"/>
          <w:color w:val="auto"/>
          <w:kern w:val="0"/>
          <w:sz w:val="21"/>
          <w:szCs w:val="21"/>
          <w:highlight w:val="none"/>
        </w:rPr>
        <w:t>承包人违约责任的承担方式和计算方法：</w:t>
      </w:r>
    </w:p>
    <w:p w14:paraId="00AE447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仿宋_GB2312" w:cs="Times New Roman"/>
          <w:color w:val="auto"/>
          <w:kern w:val="0"/>
          <w:sz w:val="21"/>
          <w:szCs w:val="21"/>
          <w:highlight w:val="none"/>
          <w:u w:val="single"/>
          <w:lang w:val="en-US" w:eastAsia="zh-CN"/>
        </w:rPr>
      </w:pPr>
      <w:r>
        <w:rPr>
          <w:rFonts w:hint="eastAsia" w:ascii="Times New Roman" w:hAnsi="Times New Roman" w:eastAsia="仿宋_GB2312" w:cs="Times New Roman"/>
          <w:color w:val="auto"/>
          <w:kern w:val="0"/>
          <w:sz w:val="21"/>
          <w:szCs w:val="21"/>
          <w:highlight w:val="none"/>
          <w:u w:val="single"/>
          <w:lang w:val="en-US" w:eastAsia="zh-CN"/>
        </w:rPr>
        <w:t>（1）承包人未经发包人书面同意，擅自变更施工工艺、方案造成工程款增加部分，由承包人自行承担；</w:t>
      </w:r>
    </w:p>
    <w:p w14:paraId="248878E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仿宋_GB2312" w:cs="Times New Roman"/>
          <w:color w:val="auto"/>
          <w:kern w:val="0"/>
          <w:sz w:val="21"/>
          <w:szCs w:val="21"/>
          <w:highlight w:val="none"/>
          <w:u w:val="single"/>
          <w:lang w:val="en-US" w:eastAsia="zh-CN"/>
        </w:rPr>
      </w:pPr>
      <w:r>
        <w:rPr>
          <w:rFonts w:hint="eastAsia" w:ascii="Times New Roman" w:hAnsi="Times New Roman" w:eastAsia="仿宋_GB2312" w:cs="Times New Roman"/>
          <w:color w:val="auto"/>
          <w:kern w:val="0"/>
          <w:sz w:val="21"/>
          <w:szCs w:val="21"/>
          <w:highlight w:val="none"/>
          <w:u w:val="single"/>
          <w:lang w:val="en-US" w:eastAsia="zh-CN"/>
        </w:rPr>
        <w:t>（2）承包人擅自将本工程分包、转包或将资质借给第三人施工的，应缴纳违约金（违约金额为签约合同价的5%）并对发包人造成的经济损失进行赔偿</w:t>
      </w:r>
      <w:r>
        <w:rPr>
          <w:rFonts w:hint="eastAsia" w:eastAsia="仿宋_GB2312" w:cs="Times New Roman"/>
          <w:color w:val="auto"/>
          <w:kern w:val="0"/>
          <w:sz w:val="21"/>
          <w:szCs w:val="21"/>
          <w:highlight w:val="none"/>
          <w:u w:val="single"/>
          <w:lang w:val="en-US" w:eastAsia="zh-CN"/>
        </w:rPr>
        <w:t>；</w:t>
      </w:r>
    </w:p>
    <w:p w14:paraId="436D9AB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仿宋_GB2312" w:cs="Times New Roman"/>
          <w:color w:val="auto"/>
          <w:kern w:val="0"/>
          <w:sz w:val="21"/>
          <w:szCs w:val="21"/>
          <w:highlight w:val="none"/>
          <w:u w:val="single"/>
          <w:lang w:val="en-US" w:eastAsia="zh-CN"/>
        </w:rPr>
      </w:pPr>
      <w:r>
        <w:rPr>
          <w:rFonts w:hint="eastAsia" w:eastAsia="仿宋_GB2312" w:cs="Times New Roman"/>
          <w:color w:val="auto"/>
          <w:kern w:val="0"/>
          <w:sz w:val="21"/>
          <w:szCs w:val="21"/>
          <w:highlight w:val="none"/>
          <w:u w:val="single"/>
          <w:lang w:val="en-US" w:eastAsia="zh-CN"/>
        </w:rPr>
        <w:t>（3）</w:t>
      </w:r>
      <w:r>
        <w:rPr>
          <w:rFonts w:hint="eastAsia" w:ascii="Times New Roman" w:hAnsi="Times New Roman" w:eastAsia="仿宋_GB2312" w:cs="Times New Roman"/>
          <w:color w:val="auto"/>
          <w:kern w:val="0"/>
          <w:sz w:val="21"/>
          <w:szCs w:val="21"/>
          <w:highlight w:val="none"/>
          <w:u w:val="single"/>
          <w:lang w:val="en-US" w:eastAsia="zh-CN"/>
        </w:rPr>
        <w:t>因承包人照管不当导致工程、材料或设备损坏、丢失的，承包人应在7天内修复或重新采购，承担全部费用</w:t>
      </w:r>
      <w:r>
        <w:rPr>
          <w:rFonts w:hint="eastAsia" w:eastAsia="仿宋_GB2312" w:cs="Times New Roman"/>
          <w:color w:val="auto"/>
          <w:kern w:val="0"/>
          <w:sz w:val="21"/>
          <w:szCs w:val="21"/>
          <w:highlight w:val="none"/>
          <w:u w:val="single"/>
          <w:lang w:val="en-US" w:eastAsia="zh-CN"/>
        </w:rPr>
        <w:t>（</w:t>
      </w:r>
      <w:r>
        <w:rPr>
          <w:rFonts w:hint="eastAsia" w:ascii="Times New Roman" w:hAnsi="Times New Roman" w:eastAsia="仿宋_GB2312" w:cs="Times New Roman"/>
          <w:color w:val="auto"/>
          <w:kern w:val="0"/>
          <w:sz w:val="21"/>
          <w:szCs w:val="21"/>
          <w:highlight w:val="none"/>
          <w:u w:val="single"/>
          <w:lang w:val="en-US" w:eastAsia="zh-CN"/>
        </w:rPr>
        <w:t>含修复费、采购费</w:t>
      </w:r>
      <w:r>
        <w:rPr>
          <w:rFonts w:hint="eastAsia" w:eastAsia="仿宋_GB2312" w:cs="Times New Roman"/>
          <w:color w:val="auto"/>
          <w:kern w:val="0"/>
          <w:sz w:val="21"/>
          <w:szCs w:val="21"/>
          <w:highlight w:val="none"/>
          <w:u w:val="single"/>
          <w:lang w:val="en-US" w:eastAsia="zh-CN"/>
        </w:rPr>
        <w:t>）</w:t>
      </w:r>
      <w:r>
        <w:rPr>
          <w:rFonts w:hint="eastAsia" w:ascii="Times New Roman" w:hAnsi="Times New Roman" w:eastAsia="仿宋_GB2312" w:cs="Times New Roman"/>
          <w:color w:val="auto"/>
          <w:kern w:val="0"/>
          <w:sz w:val="21"/>
          <w:szCs w:val="21"/>
          <w:highlight w:val="none"/>
          <w:u w:val="single"/>
          <w:lang w:val="en-US" w:eastAsia="zh-CN"/>
        </w:rPr>
        <w:t>，若导致工期延误的，按第7.5.2款逾期竣工违约金约定执行；</w:t>
      </w:r>
    </w:p>
    <w:p w14:paraId="48A0D35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仿宋_GB2312" w:cs="Times New Roman"/>
          <w:color w:val="auto"/>
          <w:kern w:val="0"/>
          <w:sz w:val="21"/>
          <w:szCs w:val="21"/>
          <w:highlight w:val="none"/>
          <w:u w:val="single"/>
          <w:lang w:val="en-US" w:eastAsia="zh-CN"/>
        </w:rPr>
      </w:pPr>
      <w:r>
        <w:rPr>
          <w:rFonts w:hint="eastAsia" w:eastAsia="仿宋_GB2312" w:cs="Times New Roman"/>
          <w:color w:val="auto"/>
          <w:kern w:val="0"/>
          <w:sz w:val="21"/>
          <w:szCs w:val="21"/>
          <w:highlight w:val="none"/>
          <w:u w:val="single"/>
          <w:lang w:val="en-US" w:eastAsia="zh-CN"/>
        </w:rPr>
        <w:t>（4）</w:t>
      </w:r>
      <w:r>
        <w:rPr>
          <w:rFonts w:hint="eastAsia" w:ascii="Times New Roman" w:hAnsi="Times New Roman" w:eastAsia="仿宋_GB2312" w:cs="Times New Roman"/>
          <w:color w:val="auto"/>
          <w:kern w:val="0"/>
          <w:sz w:val="21"/>
          <w:szCs w:val="21"/>
          <w:highlight w:val="none"/>
          <w:u w:val="single"/>
          <w:lang w:val="en-US" w:eastAsia="zh-CN"/>
        </w:rPr>
        <w:t>施工现场存在安全隐患且逾期未整改的，每逾期1天支付违约金¥</w:t>
      </w:r>
      <w:r>
        <w:rPr>
          <w:rFonts w:hint="eastAsia" w:eastAsia="仿宋_GB2312" w:cs="Times New Roman"/>
          <w:color w:val="auto"/>
          <w:kern w:val="0"/>
          <w:sz w:val="21"/>
          <w:szCs w:val="21"/>
          <w:highlight w:val="none"/>
          <w:u w:val="single"/>
          <w:lang w:val="en-US" w:eastAsia="zh-CN"/>
        </w:rPr>
        <w:t>1500</w:t>
      </w:r>
      <w:r>
        <w:rPr>
          <w:rFonts w:hint="eastAsia" w:ascii="Times New Roman" w:hAnsi="Times New Roman" w:eastAsia="仿宋_GB2312" w:cs="Times New Roman"/>
          <w:color w:val="auto"/>
          <w:kern w:val="0"/>
          <w:sz w:val="21"/>
          <w:szCs w:val="21"/>
          <w:highlight w:val="none"/>
          <w:u w:val="single"/>
          <w:lang w:val="en-US" w:eastAsia="zh-CN"/>
        </w:rPr>
        <w:t>元；因未建立安全制度或未履行安全职责导致安全事故的，承包人承担事故全部处理费用</w:t>
      </w:r>
      <w:r>
        <w:rPr>
          <w:rFonts w:hint="eastAsia" w:eastAsia="仿宋_GB2312" w:cs="Times New Roman"/>
          <w:color w:val="auto"/>
          <w:kern w:val="0"/>
          <w:sz w:val="21"/>
          <w:szCs w:val="21"/>
          <w:highlight w:val="none"/>
          <w:u w:val="single"/>
          <w:lang w:val="en-US" w:eastAsia="zh-CN"/>
        </w:rPr>
        <w:t>（</w:t>
      </w:r>
      <w:r>
        <w:rPr>
          <w:rFonts w:hint="eastAsia" w:ascii="Times New Roman" w:hAnsi="Times New Roman" w:eastAsia="仿宋_GB2312" w:cs="Times New Roman"/>
          <w:color w:val="auto"/>
          <w:kern w:val="0"/>
          <w:sz w:val="21"/>
          <w:szCs w:val="21"/>
          <w:highlight w:val="none"/>
          <w:u w:val="single"/>
          <w:lang w:val="en-US" w:eastAsia="zh-CN"/>
        </w:rPr>
        <w:t>含医疗、赔偿费</w:t>
      </w:r>
      <w:r>
        <w:rPr>
          <w:rFonts w:hint="eastAsia" w:eastAsia="仿宋_GB2312" w:cs="Times New Roman"/>
          <w:color w:val="auto"/>
          <w:kern w:val="0"/>
          <w:sz w:val="21"/>
          <w:szCs w:val="21"/>
          <w:highlight w:val="none"/>
          <w:u w:val="single"/>
          <w:lang w:val="en-US" w:eastAsia="zh-CN"/>
        </w:rPr>
        <w:t>）</w:t>
      </w:r>
      <w:r>
        <w:rPr>
          <w:rFonts w:hint="eastAsia" w:ascii="Times New Roman" w:hAnsi="Times New Roman" w:eastAsia="仿宋_GB2312" w:cs="Times New Roman"/>
          <w:color w:val="auto"/>
          <w:kern w:val="0"/>
          <w:sz w:val="21"/>
          <w:szCs w:val="21"/>
          <w:highlight w:val="none"/>
          <w:u w:val="single"/>
          <w:lang w:val="en-US" w:eastAsia="zh-CN"/>
        </w:rPr>
        <w:t>，并缴纳违约金</w:t>
      </w:r>
      <w:r>
        <w:rPr>
          <w:rFonts w:hint="eastAsia" w:eastAsia="仿宋_GB2312" w:cs="Times New Roman"/>
          <w:color w:val="auto"/>
          <w:kern w:val="0"/>
          <w:sz w:val="21"/>
          <w:szCs w:val="21"/>
          <w:highlight w:val="none"/>
          <w:u w:val="single"/>
          <w:lang w:val="en-US" w:eastAsia="zh-CN"/>
        </w:rPr>
        <w:t>（</w:t>
      </w:r>
      <w:r>
        <w:rPr>
          <w:rFonts w:hint="eastAsia" w:ascii="Times New Roman" w:hAnsi="Times New Roman" w:eastAsia="仿宋_GB2312" w:cs="Times New Roman"/>
          <w:color w:val="auto"/>
          <w:kern w:val="0"/>
          <w:sz w:val="21"/>
          <w:szCs w:val="21"/>
          <w:highlight w:val="none"/>
          <w:u w:val="single"/>
          <w:lang w:val="en-US" w:eastAsia="zh-CN"/>
        </w:rPr>
        <w:t>违约金额为签约合同价的</w:t>
      </w:r>
      <w:r>
        <w:rPr>
          <w:rFonts w:hint="eastAsia" w:eastAsia="仿宋_GB2312" w:cs="Times New Roman"/>
          <w:color w:val="auto"/>
          <w:kern w:val="0"/>
          <w:sz w:val="21"/>
          <w:szCs w:val="21"/>
          <w:highlight w:val="none"/>
          <w:u w:val="single"/>
          <w:lang w:val="en-US" w:eastAsia="zh-CN"/>
        </w:rPr>
        <w:t>2</w:t>
      </w:r>
      <w:r>
        <w:rPr>
          <w:rFonts w:hint="eastAsia" w:ascii="Times New Roman" w:hAnsi="Times New Roman" w:eastAsia="仿宋_GB2312" w:cs="Times New Roman"/>
          <w:color w:val="auto"/>
          <w:kern w:val="0"/>
          <w:sz w:val="21"/>
          <w:szCs w:val="21"/>
          <w:highlight w:val="none"/>
          <w:u w:val="single"/>
          <w:lang w:val="en-US" w:eastAsia="zh-CN"/>
        </w:rPr>
        <w:t>%</w:t>
      </w:r>
      <w:r>
        <w:rPr>
          <w:rFonts w:hint="eastAsia" w:eastAsia="仿宋_GB2312" w:cs="Times New Roman"/>
          <w:color w:val="auto"/>
          <w:kern w:val="0"/>
          <w:sz w:val="21"/>
          <w:szCs w:val="21"/>
          <w:highlight w:val="none"/>
          <w:u w:val="single"/>
          <w:lang w:val="en-US" w:eastAsia="zh-CN"/>
        </w:rPr>
        <w:t>）</w:t>
      </w:r>
      <w:r>
        <w:rPr>
          <w:rFonts w:hint="eastAsia" w:ascii="Times New Roman" w:hAnsi="Times New Roman" w:eastAsia="仿宋_GB2312" w:cs="Times New Roman"/>
          <w:color w:val="auto"/>
          <w:kern w:val="0"/>
          <w:sz w:val="21"/>
          <w:szCs w:val="21"/>
          <w:highlight w:val="none"/>
          <w:u w:val="single"/>
          <w:lang w:val="en-US" w:eastAsia="zh-CN"/>
        </w:rPr>
        <w:t>；</w:t>
      </w:r>
    </w:p>
    <w:p w14:paraId="646E5CA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仿宋_GB2312" w:cs="Times New Roman"/>
          <w:color w:val="auto"/>
          <w:kern w:val="0"/>
          <w:sz w:val="21"/>
          <w:szCs w:val="21"/>
          <w:highlight w:val="none"/>
          <w:u w:val="single"/>
          <w:lang w:val="en-US" w:eastAsia="zh-CN"/>
        </w:rPr>
      </w:pPr>
      <w:r>
        <w:rPr>
          <w:rFonts w:hint="eastAsia" w:eastAsia="仿宋_GB2312" w:cs="Times New Roman"/>
          <w:color w:val="auto"/>
          <w:kern w:val="0"/>
          <w:sz w:val="21"/>
          <w:szCs w:val="21"/>
          <w:highlight w:val="none"/>
          <w:u w:val="single"/>
          <w:lang w:val="en-US" w:eastAsia="zh-CN"/>
        </w:rPr>
        <w:t>（5）</w:t>
      </w:r>
      <w:r>
        <w:rPr>
          <w:rFonts w:hint="eastAsia" w:ascii="Times New Roman" w:hAnsi="Times New Roman" w:eastAsia="仿宋_GB2312" w:cs="Times New Roman"/>
          <w:color w:val="auto"/>
          <w:kern w:val="0"/>
          <w:sz w:val="21"/>
          <w:szCs w:val="21"/>
          <w:highlight w:val="none"/>
          <w:u w:val="single"/>
          <w:lang w:val="en-US" w:eastAsia="zh-CN"/>
        </w:rPr>
        <w:t>未按约定期限</w:t>
      </w:r>
      <w:r>
        <w:rPr>
          <w:rFonts w:hint="eastAsia" w:eastAsia="仿宋_GB2312" w:cs="Times New Roman"/>
          <w:color w:val="auto"/>
          <w:kern w:val="0"/>
          <w:sz w:val="21"/>
          <w:szCs w:val="21"/>
          <w:highlight w:val="none"/>
          <w:u w:val="single"/>
          <w:lang w:val="en-US" w:eastAsia="zh-CN"/>
        </w:rPr>
        <w:t>（</w:t>
      </w:r>
      <w:r>
        <w:rPr>
          <w:rFonts w:hint="eastAsia" w:ascii="Times New Roman" w:hAnsi="Times New Roman" w:eastAsia="仿宋_GB2312" w:cs="Times New Roman"/>
          <w:color w:val="auto"/>
          <w:kern w:val="0"/>
          <w:sz w:val="21"/>
          <w:szCs w:val="21"/>
          <w:highlight w:val="none"/>
          <w:u w:val="single"/>
          <w:lang w:val="en-US" w:eastAsia="zh-CN"/>
        </w:rPr>
        <w:t>工程验收合格且交付后14天内</w:t>
      </w:r>
      <w:r>
        <w:rPr>
          <w:rFonts w:hint="eastAsia" w:eastAsia="仿宋_GB2312" w:cs="Times New Roman"/>
          <w:color w:val="auto"/>
          <w:kern w:val="0"/>
          <w:sz w:val="21"/>
          <w:szCs w:val="21"/>
          <w:highlight w:val="none"/>
          <w:u w:val="single"/>
          <w:lang w:val="en-US" w:eastAsia="zh-CN"/>
        </w:rPr>
        <w:t>）</w:t>
      </w:r>
      <w:r>
        <w:rPr>
          <w:rFonts w:hint="eastAsia" w:ascii="Times New Roman" w:hAnsi="Times New Roman" w:eastAsia="仿宋_GB2312" w:cs="Times New Roman"/>
          <w:color w:val="auto"/>
          <w:kern w:val="0"/>
          <w:sz w:val="21"/>
          <w:szCs w:val="21"/>
          <w:highlight w:val="none"/>
          <w:u w:val="single"/>
          <w:lang w:val="en-US" w:eastAsia="zh-CN"/>
        </w:rPr>
        <w:t>完成竣工退场的，每逾期1天支付违约金¥2000元；逾期超过7天的，发包人有权自行处理承包人遗留物品，产生的清理费用由承包人承担，从应付承包人的款项中扣除；</w:t>
      </w:r>
    </w:p>
    <w:p w14:paraId="6489A8E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仿宋_GB2312" w:cs="Times New Roman"/>
          <w:color w:val="auto"/>
          <w:kern w:val="0"/>
          <w:sz w:val="21"/>
          <w:szCs w:val="21"/>
          <w:highlight w:val="none"/>
          <w:u w:val="single"/>
          <w:lang w:val="en-US" w:eastAsia="zh-CN"/>
        </w:rPr>
      </w:pPr>
      <w:r>
        <w:rPr>
          <w:rFonts w:hint="eastAsia" w:eastAsia="仿宋_GB2312" w:cs="Times New Roman"/>
          <w:color w:val="auto"/>
          <w:kern w:val="0"/>
          <w:sz w:val="21"/>
          <w:szCs w:val="21"/>
          <w:highlight w:val="none"/>
          <w:u w:val="single"/>
          <w:lang w:val="en-US" w:eastAsia="zh-CN"/>
        </w:rPr>
        <w:t>（6）</w:t>
      </w:r>
      <w:r>
        <w:rPr>
          <w:rFonts w:hint="eastAsia" w:ascii="Times New Roman" w:hAnsi="Times New Roman" w:eastAsia="仿宋_GB2312" w:cs="Times New Roman"/>
          <w:color w:val="auto"/>
          <w:kern w:val="0"/>
          <w:sz w:val="21"/>
          <w:szCs w:val="21"/>
          <w:highlight w:val="none"/>
          <w:u w:val="single"/>
          <w:lang w:val="en-US" w:eastAsia="zh-CN"/>
        </w:rPr>
        <w:t>承包人未配合质量保证金扣留的，每逾期1天支付违约金¥3000元。</w:t>
      </w:r>
    </w:p>
    <w:p w14:paraId="22CBF517">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16.2.3 因承包人违约解除合同</w:t>
      </w:r>
    </w:p>
    <w:p w14:paraId="555BD799">
      <w:pPr>
        <w:pageBreakBefore w:val="0"/>
        <w:widowControl w:val="0"/>
        <w:kinsoku/>
        <w:wordWrap/>
        <w:overflowPunct/>
        <w:topLinePunct w:val="0"/>
        <w:bidi w:val="0"/>
        <w:adjustRightInd w:val="0"/>
        <w:snapToGrid w:val="0"/>
        <w:spacing w:line="360" w:lineRule="auto"/>
        <w:ind w:firstLine="420" w:firstLineChars="200"/>
        <w:textAlignment w:val="auto"/>
        <w:rPr>
          <w:rFonts w:hint="eastAsia" w:ascii="Times New Roman" w:hAnsi="Times New Roman" w:eastAsia="仿宋_GB2312"/>
          <w:color w:val="auto"/>
          <w:kern w:val="0"/>
          <w:sz w:val="21"/>
          <w:szCs w:val="21"/>
          <w:highlight w:val="none"/>
          <w:u w:val="single"/>
        </w:rPr>
      </w:pPr>
      <w:r>
        <w:rPr>
          <w:rFonts w:ascii="Times New Roman" w:hAnsi="Times New Roman" w:eastAsia="仿宋_GB2312"/>
          <w:color w:val="auto"/>
          <w:kern w:val="0"/>
          <w:sz w:val="21"/>
          <w:szCs w:val="21"/>
          <w:highlight w:val="none"/>
        </w:rPr>
        <w:t>关于承包人违约解除合同的特别约定：</w:t>
      </w:r>
      <w:r>
        <w:rPr>
          <w:rFonts w:hint="eastAsia" w:ascii="Times New Roman" w:hAnsi="Times New Roman" w:eastAsia="仿宋_GB2312" w:cs="Times New Roman"/>
          <w:color w:val="auto"/>
          <w:kern w:val="0"/>
          <w:sz w:val="21"/>
          <w:szCs w:val="21"/>
          <w:highlight w:val="none"/>
          <w:u w:val="single"/>
          <w:lang w:val="en-US" w:eastAsia="zh-CN"/>
        </w:rPr>
        <w:t>执行通用合同条款。</w:t>
      </w:r>
    </w:p>
    <w:p w14:paraId="4C2B6914">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发包人</w:t>
      </w:r>
      <w:r>
        <w:rPr>
          <w:rFonts w:hint="eastAsia" w:ascii="Times New Roman" w:hAnsi="Times New Roman" w:eastAsia="仿宋_GB2312"/>
          <w:color w:val="auto"/>
          <w:kern w:val="0"/>
          <w:sz w:val="21"/>
          <w:szCs w:val="21"/>
          <w:highlight w:val="none"/>
        </w:rPr>
        <w:t>继续</w:t>
      </w:r>
      <w:r>
        <w:rPr>
          <w:rFonts w:ascii="Times New Roman" w:hAnsi="Times New Roman" w:eastAsia="仿宋_GB2312"/>
          <w:color w:val="auto"/>
          <w:kern w:val="0"/>
          <w:sz w:val="21"/>
          <w:szCs w:val="21"/>
          <w:highlight w:val="none"/>
        </w:rPr>
        <w:t>使用承包人在施工现场的材料、设备、临时工程、承包人文件和由承包人或以其名义编制的其他文件</w:t>
      </w:r>
      <w:r>
        <w:rPr>
          <w:rFonts w:hint="eastAsia" w:ascii="Times New Roman" w:hAnsi="Times New Roman" w:eastAsia="仿宋_GB2312"/>
          <w:color w:val="auto"/>
          <w:kern w:val="0"/>
          <w:sz w:val="21"/>
          <w:szCs w:val="21"/>
          <w:highlight w:val="none"/>
        </w:rPr>
        <w:t>的费用承担方式</w:t>
      </w:r>
      <w:r>
        <w:rPr>
          <w:rFonts w:ascii="Times New Roman" w:hAnsi="Times New Roman" w:eastAsia="仿宋_GB2312"/>
          <w:color w:val="auto"/>
          <w:kern w:val="0"/>
          <w:sz w:val="21"/>
          <w:szCs w:val="21"/>
          <w:highlight w:val="none"/>
        </w:rPr>
        <w:t>：</w:t>
      </w:r>
      <w:r>
        <w:rPr>
          <w:rFonts w:ascii="Times New Roman" w:hAnsi="Times New Roman" w:eastAsia="仿宋_GB2312"/>
          <w:color w:val="auto"/>
          <w:kern w:val="0"/>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承包人承担</w:t>
      </w:r>
      <w:r>
        <w:rPr>
          <w:rFonts w:hint="eastAsia" w:ascii="Times New Roman" w:hAnsi="Times New Roman" w:eastAsia="仿宋_GB2312"/>
          <w:color w:val="auto"/>
          <w:kern w:val="0"/>
          <w:sz w:val="21"/>
          <w:szCs w:val="21"/>
          <w:highlight w:val="none"/>
        </w:rPr>
        <w:t>。</w:t>
      </w:r>
    </w:p>
    <w:p w14:paraId="53544D3D">
      <w:pPr>
        <w:pStyle w:val="5"/>
        <w:pageBreakBefore w:val="0"/>
        <w:widowControl w:val="0"/>
        <w:kinsoku/>
        <w:wordWrap/>
        <w:overflowPunct/>
        <w:topLinePunct w:val="0"/>
        <w:bidi w:val="0"/>
        <w:adjustRightInd w:val="0"/>
        <w:snapToGrid w:val="0"/>
        <w:spacing w:before="0" w:after="0" w:line="360" w:lineRule="auto"/>
        <w:textAlignment w:val="auto"/>
        <w:rPr>
          <w:rFonts w:eastAsia="黑体"/>
          <w:b w:val="0"/>
          <w:color w:val="auto"/>
          <w:sz w:val="21"/>
          <w:szCs w:val="21"/>
          <w:highlight w:val="none"/>
        </w:rPr>
      </w:pPr>
      <w:bookmarkStart w:id="1832" w:name="_Toc18885"/>
      <w:bookmarkStart w:id="1833" w:name="_Toc18921"/>
      <w:bookmarkStart w:id="1834" w:name="_Toc351203649"/>
      <w:r>
        <w:rPr>
          <w:rFonts w:eastAsia="黑体"/>
          <w:b w:val="0"/>
          <w:color w:val="auto"/>
          <w:sz w:val="21"/>
          <w:szCs w:val="21"/>
          <w:highlight w:val="none"/>
        </w:rPr>
        <w:t>17. 不可抗力</w:t>
      </w:r>
      <w:bookmarkEnd w:id="1832"/>
      <w:bookmarkEnd w:id="1833"/>
      <w:bookmarkEnd w:id="1834"/>
      <w:r>
        <w:rPr>
          <w:rFonts w:eastAsia="黑体"/>
          <w:b w:val="0"/>
          <w:color w:val="auto"/>
          <w:sz w:val="21"/>
          <w:szCs w:val="21"/>
          <w:highlight w:val="none"/>
        </w:rPr>
        <w:t xml:space="preserve"> </w:t>
      </w:r>
      <w:bookmarkEnd w:id="1828"/>
    </w:p>
    <w:p w14:paraId="3C964975">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黑体"/>
          <w:color w:val="auto"/>
          <w:sz w:val="21"/>
          <w:szCs w:val="21"/>
          <w:highlight w:val="none"/>
        </w:rPr>
      </w:pPr>
      <w:r>
        <w:rPr>
          <w:rFonts w:ascii="Times New Roman" w:hAnsi="Times New Roman" w:eastAsia="黑体"/>
          <w:color w:val="auto"/>
          <w:sz w:val="21"/>
          <w:szCs w:val="21"/>
          <w:highlight w:val="none"/>
        </w:rPr>
        <w:t>17.1 不可抗力的确认</w:t>
      </w:r>
    </w:p>
    <w:p w14:paraId="423BE44C">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u w:val="single"/>
        </w:rPr>
      </w:pPr>
      <w:r>
        <w:rPr>
          <w:rFonts w:ascii="Times New Roman" w:hAnsi="Times New Roman" w:eastAsia="仿宋_GB2312"/>
          <w:color w:val="auto"/>
          <w:sz w:val="21"/>
          <w:szCs w:val="21"/>
          <w:highlight w:val="none"/>
        </w:rPr>
        <w:t xml:space="preserve">除通用合同条款约定的不可抗力事件之外，视为不可抗力的其他情形： </w:t>
      </w:r>
      <w:r>
        <w:rPr>
          <w:rFonts w:ascii="Times New Roman" w:hAnsi="Times New Roman" w:eastAsia="仿宋_GB2312"/>
          <w:color w:val="auto"/>
          <w:kern w:val="0"/>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执行通用合同条款</w:t>
      </w:r>
      <w:r>
        <w:rPr>
          <w:rFonts w:ascii="Times New Roman" w:hAnsi="Times New Roman" w:eastAsia="仿宋_GB2312"/>
          <w:color w:val="auto"/>
          <w:kern w:val="0"/>
          <w:sz w:val="21"/>
          <w:szCs w:val="21"/>
          <w:highlight w:val="none"/>
          <w:u w:val="single"/>
        </w:rPr>
        <w:t xml:space="preserve"> </w:t>
      </w:r>
      <w:r>
        <w:rPr>
          <w:rFonts w:ascii="Times New Roman" w:hAnsi="Times New Roman" w:eastAsia="仿宋_GB2312"/>
          <w:color w:val="auto"/>
          <w:kern w:val="0"/>
          <w:sz w:val="21"/>
          <w:szCs w:val="21"/>
          <w:highlight w:val="none"/>
        </w:rPr>
        <w:t>。</w:t>
      </w:r>
    </w:p>
    <w:p w14:paraId="577F84A0">
      <w:pPr>
        <w:pageBreakBefore w:val="0"/>
        <w:widowControl w:val="0"/>
        <w:kinsoku/>
        <w:wordWrap/>
        <w:overflowPunct/>
        <w:topLinePunct w:val="0"/>
        <w:bidi w:val="0"/>
        <w:adjustRightInd w:val="0"/>
        <w:snapToGrid w:val="0"/>
        <w:spacing w:line="360" w:lineRule="auto"/>
        <w:ind w:firstLine="420" w:firstLineChars="200"/>
        <w:textAlignment w:val="auto"/>
        <w:outlineLvl w:val="4"/>
        <w:rPr>
          <w:rFonts w:ascii="Times New Roman" w:hAnsi="Times New Roman" w:eastAsia="黑体"/>
          <w:color w:val="auto"/>
          <w:sz w:val="21"/>
          <w:szCs w:val="21"/>
          <w:highlight w:val="none"/>
        </w:rPr>
      </w:pPr>
      <w:bookmarkStart w:id="1835" w:name="_Toc25730"/>
      <w:r>
        <w:rPr>
          <w:rFonts w:ascii="Times New Roman" w:hAnsi="Times New Roman" w:eastAsia="黑体"/>
          <w:color w:val="auto"/>
          <w:sz w:val="21"/>
          <w:szCs w:val="21"/>
          <w:highlight w:val="none"/>
        </w:rPr>
        <w:t>17.4 因不可抗力解除合同</w:t>
      </w:r>
      <w:bookmarkEnd w:id="1835"/>
    </w:p>
    <w:p w14:paraId="68B3654C">
      <w:pPr>
        <w:pageBreakBefore w:val="0"/>
        <w:widowControl w:val="0"/>
        <w:kinsoku/>
        <w:wordWrap/>
        <w:overflowPunct/>
        <w:topLinePunct w:val="0"/>
        <w:bidi w:val="0"/>
        <w:adjustRightInd w:val="0"/>
        <w:snapToGrid w:val="0"/>
        <w:spacing w:line="360" w:lineRule="auto"/>
        <w:ind w:firstLine="420" w:firstLineChars="200"/>
        <w:jc w:val="left"/>
        <w:textAlignment w:val="auto"/>
        <w:rPr>
          <w:rFonts w:hint="eastAsia"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合同解除后，发包人应在商定或确定发包人应支付款项后</w:t>
      </w:r>
      <w:r>
        <w:rPr>
          <w:rFonts w:hint="eastAsia" w:ascii="Times New Roman" w:hAnsi="Times New Roman" w:eastAsia="仿宋_GB2312" w:cs="Times New Roman"/>
          <w:color w:val="auto"/>
          <w:kern w:val="0"/>
          <w:sz w:val="21"/>
          <w:szCs w:val="21"/>
          <w:highlight w:val="none"/>
          <w:u w:val="single"/>
          <w:lang w:val="en-US" w:eastAsia="zh-CN"/>
        </w:rPr>
        <w:t>28</w:t>
      </w:r>
      <w:r>
        <w:rPr>
          <w:rFonts w:ascii="Times New Roman" w:hAnsi="Times New Roman" w:eastAsia="仿宋_GB2312"/>
          <w:color w:val="auto"/>
          <w:sz w:val="21"/>
          <w:szCs w:val="21"/>
          <w:highlight w:val="none"/>
        </w:rPr>
        <w:t>天内完成款项的支付。</w:t>
      </w:r>
    </w:p>
    <w:p w14:paraId="5A147930">
      <w:pPr>
        <w:pStyle w:val="5"/>
        <w:pageBreakBefore w:val="0"/>
        <w:widowControl w:val="0"/>
        <w:kinsoku/>
        <w:wordWrap/>
        <w:overflowPunct/>
        <w:topLinePunct w:val="0"/>
        <w:bidi w:val="0"/>
        <w:adjustRightInd w:val="0"/>
        <w:snapToGrid w:val="0"/>
        <w:spacing w:before="0" w:after="0" w:line="360" w:lineRule="auto"/>
        <w:textAlignment w:val="auto"/>
        <w:rPr>
          <w:rFonts w:eastAsia="黑体"/>
          <w:b w:val="0"/>
          <w:color w:val="auto"/>
          <w:sz w:val="21"/>
          <w:szCs w:val="21"/>
          <w:highlight w:val="none"/>
        </w:rPr>
      </w:pPr>
      <w:bookmarkStart w:id="1836" w:name="_Toc6094"/>
      <w:bookmarkStart w:id="1837" w:name="_Toc19947"/>
      <w:bookmarkStart w:id="1838" w:name="_Toc351203650"/>
      <w:r>
        <w:rPr>
          <w:rFonts w:eastAsia="黑体"/>
          <w:b w:val="0"/>
          <w:color w:val="auto"/>
          <w:sz w:val="21"/>
          <w:szCs w:val="21"/>
          <w:highlight w:val="none"/>
        </w:rPr>
        <w:t>18. 保险</w:t>
      </w:r>
      <w:bookmarkEnd w:id="1836"/>
      <w:bookmarkEnd w:id="1837"/>
      <w:bookmarkEnd w:id="1838"/>
    </w:p>
    <w:bookmarkEnd w:id="1829"/>
    <w:p w14:paraId="55C03005">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黑体"/>
          <w:color w:val="auto"/>
          <w:sz w:val="21"/>
          <w:szCs w:val="21"/>
          <w:highlight w:val="none"/>
        </w:rPr>
      </w:pPr>
      <w:r>
        <w:rPr>
          <w:rFonts w:ascii="Times New Roman" w:hAnsi="Times New Roman" w:eastAsia="黑体"/>
          <w:color w:val="auto"/>
          <w:sz w:val="21"/>
          <w:szCs w:val="21"/>
          <w:highlight w:val="none"/>
        </w:rPr>
        <w:t>18.1 工程保险</w:t>
      </w:r>
    </w:p>
    <w:p w14:paraId="2AFD901C">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关于工程保险的特别约定：</w:t>
      </w:r>
      <w:r>
        <w:rPr>
          <w:rFonts w:ascii="Times New Roman" w:hAnsi="Times New Roman" w:eastAsia="仿宋_GB2312"/>
          <w:color w:val="auto"/>
          <w:kern w:val="0"/>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执行通用合同条款</w:t>
      </w:r>
      <w:r>
        <w:rPr>
          <w:rFonts w:ascii="Times New Roman" w:hAnsi="Times New Roman" w:eastAsia="仿宋_GB2312"/>
          <w:color w:val="auto"/>
          <w:kern w:val="0"/>
          <w:sz w:val="21"/>
          <w:szCs w:val="21"/>
          <w:highlight w:val="none"/>
          <w:u w:val="single"/>
        </w:rPr>
        <w:t xml:space="preserve"> </w:t>
      </w:r>
      <w:r>
        <w:rPr>
          <w:rFonts w:ascii="Times New Roman" w:hAnsi="Times New Roman" w:eastAsia="仿宋_GB2312"/>
          <w:color w:val="auto"/>
          <w:kern w:val="0"/>
          <w:sz w:val="21"/>
          <w:szCs w:val="21"/>
          <w:highlight w:val="none"/>
        </w:rPr>
        <w:t>。</w:t>
      </w:r>
    </w:p>
    <w:p w14:paraId="2A3B745E">
      <w:pPr>
        <w:pageBreakBefore w:val="0"/>
        <w:widowControl w:val="0"/>
        <w:kinsoku/>
        <w:wordWrap/>
        <w:overflowPunct/>
        <w:topLinePunct w:val="0"/>
        <w:bidi w:val="0"/>
        <w:adjustRightInd w:val="0"/>
        <w:snapToGrid w:val="0"/>
        <w:spacing w:line="360" w:lineRule="auto"/>
        <w:ind w:firstLine="420" w:firstLineChars="200"/>
        <w:textAlignment w:val="auto"/>
        <w:outlineLvl w:val="4"/>
        <w:rPr>
          <w:rFonts w:ascii="Times New Roman" w:hAnsi="Times New Roman" w:eastAsia="黑体"/>
          <w:color w:val="auto"/>
          <w:sz w:val="21"/>
          <w:szCs w:val="21"/>
          <w:highlight w:val="none"/>
        </w:rPr>
      </w:pPr>
      <w:bookmarkStart w:id="1839" w:name="_Toc10964"/>
      <w:r>
        <w:rPr>
          <w:rFonts w:ascii="Times New Roman" w:hAnsi="Times New Roman" w:eastAsia="黑体"/>
          <w:color w:val="auto"/>
          <w:sz w:val="21"/>
          <w:szCs w:val="21"/>
          <w:highlight w:val="none"/>
        </w:rPr>
        <w:t>18.3 其他保险</w:t>
      </w:r>
      <w:bookmarkEnd w:id="1839"/>
    </w:p>
    <w:p w14:paraId="5F1D06AF">
      <w:pPr>
        <w:keepNext w:val="0"/>
        <w:keepLines w:val="0"/>
        <w:pageBreakBefore w:val="0"/>
        <w:widowControl w:val="0"/>
        <w:kinsoku/>
        <w:wordWrap/>
        <w:overflowPunct/>
        <w:topLinePunct w:val="0"/>
        <w:bidi w:val="0"/>
        <w:adjustRightInd w:val="0"/>
        <w:snapToGrid w:val="0"/>
        <w:spacing w:line="360" w:lineRule="auto"/>
        <w:ind w:firstLine="420" w:firstLineChars="200"/>
        <w:jc w:val="left"/>
        <w:textAlignment w:val="auto"/>
        <w:rPr>
          <w:rFonts w:hint="eastAsia" w:ascii="Times New Roman" w:hAnsi="Times New Roman" w:eastAsia="仿宋_GB2312" w:cs="Times New Roman"/>
          <w:color w:val="auto"/>
          <w:kern w:val="0"/>
          <w:sz w:val="21"/>
          <w:szCs w:val="21"/>
          <w:highlight w:val="none"/>
          <w:u w:val="single"/>
          <w:lang w:val="en-US" w:eastAsia="zh-CN"/>
        </w:rPr>
      </w:pPr>
      <w:r>
        <w:rPr>
          <w:rFonts w:ascii="Times New Roman" w:hAnsi="Times New Roman" w:eastAsia="仿宋_GB2312"/>
          <w:color w:val="auto"/>
          <w:sz w:val="21"/>
          <w:szCs w:val="21"/>
          <w:highlight w:val="none"/>
        </w:rPr>
        <w:t>关于其他保险的约定：</w:t>
      </w:r>
      <w:r>
        <w:rPr>
          <w:rFonts w:ascii="Times New Roman" w:hAnsi="Times New Roman" w:eastAsia="仿宋_GB2312"/>
          <w:color w:val="auto"/>
          <w:kern w:val="0"/>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1）承包人员工伤事故的保险：承包人应依照有关法律规定参加工伤保险，要求其履行合同所雇佣的全部人员参加工伤保险，缴纳工伤保险费，并要求其分包人也进行此项保险，费用含在投标报价或签约合同价中 。</w:t>
      </w:r>
    </w:p>
    <w:p w14:paraId="5A8FA4AB">
      <w:pPr>
        <w:keepNext w:val="0"/>
        <w:keepLines w:val="0"/>
        <w:pageBreakBefore w:val="0"/>
        <w:widowControl w:val="0"/>
        <w:kinsoku/>
        <w:wordWrap/>
        <w:overflowPunct/>
        <w:topLinePunct w:val="0"/>
        <w:bidi w:val="0"/>
        <w:adjustRightInd w:val="0"/>
        <w:snapToGrid w:val="0"/>
        <w:spacing w:line="360" w:lineRule="auto"/>
        <w:ind w:firstLine="420" w:firstLineChars="200"/>
        <w:jc w:val="left"/>
        <w:textAlignment w:val="auto"/>
        <w:rPr>
          <w:rFonts w:hint="eastAsia" w:ascii="Times New Roman" w:hAnsi="Times New Roman" w:eastAsia="仿宋_GB2312" w:cs="Times New Roman"/>
          <w:color w:val="auto"/>
          <w:kern w:val="0"/>
          <w:sz w:val="21"/>
          <w:szCs w:val="21"/>
          <w:highlight w:val="none"/>
          <w:u w:val="single"/>
          <w:lang w:val="en-US" w:eastAsia="zh-CN"/>
        </w:rPr>
      </w:pPr>
      <w:r>
        <w:rPr>
          <w:rFonts w:hint="eastAsia" w:ascii="Times New Roman" w:hAnsi="Times New Roman" w:eastAsia="仿宋_GB2312" w:cs="Times New Roman"/>
          <w:color w:val="auto"/>
          <w:kern w:val="0"/>
          <w:sz w:val="21"/>
          <w:szCs w:val="21"/>
          <w:highlight w:val="none"/>
          <w:u w:val="single"/>
          <w:lang w:val="en-US" w:eastAsia="zh-CN"/>
        </w:rPr>
        <w:t>（2）人身意外伤害险：承包人应在整个施工期间为其现场机构雇佣的全部人员，投保人身意外伤害险，缴纳保险费，并要求其分包人也进行此项保险，费用含在投标报价或签约合同价中 。</w:t>
      </w:r>
    </w:p>
    <w:p w14:paraId="28EBEFC1">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sz w:val="21"/>
          <w:szCs w:val="21"/>
          <w:highlight w:val="none"/>
        </w:rPr>
        <w:t>承包人是否应为其施工设备等办理财产保险：</w:t>
      </w:r>
      <w:r>
        <w:rPr>
          <w:rFonts w:hint="eastAsia" w:ascii="Times New Roman" w:hAnsi="Times New Roman" w:eastAsia="仿宋_GB2312" w:cs="Times New Roman"/>
          <w:color w:val="auto"/>
          <w:kern w:val="0"/>
          <w:sz w:val="21"/>
          <w:szCs w:val="21"/>
          <w:highlight w:val="none"/>
          <w:u w:val="single"/>
          <w:lang w:val="en-US" w:eastAsia="zh-CN"/>
        </w:rPr>
        <w:t xml:space="preserve">承包人应为其施工设备、进场的材料和工程设备等办理保险，费用含在投标报价或签约合同价中 </w:t>
      </w:r>
      <w:r>
        <w:rPr>
          <w:rFonts w:ascii="Times New Roman" w:hAnsi="Times New Roman" w:eastAsia="仿宋_GB2312"/>
          <w:color w:val="auto"/>
          <w:sz w:val="21"/>
          <w:szCs w:val="21"/>
          <w:highlight w:val="none"/>
        </w:rPr>
        <w:t>。</w:t>
      </w:r>
    </w:p>
    <w:p w14:paraId="6ED3DC78">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黑体"/>
          <w:color w:val="auto"/>
          <w:sz w:val="21"/>
          <w:szCs w:val="21"/>
          <w:highlight w:val="none"/>
        </w:rPr>
      </w:pPr>
      <w:r>
        <w:rPr>
          <w:rFonts w:ascii="Times New Roman" w:hAnsi="Times New Roman" w:eastAsia="黑体"/>
          <w:color w:val="auto"/>
          <w:sz w:val="21"/>
          <w:szCs w:val="21"/>
          <w:highlight w:val="none"/>
        </w:rPr>
        <w:t>18.7 通知义务</w:t>
      </w:r>
    </w:p>
    <w:p w14:paraId="531AAD15">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kern w:val="0"/>
          <w:sz w:val="21"/>
          <w:szCs w:val="21"/>
          <w:highlight w:val="none"/>
        </w:rPr>
        <w:t>关于变更保险合同时的通知义务的约定：</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执行通用合同条款。</w:t>
      </w:r>
    </w:p>
    <w:bookmarkEnd w:id="1801"/>
    <w:bookmarkEnd w:id="1802"/>
    <w:bookmarkEnd w:id="1803"/>
    <w:bookmarkEnd w:id="1804"/>
    <w:bookmarkEnd w:id="1805"/>
    <w:bookmarkEnd w:id="1806"/>
    <w:bookmarkEnd w:id="1807"/>
    <w:bookmarkEnd w:id="1808"/>
    <w:bookmarkEnd w:id="1809"/>
    <w:bookmarkEnd w:id="1810"/>
    <w:bookmarkEnd w:id="1811"/>
    <w:bookmarkEnd w:id="1812"/>
    <w:p w14:paraId="05F773AA">
      <w:pPr>
        <w:pStyle w:val="5"/>
        <w:pageBreakBefore w:val="0"/>
        <w:widowControl w:val="0"/>
        <w:kinsoku/>
        <w:wordWrap/>
        <w:overflowPunct/>
        <w:topLinePunct w:val="0"/>
        <w:bidi w:val="0"/>
        <w:adjustRightInd w:val="0"/>
        <w:snapToGrid w:val="0"/>
        <w:spacing w:before="0" w:after="0" w:line="360" w:lineRule="auto"/>
        <w:textAlignment w:val="auto"/>
        <w:rPr>
          <w:rFonts w:eastAsia="黑体"/>
          <w:b w:val="0"/>
          <w:color w:val="auto"/>
          <w:sz w:val="21"/>
          <w:szCs w:val="21"/>
          <w:highlight w:val="none"/>
        </w:rPr>
      </w:pPr>
      <w:bookmarkStart w:id="1840" w:name="_Toc351203651"/>
      <w:bookmarkStart w:id="1841" w:name="_Toc23031"/>
      <w:bookmarkStart w:id="1842" w:name="_Toc2168"/>
      <w:r>
        <w:rPr>
          <w:rFonts w:eastAsia="黑体"/>
          <w:b w:val="0"/>
          <w:color w:val="auto"/>
          <w:sz w:val="21"/>
          <w:szCs w:val="21"/>
          <w:highlight w:val="none"/>
        </w:rPr>
        <w:t>20. 争议解决</w:t>
      </w:r>
      <w:bookmarkEnd w:id="1840"/>
      <w:bookmarkEnd w:id="1841"/>
      <w:bookmarkEnd w:id="1842"/>
    </w:p>
    <w:bookmarkEnd w:id="1813"/>
    <w:bookmarkEnd w:id="1814"/>
    <w:p w14:paraId="1675D550">
      <w:pPr>
        <w:pageBreakBefore w:val="0"/>
        <w:widowControl w:val="0"/>
        <w:kinsoku/>
        <w:wordWrap/>
        <w:overflowPunct/>
        <w:topLinePunct w:val="0"/>
        <w:bidi w:val="0"/>
        <w:adjustRightInd w:val="0"/>
        <w:snapToGrid w:val="0"/>
        <w:spacing w:line="360" w:lineRule="auto"/>
        <w:ind w:firstLine="420" w:firstLineChars="200"/>
        <w:textAlignment w:val="auto"/>
        <w:outlineLvl w:val="4"/>
        <w:rPr>
          <w:rFonts w:ascii="Times New Roman" w:hAnsi="Times New Roman" w:eastAsia="黑体"/>
          <w:color w:val="auto"/>
          <w:sz w:val="21"/>
          <w:szCs w:val="21"/>
          <w:highlight w:val="none"/>
        </w:rPr>
      </w:pPr>
      <w:bookmarkStart w:id="1843" w:name="_Toc4889"/>
      <w:r>
        <w:rPr>
          <w:rFonts w:ascii="Times New Roman" w:hAnsi="Times New Roman" w:eastAsia="黑体"/>
          <w:color w:val="auto"/>
          <w:sz w:val="21"/>
          <w:szCs w:val="21"/>
          <w:highlight w:val="none"/>
        </w:rPr>
        <w:t>20.3 争</w:t>
      </w:r>
      <w:bookmarkEnd w:id="1815"/>
      <w:r>
        <w:rPr>
          <w:rFonts w:ascii="Times New Roman" w:hAnsi="Times New Roman" w:eastAsia="黑体"/>
          <w:color w:val="auto"/>
          <w:sz w:val="21"/>
          <w:szCs w:val="21"/>
          <w:highlight w:val="none"/>
        </w:rPr>
        <w:t>议评审</w:t>
      </w:r>
      <w:bookmarkEnd w:id="1843"/>
    </w:p>
    <w:p w14:paraId="21E0E5C9">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合同当事人是否同意将工程争议提交争议评审小组决</w:t>
      </w:r>
      <w:r>
        <w:rPr>
          <w:rFonts w:hint="eastAsia" w:ascii="Times New Roman" w:hAnsi="Times New Roman" w:eastAsia="仿宋_GB2312"/>
          <w:color w:val="auto"/>
          <w:sz w:val="21"/>
          <w:szCs w:val="21"/>
          <w:highlight w:val="none"/>
        </w:rPr>
        <w:t>定：</w:t>
      </w:r>
      <w:r>
        <w:rPr>
          <w:rFonts w:hint="eastAsia" w:ascii="Times New Roman" w:hAnsi="Times New Roman" w:eastAsia="仿宋_GB2312" w:cs="Times New Roman"/>
          <w:color w:val="auto"/>
          <w:kern w:val="0"/>
          <w:sz w:val="21"/>
          <w:szCs w:val="21"/>
          <w:highlight w:val="none"/>
          <w:u w:val="single"/>
          <w:lang w:val="en-US" w:eastAsia="zh-CN"/>
        </w:rPr>
        <w:t xml:space="preserve">     </w:t>
      </w:r>
      <w:r>
        <w:rPr>
          <w:rFonts w:hint="eastAsia" w:eastAsia="仿宋_GB2312" w:cs="Times New Roman"/>
          <w:color w:val="auto"/>
          <w:kern w:val="0"/>
          <w:sz w:val="21"/>
          <w:szCs w:val="21"/>
          <w:highlight w:val="none"/>
          <w:u w:val="single"/>
          <w:lang w:val="en-US" w:eastAsia="zh-CN"/>
        </w:rPr>
        <w:t xml:space="preserve">            </w:t>
      </w:r>
      <w:r>
        <w:rPr>
          <w:rFonts w:hint="eastAsia" w:ascii="Times New Roman" w:hAnsi="Times New Roman" w:eastAsia="仿宋_GB2312" w:cs="Times New Roman"/>
          <w:color w:val="auto"/>
          <w:kern w:val="0"/>
          <w:sz w:val="21"/>
          <w:szCs w:val="21"/>
          <w:highlight w:val="none"/>
          <w:u w:val="single"/>
          <w:lang w:val="en-US" w:eastAsia="zh-CN"/>
        </w:rPr>
        <w:t xml:space="preserve">    </w:t>
      </w:r>
      <w:r>
        <w:rPr>
          <w:rFonts w:hint="eastAsia" w:ascii="Times New Roman" w:hAnsi="Times New Roman" w:eastAsia="仿宋_GB2312"/>
          <w:color w:val="auto"/>
          <w:sz w:val="21"/>
          <w:szCs w:val="21"/>
          <w:highlight w:val="none"/>
        </w:rPr>
        <w:t>。</w:t>
      </w:r>
    </w:p>
    <w:p w14:paraId="03EB0548">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20.3.1 争议评审小组的确定</w:t>
      </w:r>
    </w:p>
    <w:p w14:paraId="4CDF105C">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u w:val="single"/>
        </w:rPr>
      </w:pPr>
      <w:r>
        <w:rPr>
          <w:rFonts w:ascii="Times New Roman" w:hAnsi="Times New Roman" w:eastAsia="仿宋_GB2312"/>
          <w:color w:val="auto"/>
          <w:sz w:val="21"/>
          <w:szCs w:val="21"/>
          <w:highlight w:val="none"/>
        </w:rPr>
        <w:t>争议评审小组成员的确定：</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 xml:space="preserve"> 执行通用合同条款</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59C9A2CD">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选定争议评审员的期限：</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 xml:space="preserve"> 执行通用合同条款</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3F4FBA39">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争议评审小组成员的报酬承担方式：</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 xml:space="preserve">执行通用合同条款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34D51E54">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其他事项的约定：</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 xml:space="preserve"> 执行通用合同条款</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2A233773">
      <w:pPr>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Times New Roman" w:hAnsi="Times New Roman" w:eastAsia="仿宋_GB2312"/>
          <w:color w:val="auto"/>
          <w:kern w:val="0"/>
          <w:sz w:val="21"/>
          <w:szCs w:val="21"/>
          <w:highlight w:val="none"/>
        </w:rPr>
      </w:pPr>
      <w:r>
        <w:rPr>
          <w:rFonts w:ascii="Times New Roman" w:hAnsi="Times New Roman" w:eastAsia="仿宋_GB2312"/>
          <w:color w:val="auto"/>
          <w:kern w:val="0"/>
          <w:sz w:val="21"/>
          <w:szCs w:val="21"/>
          <w:highlight w:val="none"/>
        </w:rPr>
        <w:t>20.3.2 争议评审小组的决定</w:t>
      </w:r>
    </w:p>
    <w:p w14:paraId="59138E19">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合同当事人关于本项的约定：</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 xml:space="preserve"> 执行通用合同条款</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4B95EFC2">
      <w:pPr>
        <w:pageBreakBefore w:val="0"/>
        <w:widowControl w:val="0"/>
        <w:kinsoku/>
        <w:wordWrap/>
        <w:overflowPunct/>
        <w:topLinePunct w:val="0"/>
        <w:bidi w:val="0"/>
        <w:adjustRightInd w:val="0"/>
        <w:snapToGrid w:val="0"/>
        <w:spacing w:line="360" w:lineRule="auto"/>
        <w:ind w:firstLine="420" w:firstLineChars="200"/>
        <w:textAlignment w:val="auto"/>
        <w:outlineLvl w:val="4"/>
        <w:rPr>
          <w:rFonts w:hint="eastAsia" w:ascii="Times New Roman" w:hAnsi="Times New Roman" w:eastAsia="黑体"/>
          <w:color w:val="auto"/>
          <w:sz w:val="21"/>
          <w:szCs w:val="21"/>
          <w:highlight w:val="none"/>
        </w:rPr>
      </w:pPr>
      <w:bookmarkStart w:id="1844" w:name="_Toc4477"/>
      <w:r>
        <w:rPr>
          <w:rFonts w:ascii="Times New Roman" w:hAnsi="Times New Roman" w:eastAsia="黑体"/>
          <w:color w:val="auto"/>
          <w:sz w:val="21"/>
          <w:szCs w:val="21"/>
          <w:highlight w:val="none"/>
        </w:rPr>
        <w:t>20.4仲裁或诉讼</w:t>
      </w:r>
      <w:bookmarkEnd w:id="1816"/>
      <w:bookmarkEnd w:id="1844"/>
    </w:p>
    <w:p w14:paraId="0332C1CF">
      <w:pPr>
        <w:pageBreakBefore w:val="0"/>
        <w:widowControl w:val="0"/>
        <w:kinsoku/>
        <w:wordWrap/>
        <w:overflowPunct/>
        <w:topLinePunct w:val="0"/>
        <w:bidi w:val="0"/>
        <w:adjustRightInd w:val="0"/>
        <w:snapToGrid w:val="0"/>
        <w:spacing w:line="360" w:lineRule="auto"/>
        <w:ind w:firstLine="420" w:firstLineChars="200"/>
        <w:textAlignment w:val="auto"/>
        <w:rPr>
          <w:rFonts w:ascii="Times New Roman" w:hAnsi="Times New Roman" w:eastAsia="黑体"/>
          <w:color w:val="auto"/>
          <w:sz w:val="21"/>
          <w:szCs w:val="21"/>
          <w:highlight w:val="none"/>
        </w:rPr>
      </w:pPr>
      <w:r>
        <w:rPr>
          <w:rFonts w:ascii="Times New Roman" w:hAnsi="Times New Roman" w:eastAsia="仿宋_GB2312"/>
          <w:color w:val="auto"/>
          <w:sz w:val="21"/>
          <w:szCs w:val="21"/>
          <w:highlight w:val="none"/>
        </w:rPr>
        <w:t>因合同及合同有关事项发生的争议，按下列第</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s="Times New Roman"/>
          <w:color w:val="auto"/>
          <w:kern w:val="0"/>
          <w:sz w:val="21"/>
          <w:szCs w:val="21"/>
          <w:highlight w:val="none"/>
          <w:u w:val="single"/>
          <w:lang w:val="en-US" w:eastAsia="zh-CN"/>
        </w:rPr>
        <w:t>（2）</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种方式</w:t>
      </w:r>
      <w:r>
        <w:rPr>
          <w:rFonts w:hint="eastAsia" w:ascii="Times New Roman" w:hAnsi="Times New Roman" w:eastAsia="仿宋_GB2312"/>
          <w:color w:val="auto"/>
          <w:sz w:val="21"/>
          <w:szCs w:val="21"/>
          <w:highlight w:val="none"/>
        </w:rPr>
        <w:t>解</w:t>
      </w:r>
      <w:r>
        <w:rPr>
          <w:rFonts w:ascii="Times New Roman" w:hAnsi="Times New Roman" w:eastAsia="仿宋_GB2312"/>
          <w:color w:val="auto"/>
          <w:sz w:val="21"/>
          <w:szCs w:val="21"/>
          <w:highlight w:val="none"/>
        </w:rPr>
        <w:t>决：</w:t>
      </w:r>
    </w:p>
    <w:p w14:paraId="1BBB5C5D">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（1）向</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仲裁委员会申请仲裁；</w:t>
      </w:r>
    </w:p>
    <w:p w14:paraId="325D314D">
      <w:pPr>
        <w:pageBreakBefore w:val="0"/>
        <w:widowControl w:val="0"/>
        <w:kinsoku/>
        <w:wordWrap/>
        <w:overflowPunct/>
        <w:topLinePunct w:val="0"/>
        <w:bidi w:val="0"/>
        <w:adjustRightInd w:val="0"/>
        <w:snapToGrid w:val="0"/>
        <w:spacing w:line="360" w:lineRule="auto"/>
        <w:ind w:firstLine="420" w:firstLineChars="200"/>
        <w:jc w:val="left"/>
        <w:textAlignment w:val="auto"/>
        <w:rPr>
          <w:rFonts w:ascii="Times New Roman" w:hAnsi="Times New Roman" w:eastAsia="仿宋_GB2312"/>
          <w:color w:val="auto"/>
          <w:sz w:val="30"/>
          <w:szCs w:val="32"/>
          <w:highlight w:val="none"/>
        </w:rPr>
      </w:pPr>
      <w:r>
        <w:rPr>
          <w:rFonts w:ascii="Times New Roman" w:hAnsi="Times New Roman" w:eastAsia="仿宋_GB2312"/>
          <w:color w:val="auto"/>
          <w:sz w:val="21"/>
          <w:szCs w:val="21"/>
          <w:highlight w:val="none"/>
        </w:rPr>
        <w:t>（2）向</w:t>
      </w:r>
      <w:r>
        <w:rPr>
          <w:rFonts w:ascii="Times New Roman" w:hAnsi="Times New Roman" w:eastAsia="仿宋_GB2312"/>
          <w:color w:val="auto"/>
          <w:sz w:val="21"/>
          <w:szCs w:val="21"/>
          <w:highlight w:val="none"/>
          <w:u w:val="single"/>
        </w:rPr>
        <w:t xml:space="preserve">    </w:t>
      </w:r>
      <w:r>
        <w:rPr>
          <w:rFonts w:hint="eastAsia" w:eastAsia="仿宋_GB2312" w:cs="Times New Roman"/>
          <w:color w:val="auto"/>
          <w:kern w:val="0"/>
          <w:sz w:val="21"/>
          <w:szCs w:val="21"/>
          <w:highlight w:val="none"/>
          <w:u w:val="single"/>
          <w:lang w:val="en-US" w:eastAsia="zh-CN"/>
        </w:rPr>
        <w:t>项目</w:t>
      </w:r>
      <w:r>
        <w:rPr>
          <w:rFonts w:hint="eastAsia" w:ascii="Times New Roman" w:hAnsi="Times New Roman" w:eastAsia="仿宋_GB2312" w:cs="Times New Roman"/>
          <w:color w:val="auto"/>
          <w:kern w:val="0"/>
          <w:sz w:val="21"/>
          <w:szCs w:val="21"/>
          <w:highlight w:val="none"/>
          <w:u w:val="single"/>
          <w:lang w:val="en-US" w:eastAsia="zh-CN"/>
        </w:rPr>
        <w:t xml:space="preserve">所在地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人民法院起诉。</w:t>
      </w:r>
      <w:bookmarkEnd w:id="1817"/>
      <w:bookmarkEnd w:id="1818"/>
      <w:bookmarkEnd w:id="1819"/>
      <w:bookmarkEnd w:id="1820"/>
      <w:bookmarkEnd w:id="1821"/>
      <w:bookmarkEnd w:id="1822"/>
    </w:p>
    <w:p w14:paraId="52D17F75">
      <w:pPr>
        <w:spacing w:line="360" w:lineRule="auto"/>
        <w:jc w:val="left"/>
        <w:rPr>
          <w:rFonts w:ascii="Times New Roman" w:hAnsi="Times New Roman" w:eastAsia="黑体"/>
          <w:b/>
          <w:color w:val="auto"/>
          <w:sz w:val="32"/>
          <w:szCs w:val="32"/>
          <w:highlight w:val="none"/>
        </w:rPr>
      </w:pPr>
      <w:r>
        <w:rPr>
          <w:rFonts w:ascii="Times New Roman" w:hAnsi="Times New Roman" w:eastAsia="仿宋_GB2312"/>
          <w:color w:val="auto"/>
          <w:sz w:val="30"/>
          <w:szCs w:val="32"/>
          <w:highlight w:val="none"/>
        </w:rPr>
        <w:br w:type="page"/>
      </w:r>
      <w:bookmarkStart w:id="1845" w:name="_Toc351203652"/>
      <w:r>
        <w:rPr>
          <w:rFonts w:ascii="Times New Roman" w:hAnsi="Times New Roman" w:eastAsia="黑体"/>
          <w:b/>
          <w:color w:val="auto"/>
          <w:sz w:val="32"/>
          <w:szCs w:val="32"/>
          <w:highlight w:val="none"/>
        </w:rPr>
        <w:t>附件</w:t>
      </w:r>
      <w:bookmarkEnd w:id="1845"/>
    </w:p>
    <w:p w14:paraId="63B1E6F4">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仿宋_GB2312"/>
          <w:color w:val="auto"/>
          <w:sz w:val="21"/>
          <w:szCs w:val="21"/>
          <w:highlight w:val="none"/>
        </w:rPr>
      </w:pPr>
      <w:r>
        <w:rPr>
          <w:rFonts w:hint="eastAsia" w:ascii="Times New Roman" w:hAnsi="Times New Roman" w:eastAsia="仿宋_GB2312"/>
          <w:color w:val="auto"/>
          <w:sz w:val="21"/>
          <w:szCs w:val="21"/>
          <w:highlight w:val="none"/>
        </w:rPr>
        <w:t>协议书附件：</w:t>
      </w:r>
    </w:p>
    <w:p w14:paraId="07C38C44">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附件1：承包人承揽工程项目一览表</w:t>
      </w:r>
    </w:p>
    <w:p w14:paraId="0DDDE708">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ascii="Times New Roman" w:hAnsi="Times New Roman" w:eastAsia="仿宋_GB2312"/>
          <w:color w:val="auto"/>
          <w:sz w:val="21"/>
          <w:szCs w:val="21"/>
          <w:highlight w:val="none"/>
        </w:rPr>
      </w:pPr>
      <w:r>
        <w:rPr>
          <w:rFonts w:hint="eastAsia" w:ascii="Times New Roman" w:hAnsi="Times New Roman" w:eastAsia="仿宋_GB2312"/>
          <w:color w:val="auto"/>
          <w:sz w:val="21"/>
          <w:szCs w:val="21"/>
          <w:highlight w:val="none"/>
        </w:rPr>
        <w:t>专用合同条款附件：</w:t>
      </w:r>
    </w:p>
    <w:p w14:paraId="443B85A8">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附件2：发包人供应材料设备一览表</w:t>
      </w:r>
    </w:p>
    <w:p w14:paraId="37E44749">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附件3：工程质量保修书</w:t>
      </w:r>
    </w:p>
    <w:p w14:paraId="723718A2">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附件4：主要建设工程文件目录</w:t>
      </w:r>
    </w:p>
    <w:p w14:paraId="39A5F02F">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附件5：承包人用于本工程施工的机械设备表</w:t>
      </w:r>
    </w:p>
    <w:p w14:paraId="63BE65CB">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附件6：承包人主要施工管理人员表</w:t>
      </w:r>
    </w:p>
    <w:p w14:paraId="7B1B9276">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附件7：分包人主要施工管理人员表</w:t>
      </w:r>
    </w:p>
    <w:p w14:paraId="34602C5E">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附件8：履约担保格式</w:t>
      </w:r>
    </w:p>
    <w:p w14:paraId="3A529269">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附件9：预付款担保格式</w:t>
      </w:r>
    </w:p>
    <w:p w14:paraId="28591C1B">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附件10：支付担保格式</w:t>
      </w:r>
    </w:p>
    <w:p w14:paraId="2312C073">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附件11：暂估价一览表</w:t>
      </w:r>
    </w:p>
    <w:p w14:paraId="3B3962EE">
      <w:pPr>
        <w:spacing w:line="360" w:lineRule="auto"/>
        <w:jc w:val="left"/>
        <w:rPr>
          <w:rFonts w:ascii="Times New Roman" w:hAnsi="Times New Roman" w:eastAsia="仿宋_GB2312"/>
          <w:color w:val="auto"/>
          <w:sz w:val="30"/>
          <w:szCs w:val="32"/>
          <w:highlight w:val="none"/>
        </w:rPr>
      </w:pPr>
    </w:p>
    <w:p w14:paraId="2FC05AE1">
      <w:pPr>
        <w:spacing w:line="360" w:lineRule="auto"/>
        <w:jc w:val="left"/>
        <w:rPr>
          <w:rFonts w:ascii="Times New Roman" w:hAnsi="Times New Roman" w:eastAsia="仿宋_GB2312"/>
          <w:color w:val="auto"/>
          <w:sz w:val="30"/>
          <w:szCs w:val="32"/>
          <w:highlight w:val="none"/>
        </w:rPr>
        <w:sectPr>
          <w:pgSz w:w="11906" w:h="16838"/>
          <w:pgMar w:top="1418" w:right="1555" w:bottom="1418" w:left="1531" w:header="851" w:footer="992" w:gutter="0"/>
          <w:pgNumType w:start="1"/>
          <w:cols w:space="720" w:num="1"/>
          <w:titlePg/>
          <w:docGrid w:type="lines" w:linePitch="312" w:charSpace="0"/>
        </w:sectPr>
      </w:pPr>
    </w:p>
    <w:p w14:paraId="1898EDAF">
      <w:pPr>
        <w:spacing w:before="156" w:beforeLines="50" w:after="156" w:afterLines="50" w:line="440" w:lineRule="exact"/>
        <w:jc w:val="left"/>
        <w:outlineLvl w:val="3"/>
        <w:rPr>
          <w:rFonts w:hint="eastAsia" w:ascii="仿宋_GB2312" w:hAnsi="Times New Roman" w:eastAsia="仿宋_GB2312"/>
          <w:color w:val="auto"/>
          <w:sz w:val="30"/>
          <w:szCs w:val="30"/>
          <w:highlight w:val="none"/>
        </w:rPr>
      </w:pPr>
      <w:bookmarkStart w:id="1846" w:name="_Toc24745"/>
      <w:bookmarkStart w:id="1847" w:name="_Toc15628"/>
      <w:r>
        <w:rPr>
          <w:rFonts w:hint="eastAsia" w:ascii="仿宋_GB2312" w:hAnsi="Times New Roman" w:eastAsia="仿宋_GB2312"/>
          <w:color w:val="auto"/>
          <w:sz w:val="30"/>
          <w:szCs w:val="30"/>
          <w:highlight w:val="none"/>
        </w:rPr>
        <w:t>附件1：</w:t>
      </w:r>
      <w:bookmarkEnd w:id="1846"/>
      <w:bookmarkEnd w:id="1847"/>
    </w:p>
    <w:p w14:paraId="004CE46F">
      <w:pPr>
        <w:spacing w:before="156" w:beforeLines="50" w:after="156" w:afterLines="50" w:line="440" w:lineRule="exact"/>
        <w:jc w:val="center"/>
        <w:outlineLvl w:val="4"/>
        <w:rPr>
          <w:rFonts w:hint="eastAsia" w:ascii="Times New Roman" w:hAnsi="Times New Roman" w:eastAsia="黑体"/>
          <w:color w:val="auto"/>
          <w:sz w:val="30"/>
          <w:szCs w:val="30"/>
          <w:highlight w:val="none"/>
        </w:rPr>
      </w:pPr>
      <w:bookmarkStart w:id="1848" w:name="_Toc19470"/>
      <w:bookmarkStart w:id="1849" w:name="_Toc25739"/>
      <w:r>
        <w:rPr>
          <w:rFonts w:ascii="Times New Roman" w:hAnsi="Times New Roman" w:eastAsia="黑体"/>
          <w:color w:val="auto"/>
          <w:sz w:val="30"/>
          <w:szCs w:val="30"/>
          <w:highlight w:val="none"/>
        </w:rPr>
        <w:t>承包人承揽工程项目一览表</w:t>
      </w:r>
      <w:bookmarkEnd w:id="1848"/>
      <w:bookmarkEnd w:id="1849"/>
    </w:p>
    <w:tbl>
      <w:tblPr>
        <w:tblStyle w:val="18"/>
        <w:tblW w:w="1424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125"/>
        <w:gridCol w:w="1420"/>
        <w:gridCol w:w="1992"/>
        <w:gridCol w:w="1423"/>
        <w:gridCol w:w="1320"/>
        <w:gridCol w:w="1560"/>
        <w:gridCol w:w="1715"/>
        <w:gridCol w:w="1417"/>
        <w:gridCol w:w="1154"/>
        <w:gridCol w:w="1117"/>
      </w:tblGrid>
      <w:tr w14:paraId="3FF3BC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125" w:type="dxa"/>
            <w:tcBorders>
              <w:top w:val="single" w:color="auto" w:sz="12" w:space="0"/>
              <w:bottom w:val="double" w:color="auto" w:sz="6" w:space="0"/>
            </w:tcBorders>
            <w:noWrap w:val="0"/>
            <w:vAlign w:val="center"/>
          </w:tcPr>
          <w:p w14:paraId="7B6980E0">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r>
              <w:rPr>
                <w:rFonts w:eastAsia="仿宋_GB2312"/>
                <w:color w:val="auto"/>
                <w:sz w:val="21"/>
                <w:szCs w:val="21"/>
                <w:highlight w:val="none"/>
              </w:rPr>
              <w:t>单位工程名称</w:t>
            </w:r>
          </w:p>
        </w:tc>
        <w:tc>
          <w:tcPr>
            <w:tcW w:w="1420" w:type="dxa"/>
            <w:tcBorders>
              <w:top w:val="single" w:color="auto" w:sz="12" w:space="0"/>
              <w:bottom w:val="double" w:color="auto" w:sz="6" w:space="0"/>
            </w:tcBorders>
            <w:noWrap w:val="0"/>
            <w:vAlign w:val="center"/>
          </w:tcPr>
          <w:p w14:paraId="08136012">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r>
              <w:rPr>
                <w:rFonts w:eastAsia="仿宋_GB2312"/>
                <w:color w:val="auto"/>
                <w:sz w:val="21"/>
                <w:szCs w:val="21"/>
                <w:highlight w:val="none"/>
              </w:rPr>
              <w:t>建设规模</w:t>
            </w:r>
          </w:p>
        </w:tc>
        <w:tc>
          <w:tcPr>
            <w:tcW w:w="1992" w:type="dxa"/>
            <w:tcBorders>
              <w:top w:val="single" w:color="auto" w:sz="12" w:space="0"/>
              <w:bottom w:val="double" w:color="auto" w:sz="6" w:space="0"/>
            </w:tcBorders>
            <w:noWrap w:val="0"/>
            <w:vAlign w:val="center"/>
          </w:tcPr>
          <w:p w14:paraId="4C99DD68">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r>
              <w:rPr>
                <w:rFonts w:eastAsia="仿宋_GB2312"/>
                <w:color w:val="auto"/>
                <w:sz w:val="21"/>
                <w:szCs w:val="21"/>
                <w:highlight w:val="none"/>
              </w:rPr>
              <w:t>建筑面积</w:t>
            </w:r>
            <w:r>
              <w:rPr>
                <w:rFonts w:hint="eastAsia" w:eastAsia="仿宋_GB2312"/>
                <w:color w:val="auto"/>
                <w:sz w:val="21"/>
                <w:szCs w:val="21"/>
                <w:highlight w:val="none"/>
                <w:lang w:eastAsia="zh-CN"/>
              </w:rPr>
              <w:t>（</w:t>
            </w:r>
            <w:r>
              <w:rPr>
                <w:rFonts w:eastAsia="仿宋_GB2312"/>
                <w:color w:val="auto"/>
                <w:sz w:val="21"/>
                <w:szCs w:val="21"/>
                <w:highlight w:val="none"/>
              </w:rPr>
              <w:t>平方米</w:t>
            </w:r>
            <w:r>
              <w:rPr>
                <w:rFonts w:hint="eastAsia" w:eastAsia="仿宋_GB2312"/>
                <w:color w:val="auto"/>
                <w:sz w:val="21"/>
                <w:szCs w:val="21"/>
                <w:highlight w:val="none"/>
                <w:lang w:eastAsia="zh-CN"/>
              </w:rPr>
              <w:t>）</w:t>
            </w:r>
          </w:p>
        </w:tc>
        <w:tc>
          <w:tcPr>
            <w:tcW w:w="1423" w:type="dxa"/>
            <w:tcBorders>
              <w:top w:val="single" w:color="auto" w:sz="12" w:space="0"/>
              <w:bottom w:val="double" w:color="auto" w:sz="6" w:space="0"/>
            </w:tcBorders>
            <w:noWrap w:val="0"/>
            <w:vAlign w:val="center"/>
          </w:tcPr>
          <w:p w14:paraId="47B26BAF">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r>
              <w:rPr>
                <w:rFonts w:eastAsia="仿宋_GB2312"/>
                <w:color w:val="auto"/>
                <w:sz w:val="21"/>
                <w:szCs w:val="21"/>
                <w:highlight w:val="none"/>
              </w:rPr>
              <w:t>结构</w:t>
            </w:r>
            <w:r>
              <w:rPr>
                <w:rFonts w:hint="eastAsia" w:eastAsia="仿宋_GB2312"/>
                <w:color w:val="auto"/>
                <w:sz w:val="21"/>
                <w:szCs w:val="21"/>
                <w:highlight w:val="none"/>
              </w:rPr>
              <w:t>形式</w:t>
            </w:r>
          </w:p>
        </w:tc>
        <w:tc>
          <w:tcPr>
            <w:tcW w:w="1320" w:type="dxa"/>
            <w:tcBorders>
              <w:top w:val="single" w:color="auto" w:sz="12" w:space="0"/>
              <w:bottom w:val="double" w:color="auto" w:sz="6" w:space="0"/>
            </w:tcBorders>
            <w:noWrap w:val="0"/>
            <w:vAlign w:val="center"/>
          </w:tcPr>
          <w:p w14:paraId="7F37EA14">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r>
              <w:rPr>
                <w:rFonts w:eastAsia="仿宋_GB2312"/>
                <w:color w:val="auto"/>
                <w:sz w:val="21"/>
                <w:szCs w:val="21"/>
                <w:highlight w:val="none"/>
              </w:rPr>
              <w:t>层数</w:t>
            </w:r>
          </w:p>
        </w:tc>
        <w:tc>
          <w:tcPr>
            <w:tcW w:w="1560" w:type="dxa"/>
            <w:tcBorders>
              <w:top w:val="single" w:color="auto" w:sz="12" w:space="0"/>
              <w:bottom w:val="double" w:color="auto" w:sz="6" w:space="0"/>
            </w:tcBorders>
            <w:noWrap w:val="0"/>
            <w:vAlign w:val="center"/>
          </w:tcPr>
          <w:p w14:paraId="62AA1CC6">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r>
              <w:rPr>
                <w:rFonts w:eastAsia="仿宋_GB2312"/>
                <w:color w:val="auto"/>
                <w:sz w:val="21"/>
                <w:szCs w:val="21"/>
                <w:highlight w:val="none"/>
              </w:rPr>
              <w:t>生产能力</w:t>
            </w:r>
          </w:p>
        </w:tc>
        <w:tc>
          <w:tcPr>
            <w:tcW w:w="1715" w:type="dxa"/>
            <w:tcBorders>
              <w:top w:val="single" w:color="auto" w:sz="12" w:space="0"/>
              <w:bottom w:val="double" w:color="auto" w:sz="6" w:space="0"/>
            </w:tcBorders>
            <w:noWrap w:val="0"/>
            <w:vAlign w:val="center"/>
          </w:tcPr>
          <w:p w14:paraId="255DA91B">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r>
              <w:rPr>
                <w:rFonts w:eastAsia="仿宋_GB2312"/>
                <w:color w:val="auto"/>
                <w:sz w:val="21"/>
                <w:szCs w:val="21"/>
                <w:highlight w:val="none"/>
              </w:rPr>
              <w:t>设备安装内容</w:t>
            </w:r>
          </w:p>
        </w:tc>
        <w:tc>
          <w:tcPr>
            <w:tcW w:w="1417" w:type="dxa"/>
            <w:tcBorders>
              <w:top w:val="single" w:color="auto" w:sz="12" w:space="0"/>
              <w:bottom w:val="double" w:color="auto" w:sz="6" w:space="0"/>
            </w:tcBorders>
            <w:noWrap w:val="0"/>
            <w:vAlign w:val="center"/>
          </w:tcPr>
          <w:p w14:paraId="6BEDF6FF">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r>
              <w:rPr>
                <w:rFonts w:eastAsia="仿宋_GB2312"/>
                <w:color w:val="auto"/>
                <w:sz w:val="21"/>
                <w:szCs w:val="21"/>
                <w:highlight w:val="none"/>
              </w:rPr>
              <w:t>合同价格（元）</w:t>
            </w:r>
          </w:p>
        </w:tc>
        <w:tc>
          <w:tcPr>
            <w:tcW w:w="1154" w:type="dxa"/>
            <w:tcBorders>
              <w:top w:val="single" w:color="auto" w:sz="12" w:space="0"/>
              <w:bottom w:val="double" w:color="auto" w:sz="6" w:space="0"/>
            </w:tcBorders>
            <w:noWrap w:val="0"/>
            <w:vAlign w:val="center"/>
          </w:tcPr>
          <w:p w14:paraId="11D1A250">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r>
              <w:rPr>
                <w:rFonts w:eastAsia="仿宋_GB2312"/>
                <w:color w:val="auto"/>
                <w:sz w:val="21"/>
                <w:szCs w:val="21"/>
                <w:highlight w:val="none"/>
              </w:rPr>
              <w:t>开工日期</w:t>
            </w:r>
          </w:p>
        </w:tc>
        <w:tc>
          <w:tcPr>
            <w:tcW w:w="1117" w:type="dxa"/>
            <w:tcBorders>
              <w:top w:val="single" w:color="auto" w:sz="12" w:space="0"/>
              <w:bottom w:val="double" w:color="auto" w:sz="6" w:space="0"/>
            </w:tcBorders>
            <w:noWrap w:val="0"/>
            <w:vAlign w:val="center"/>
          </w:tcPr>
          <w:p w14:paraId="698F9CE9">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r>
              <w:rPr>
                <w:rFonts w:eastAsia="仿宋_GB2312"/>
                <w:color w:val="auto"/>
                <w:sz w:val="21"/>
                <w:szCs w:val="21"/>
                <w:highlight w:val="none"/>
              </w:rPr>
              <w:t>竣工日期</w:t>
            </w:r>
          </w:p>
        </w:tc>
      </w:tr>
      <w:tr w14:paraId="09DB17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25" w:type="dxa"/>
            <w:tcBorders>
              <w:top w:val="double" w:color="auto" w:sz="6" w:space="0"/>
              <w:bottom w:val="single" w:color="auto" w:sz="6" w:space="0"/>
            </w:tcBorders>
            <w:noWrap w:val="0"/>
            <w:vAlign w:val="center"/>
          </w:tcPr>
          <w:p w14:paraId="464100DF">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420" w:type="dxa"/>
            <w:tcBorders>
              <w:top w:val="double" w:color="auto" w:sz="6" w:space="0"/>
              <w:bottom w:val="single" w:color="auto" w:sz="6" w:space="0"/>
            </w:tcBorders>
            <w:noWrap w:val="0"/>
            <w:vAlign w:val="center"/>
          </w:tcPr>
          <w:p w14:paraId="0E7774E5">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992" w:type="dxa"/>
            <w:tcBorders>
              <w:top w:val="double" w:color="auto" w:sz="6" w:space="0"/>
              <w:bottom w:val="single" w:color="auto" w:sz="6" w:space="0"/>
            </w:tcBorders>
            <w:noWrap w:val="0"/>
            <w:vAlign w:val="center"/>
          </w:tcPr>
          <w:p w14:paraId="62577F33">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423" w:type="dxa"/>
            <w:tcBorders>
              <w:top w:val="double" w:color="auto" w:sz="6" w:space="0"/>
              <w:bottom w:val="single" w:color="auto" w:sz="6" w:space="0"/>
            </w:tcBorders>
            <w:noWrap w:val="0"/>
            <w:vAlign w:val="center"/>
          </w:tcPr>
          <w:p w14:paraId="663CBE0A">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320" w:type="dxa"/>
            <w:tcBorders>
              <w:top w:val="double" w:color="auto" w:sz="6" w:space="0"/>
              <w:bottom w:val="single" w:color="auto" w:sz="6" w:space="0"/>
            </w:tcBorders>
            <w:noWrap w:val="0"/>
            <w:vAlign w:val="center"/>
          </w:tcPr>
          <w:p w14:paraId="71DF9C22">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560" w:type="dxa"/>
            <w:tcBorders>
              <w:top w:val="double" w:color="auto" w:sz="6" w:space="0"/>
              <w:bottom w:val="single" w:color="auto" w:sz="6" w:space="0"/>
            </w:tcBorders>
            <w:noWrap w:val="0"/>
            <w:vAlign w:val="center"/>
          </w:tcPr>
          <w:p w14:paraId="1D71C459">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715" w:type="dxa"/>
            <w:tcBorders>
              <w:top w:val="double" w:color="auto" w:sz="6" w:space="0"/>
              <w:bottom w:val="single" w:color="auto" w:sz="6" w:space="0"/>
            </w:tcBorders>
            <w:noWrap w:val="0"/>
            <w:vAlign w:val="center"/>
          </w:tcPr>
          <w:p w14:paraId="49CF4D88">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417" w:type="dxa"/>
            <w:tcBorders>
              <w:top w:val="double" w:color="auto" w:sz="6" w:space="0"/>
              <w:bottom w:val="single" w:color="auto" w:sz="6" w:space="0"/>
            </w:tcBorders>
            <w:noWrap w:val="0"/>
            <w:vAlign w:val="center"/>
          </w:tcPr>
          <w:p w14:paraId="0648A282">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154" w:type="dxa"/>
            <w:tcBorders>
              <w:top w:val="double" w:color="auto" w:sz="6" w:space="0"/>
              <w:bottom w:val="single" w:color="auto" w:sz="6" w:space="0"/>
            </w:tcBorders>
            <w:noWrap w:val="0"/>
            <w:vAlign w:val="center"/>
          </w:tcPr>
          <w:p w14:paraId="1EE59BC8">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117" w:type="dxa"/>
            <w:tcBorders>
              <w:top w:val="double" w:color="auto" w:sz="6" w:space="0"/>
              <w:bottom w:val="single" w:color="auto" w:sz="6" w:space="0"/>
            </w:tcBorders>
            <w:noWrap w:val="0"/>
            <w:vAlign w:val="center"/>
          </w:tcPr>
          <w:p w14:paraId="7233BE05">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r>
      <w:tr w14:paraId="18ED70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25" w:type="dxa"/>
            <w:tcBorders>
              <w:top w:val="nil"/>
            </w:tcBorders>
            <w:noWrap w:val="0"/>
            <w:vAlign w:val="center"/>
          </w:tcPr>
          <w:p w14:paraId="16C1A7D3">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420" w:type="dxa"/>
            <w:tcBorders>
              <w:top w:val="nil"/>
            </w:tcBorders>
            <w:noWrap w:val="0"/>
            <w:vAlign w:val="center"/>
          </w:tcPr>
          <w:p w14:paraId="3FC0BEC1">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992" w:type="dxa"/>
            <w:tcBorders>
              <w:top w:val="nil"/>
            </w:tcBorders>
            <w:noWrap w:val="0"/>
            <w:vAlign w:val="center"/>
          </w:tcPr>
          <w:p w14:paraId="12C87644">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423" w:type="dxa"/>
            <w:tcBorders>
              <w:top w:val="nil"/>
            </w:tcBorders>
            <w:noWrap w:val="0"/>
            <w:vAlign w:val="center"/>
          </w:tcPr>
          <w:p w14:paraId="5AA28FFC">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320" w:type="dxa"/>
            <w:tcBorders>
              <w:top w:val="nil"/>
            </w:tcBorders>
            <w:noWrap w:val="0"/>
            <w:vAlign w:val="center"/>
          </w:tcPr>
          <w:p w14:paraId="2E7053AC">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560" w:type="dxa"/>
            <w:tcBorders>
              <w:top w:val="nil"/>
            </w:tcBorders>
            <w:noWrap w:val="0"/>
            <w:vAlign w:val="center"/>
          </w:tcPr>
          <w:p w14:paraId="10C9D8CD">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715" w:type="dxa"/>
            <w:tcBorders>
              <w:top w:val="nil"/>
            </w:tcBorders>
            <w:noWrap w:val="0"/>
            <w:vAlign w:val="center"/>
          </w:tcPr>
          <w:p w14:paraId="3B182385">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417" w:type="dxa"/>
            <w:tcBorders>
              <w:top w:val="nil"/>
            </w:tcBorders>
            <w:noWrap w:val="0"/>
            <w:vAlign w:val="center"/>
          </w:tcPr>
          <w:p w14:paraId="6E6B2987">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154" w:type="dxa"/>
            <w:tcBorders>
              <w:top w:val="nil"/>
            </w:tcBorders>
            <w:noWrap w:val="0"/>
            <w:vAlign w:val="center"/>
          </w:tcPr>
          <w:p w14:paraId="7FECD097">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117" w:type="dxa"/>
            <w:tcBorders>
              <w:top w:val="nil"/>
            </w:tcBorders>
            <w:noWrap w:val="0"/>
            <w:vAlign w:val="center"/>
          </w:tcPr>
          <w:p w14:paraId="7C5BD76E">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r>
      <w:tr w14:paraId="27485D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25" w:type="dxa"/>
            <w:tcBorders>
              <w:top w:val="nil"/>
            </w:tcBorders>
            <w:noWrap w:val="0"/>
            <w:vAlign w:val="center"/>
          </w:tcPr>
          <w:p w14:paraId="5B86684D">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420" w:type="dxa"/>
            <w:tcBorders>
              <w:top w:val="nil"/>
            </w:tcBorders>
            <w:noWrap w:val="0"/>
            <w:vAlign w:val="center"/>
          </w:tcPr>
          <w:p w14:paraId="6A4E3009">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992" w:type="dxa"/>
            <w:tcBorders>
              <w:top w:val="nil"/>
            </w:tcBorders>
            <w:noWrap w:val="0"/>
            <w:vAlign w:val="center"/>
          </w:tcPr>
          <w:p w14:paraId="5C184D2B">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423" w:type="dxa"/>
            <w:tcBorders>
              <w:top w:val="nil"/>
            </w:tcBorders>
            <w:noWrap w:val="0"/>
            <w:vAlign w:val="center"/>
          </w:tcPr>
          <w:p w14:paraId="20F33CA5">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320" w:type="dxa"/>
            <w:tcBorders>
              <w:top w:val="nil"/>
            </w:tcBorders>
            <w:noWrap w:val="0"/>
            <w:vAlign w:val="center"/>
          </w:tcPr>
          <w:p w14:paraId="38F5C55D">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560" w:type="dxa"/>
            <w:tcBorders>
              <w:top w:val="nil"/>
            </w:tcBorders>
            <w:noWrap w:val="0"/>
            <w:vAlign w:val="center"/>
          </w:tcPr>
          <w:p w14:paraId="12FE1BFF">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715" w:type="dxa"/>
            <w:tcBorders>
              <w:top w:val="nil"/>
            </w:tcBorders>
            <w:noWrap w:val="0"/>
            <w:vAlign w:val="center"/>
          </w:tcPr>
          <w:p w14:paraId="6A9FC9C7">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417" w:type="dxa"/>
            <w:tcBorders>
              <w:top w:val="nil"/>
            </w:tcBorders>
            <w:noWrap w:val="0"/>
            <w:vAlign w:val="center"/>
          </w:tcPr>
          <w:p w14:paraId="4205B1E4">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154" w:type="dxa"/>
            <w:tcBorders>
              <w:top w:val="nil"/>
            </w:tcBorders>
            <w:noWrap w:val="0"/>
            <w:vAlign w:val="center"/>
          </w:tcPr>
          <w:p w14:paraId="4B32A447">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117" w:type="dxa"/>
            <w:tcBorders>
              <w:top w:val="nil"/>
            </w:tcBorders>
            <w:noWrap w:val="0"/>
            <w:vAlign w:val="center"/>
          </w:tcPr>
          <w:p w14:paraId="2039DCFA">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r>
      <w:tr w14:paraId="527AB9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25" w:type="dxa"/>
            <w:noWrap w:val="0"/>
            <w:vAlign w:val="center"/>
          </w:tcPr>
          <w:p w14:paraId="68593059">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420" w:type="dxa"/>
            <w:noWrap w:val="0"/>
            <w:vAlign w:val="center"/>
          </w:tcPr>
          <w:p w14:paraId="4C77EE49">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992" w:type="dxa"/>
            <w:noWrap w:val="0"/>
            <w:vAlign w:val="center"/>
          </w:tcPr>
          <w:p w14:paraId="314E792E">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423" w:type="dxa"/>
            <w:noWrap w:val="0"/>
            <w:vAlign w:val="center"/>
          </w:tcPr>
          <w:p w14:paraId="2024A30A">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320" w:type="dxa"/>
            <w:noWrap w:val="0"/>
            <w:vAlign w:val="center"/>
          </w:tcPr>
          <w:p w14:paraId="31CBB7C2">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560" w:type="dxa"/>
            <w:noWrap w:val="0"/>
            <w:vAlign w:val="center"/>
          </w:tcPr>
          <w:p w14:paraId="54A37E1D">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715" w:type="dxa"/>
            <w:noWrap w:val="0"/>
            <w:vAlign w:val="center"/>
          </w:tcPr>
          <w:p w14:paraId="47694E7D">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417" w:type="dxa"/>
            <w:noWrap w:val="0"/>
            <w:vAlign w:val="center"/>
          </w:tcPr>
          <w:p w14:paraId="7B0C5707">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154" w:type="dxa"/>
            <w:noWrap w:val="0"/>
            <w:vAlign w:val="center"/>
          </w:tcPr>
          <w:p w14:paraId="17F12BEC">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117" w:type="dxa"/>
            <w:noWrap w:val="0"/>
            <w:vAlign w:val="center"/>
          </w:tcPr>
          <w:p w14:paraId="73C70AE4">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r>
      <w:tr w14:paraId="01DD71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25" w:type="dxa"/>
            <w:tcBorders>
              <w:top w:val="nil"/>
            </w:tcBorders>
            <w:noWrap w:val="0"/>
            <w:vAlign w:val="center"/>
          </w:tcPr>
          <w:p w14:paraId="2F95F106">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420" w:type="dxa"/>
            <w:tcBorders>
              <w:top w:val="nil"/>
            </w:tcBorders>
            <w:noWrap w:val="0"/>
            <w:vAlign w:val="center"/>
          </w:tcPr>
          <w:p w14:paraId="3C2D521D">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992" w:type="dxa"/>
            <w:tcBorders>
              <w:top w:val="nil"/>
            </w:tcBorders>
            <w:noWrap w:val="0"/>
            <w:vAlign w:val="center"/>
          </w:tcPr>
          <w:p w14:paraId="2B671054">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423" w:type="dxa"/>
            <w:tcBorders>
              <w:top w:val="nil"/>
            </w:tcBorders>
            <w:noWrap w:val="0"/>
            <w:vAlign w:val="center"/>
          </w:tcPr>
          <w:p w14:paraId="28B89868">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320" w:type="dxa"/>
            <w:tcBorders>
              <w:top w:val="nil"/>
            </w:tcBorders>
            <w:noWrap w:val="0"/>
            <w:vAlign w:val="center"/>
          </w:tcPr>
          <w:p w14:paraId="5342121B">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560" w:type="dxa"/>
            <w:tcBorders>
              <w:top w:val="nil"/>
            </w:tcBorders>
            <w:noWrap w:val="0"/>
            <w:vAlign w:val="center"/>
          </w:tcPr>
          <w:p w14:paraId="27F5508D">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715" w:type="dxa"/>
            <w:tcBorders>
              <w:top w:val="nil"/>
            </w:tcBorders>
            <w:noWrap w:val="0"/>
            <w:vAlign w:val="center"/>
          </w:tcPr>
          <w:p w14:paraId="0381774A">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417" w:type="dxa"/>
            <w:tcBorders>
              <w:top w:val="nil"/>
            </w:tcBorders>
            <w:noWrap w:val="0"/>
            <w:vAlign w:val="center"/>
          </w:tcPr>
          <w:p w14:paraId="1BD25696">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154" w:type="dxa"/>
            <w:tcBorders>
              <w:top w:val="nil"/>
            </w:tcBorders>
            <w:noWrap w:val="0"/>
            <w:vAlign w:val="center"/>
          </w:tcPr>
          <w:p w14:paraId="2F149C7C">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117" w:type="dxa"/>
            <w:tcBorders>
              <w:top w:val="nil"/>
            </w:tcBorders>
            <w:noWrap w:val="0"/>
            <w:vAlign w:val="center"/>
          </w:tcPr>
          <w:p w14:paraId="4B4C4725">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r>
      <w:tr w14:paraId="555100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25" w:type="dxa"/>
            <w:noWrap w:val="0"/>
            <w:vAlign w:val="center"/>
          </w:tcPr>
          <w:p w14:paraId="07BEA4B0">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420" w:type="dxa"/>
            <w:noWrap w:val="0"/>
            <w:vAlign w:val="center"/>
          </w:tcPr>
          <w:p w14:paraId="27082A88">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992" w:type="dxa"/>
            <w:noWrap w:val="0"/>
            <w:vAlign w:val="center"/>
          </w:tcPr>
          <w:p w14:paraId="514DC1FF">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423" w:type="dxa"/>
            <w:noWrap w:val="0"/>
            <w:vAlign w:val="center"/>
          </w:tcPr>
          <w:p w14:paraId="6C6DFD82">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320" w:type="dxa"/>
            <w:noWrap w:val="0"/>
            <w:vAlign w:val="center"/>
          </w:tcPr>
          <w:p w14:paraId="6A3BE10F">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560" w:type="dxa"/>
            <w:noWrap w:val="0"/>
            <w:vAlign w:val="center"/>
          </w:tcPr>
          <w:p w14:paraId="7CD0A0BC">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715" w:type="dxa"/>
            <w:noWrap w:val="0"/>
            <w:vAlign w:val="center"/>
          </w:tcPr>
          <w:p w14:paraId="5FADA2C0">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417" w:type="dxa"/>
            <w:noWrap w:val="0"/>
            <w:vAlign w:val="center"/>
          </w:tcPr>
          <w:p w14:paraId="4015889F">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154" w:type="dxa"/>
            <w:noWrap w:val="0"/>
            <w:vAlign w:val="center"/>
          </w:tcPr>
          <w:p w14:paraId="30573100">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117" w:type="dxa"/>
            <w:noWrap w:val="0"/>
            <w:vAlign w:val="center"/>
          </w:tcPr>
          <w:p w14:paraId="4A0D77B9">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r>
      <w:tr w14:paraId="612BCA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25" w:type="dxa"/>
            <w:tcBorders>
              <w:top w:val="nil"/>
            </w:tcBorders>
            <w:noWrap w:val="0"/>
            <w:vAlign w:val="center"/>
          </w:tcPr>
          <w:p w14:paraId="6F510068">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420" w:type="dxa"/>
            <w:tcBorders>
              <w:top w:val="nil"/>
            </w:tcBorders>
            <w:noWrap w:val="0"/>
            <w:vAlign w:val="center"/>
          </w:tcPr>
          <w:p w14:paraId="325A9811">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992" w:type="dxa"/>
            <w:tcBorders>
              <w:top w:val="nil"/>
            </w:tcBorders>
            <w:noWrap w:val="0"/>
            <w:vAlign w:val="center"/>
          </w:tcPr>
          <w:p w14:paraId="0D8C2624">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423" w:type="dxa"/>
            <w:tcBorders>
              <w:top w:val="nil"/>
            </w:tcBorders>
            <w:noWrap w:val="0"/>
            <w:vAlign w:val="center"/>
          </w:tcPr>
          <w:p w14:paraId="773979A5">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320" w:type="dxa"/>
            <w:tcBorders>
              <w:top w:val="nil"/>
            </w:tcBorders>
            <w:noWrap w:val="0"/>
            <w:vAlign w:val="center"/>
          </w:tcPr>
          <w:p w14:paraId="20CDC294">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560" w:type="dxa"/>
            <w:tcBorders>
              <w:top w:val="nil"/>
            </w:tcBorders>
            <w:noWrap w:val="0"/>
            <w:vAlign w:val="center"/>
          </w:tcPr>
          <w:p w14:paraId="3D63D61D">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715" w:type="dxa"/>
            <w:tcBorders>
              <w:top w:val="nil"/>
            </w:tcBorders>
            <w:noWrap w:val="0"/>
            <w:vAlign w:val="center"/>
          </w:tcPr>
          <w:p w14:paraId="32B325EB">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417" w:type="dxa"/>
            <w:tcBorders>
              <w:top w:val="nil"/>
            </w:tcBorders>
            <w:noWrap w:val="0"/>
            <w:vAlign w:val="center"/>
          </w:tcPr>
          <w:p w14:paraId="6E92DB97">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154" w:type="dxa"/>
            <w:tcBorders>
              <w:top w:val="nil"/>
            </w:tcBorders>
            <w:noWrap w:val="0"/>
            <w:vAlign w:val="center"/>
          </w:tcPr>
          <w:p w14:paraId="17052C8E">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117" w:type="dxa"/>
            <w:tcBorders>
              <w:top w:val="nil"/>
            </w:tcBorders>
            <w:noWrap w:val="0"/>
            <w:vAlign w:val="center"/>
          </w:tcPr>
          <w:p w14:paraId="366E4544">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r>
      <w:tr w14:paraId="6EC7FF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25" w:type="dxa"/>
            <w:tcBorders>
              <w:top w:val="nil"/>
            </w:tcBorders>
            <w:noWrap w:val="0"/>
            <w:vAlign w:val="center"/>
          </w:tcPr>
          <w:p w14:paraId="268926C3">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420" w:type="dxa"/>
            <w:tcBorders>
              <w:top w:val="nil"/>
            </w:tcBorders>
            <w:noWrap w:val="0"/>
            <w:vAlign w:val="center"/>
          </w:tcPr>
          <w:p w14:paraId="2B807432">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992" w:type="dxa"/>
            <w:tcBorders>
              <w:top w:val="nil"/>
            </w:tcBorders>
            <w:noWrap w:val="0"/>
            <w:vAlign w:val="center"/>
          </w:tcPr>
          <w:p w14:paraId="3C480D83">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423" w:type="dxa"/>
            <w:tcBorders>
              <w:top w:val="nil"/>
            </w:tcBorders>
            <w:noWrap w:val="0"/>
            <w:vAlign w:val="center"/>
          </w:tcPr>
          <w:p w14:paraId="0EC2E458">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320" w:type="dxa"/>
            <w:tcBorders>
              <w:top w:val="nil"/>
            </w:tcBorders>
            <w:noWrap w:val="0"/>
            <w:vAlign w:val="center"/>
          </w:tcPr>
          <w:p w14:paraId="1BB17F42">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560" w:type="dxa"/>
            <w:tcBorders>
              <w:top w:val="nil"/>
            </w:tcBorders>
            <w:noWrap w:val="0"/>
            <w:vAlign w:val="center"/>
          </w:tcPr>
          <w:p w14:paraId="705315E4">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715" w:type="dxa"/>
            <w:tcBorders>
              <w:top w:val="nil"/>
            </w:tcBorders>
            <w:noWrap w:val="0"/>
            <w:vAlign w:val="center"/>
          </w:tcPr>
          <w:p w14:paraId="61FBCC25">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417" w:type="dxa"/>
            <w:tcBorders>
              <w:top w:val="nil"/>
            </w:tcBorders>
            <w:noWrap w:val="0"/>
            <w:vAlign w:val="center"/>
          </w:tcPr>
          <w:p w14:paraId="23565029">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154" w:type="dxa"/>
            <w:tcBorders>
              <w:top w:val="nil"/>
            </w:tcBorders>
            <w:noWrap w:val="0"/>
            <w:vAlign w:val="center"/>
          </w:tcPr>
          <w:p w14:paraId="07DFE016">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117" w:type="dxa"/>
            <w:tcBorders>
              <w:top w:val="nil"/>
            </w:tcBorders>
            <w:noWrap w:val="0"/>
            <w:vAlign w:val="center"/>
          </w:tcPr>
          <w:p w14:paraId="4F3AB07D">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r>
      <w:tr w14:paraId="15A5EA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25" w:type="dxa"/>
            <w:noWrap w:val="0"/>
            <w:vAlign w:val="center"/>
          </w:tcPr>
          <w:p w14:paraId="50BE5248">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420" w:type="dxa"/>
            <w:noWrap w:val="0"/>
            <w:vAlign w:val="center"/>
          </w:tcPr>
          <w:p w14:paraId="54E06CB0">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992" w:type="dxa"/>
            <w:noWrap w:val="0"/>
            <w:vAlign w:val="center"/>
          </w:tcPr>
          <w:p w14:paraId="3D9A838B">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423" w:type="dxa"/>
            <w:noWrap w:val="0"/>
            <w:vAlign w:val="center"/>
          </w:tcPr>
          <w:p w14:paraId="670A9560">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320" w:type="dxa"/>
            <w:noWrap w:val="0"/>
            <w:vAlign w:val="center"/>
          </w:tcPr>
          <w:p w14:paraId="061D46ED">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560" w:type="dxa"/>
            <w:noWrap w:val="0"/>
            <w:vAlign w:val="center"/>
          </w:tcPr>
          <w:p w14:paraId="1B366B24">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715" w:type="dxa"/>
            <w:noWrap w:val="0"/>
            <w:vAlign w:val="center"/>
          </w:tcPr>
          <w:p w14:paraId="57AAF330">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417" w:type="dxa"/>
            <w:noWrap w:val="0"/>
            <w:vAlign w:val="center"/>
          </w:tcPr>
          <w:p w14:paraId="187842CE">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154" w:type="dxa"/>
            <w:noWrap w:val="0"/>
            <w:vAlign w:val="center"/>
          </w:tcPr>
          <w:p w14:paraId="2037BE61">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117" w:type="dxa"/>
            <w:noWrap w:val="0"/>
            <w:vAlign w:val="center"/>
          </w:tcPr>
          <w:p w14:paraId="21BAE8F3">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r>
      <w:tr w14:paraId="5693E0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25" w:type="dxa"/>
            <w:tcBorders>
              <w:top w:val="nil"/>
            </w:tcBorders>
            <w:noWrap w:val="0"/>
            <w:vAlign w:val="center"/>
          </w:tcPr>
          <w:p w14:paraId="7DC7CD02">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420" w:type="dxa"/>
            <w:tcBorders>
              <w:top w:val="nil"/>
            </w:tcBorders>
            <w:noWrap w:val="0"/>
            <w:vAlign w:val="center"/>
          </w:tcPr>
          <w:p w14:paraId="132F07A0">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992" w:type="dxa"/>
            <w:tcBorders>
              <w:top w:val="nil"/>
            </w:tcBorders>
            <w:noWrap w:val="0"/>
            <w:vAlign w:val="center"/>
          </w:tcPr>
          <w:p w14:paraId="1DA1FF15">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423" w:type="dxa"/>
            <w:tcBorders>
              <w:top w:val="nil"/>
            </w:tcBorders>
            <w:noWrap w:val="0"/>
            <w:vAlign w:val="center"/>
          </w:tcPr>
          <w:p w14:paraId="3A2F6A66">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320" w:type="dxa"/>
            <w:tcBorders>
              <w:top w:val="nil"/>
            </w:tcBorders>
            <w:noWrap w:val="0"/>
            <w:vAlign w:val="center"/>
          </w:tcPr>
          <w:p w14:paraId="44CD876A">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560" w:type="dxa"/>
            <w:tcBorders>
              <w:top w:val="nil"/>
            </w:tcBorders>
            <w:noWrap w:val="0"/>
            <w:vAlign w:val="center"/>
          </w:tcPr>
          <w:p w14:paraId="539B9A4F">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715" w:type="dxa"/>
            <w:tcBorders>
              <w:top w:val="nil"/>
            </w:tcBorders>
            <w:noWrap w:val="0"/>
            <w:vAlign w:val="center"/>
          </w:tcPr>
          <w:p w14:paraId="36BFD169">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417" w:type="dxa"/>
            <w:tcBorders>
              <w:top w:val="nil"/>
            </w:tcBorders>
            <w:noWrap w:val="0"/>
            <w:vAlign w:val="center"/>
          </w:tcPr>
          <w:p w14:paraId="4F9B72A1">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154" w:type="dxa"/>
            <w:tcBorders>
              <w:top w:val="nil"/>
            </w:tcBorders>
            <w:noWrap w:val="0"/>
            <w:vAlign w:val="center"/>
          </w:tcPr>
          <w:p w14:paraId="11ABCE0D">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117" w:type="dxa"/>
            <w:tcBorders>
              <w:top w:val="nil"/>
            </w:tcBorders>
            <w:noWrap w:val="0"/>
            <w:vAlign w:val="center"/>
          </w:tcPr>
          <w:p w14:paraId="782F7108">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r>
      <w:tr w14:paraId="11BCF9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25" w:type="dxa"/>
            <w:noWrap w:val="0"/>
            <w:vAlign w:val="center"/>
          </w:tcPr>
          <w:p w14:paraId="6274A78B">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420" w:type="dxa"/>
            <w:noWrap w:val="0"/>
            <w:vAlign w:val="center"/>
          </w:tcPr>
          <w:p w14:paraId="2A706D79">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992" w:type="dxa"/>
            <w:noWrap w:val="0"/>
            <w:vAlign w:val="center"/>
          </w:tcPr>
          <w:p w14:paraId="17358FC9">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423" w:type="dxa"/>
            <w:noWrap w:val="0"/>
            <w:vAlign w:val="center"/>
          </w:tcPr>
          <w:p w14:paraId="2645E288">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320" w:type="dxa"/>
            <w:noWrap w:val="0"/>
            <w:vAlign w:val="center"/>
          </w:tcPr>
          <w:p w14:paraId="30E46EC6">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560" w:type="dxa"/>
            <w:noWrap w:val="0"/>
            <w:vAlign w:val="center"/>
          </w:tcPr>
          <w:p w14:paraId="07FB8DC7">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715" w:type="dxa"/>
            <w:noWrap w:val="0"/>
            <w:vAlign w:val="center"/>
          </w:tcPr>
          <w:p w14:paraId="2CB21923">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417" w:type="dxa"/>
            <w:noWrap w:val="0"/>
            <w:vAlign w:val="center"/>
          </w:tcPr>
          <w:p w14:paraId="12348498">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154" w:type="dxa"/>
            <w:noWrap w:val="0"/>
            <w:vAlign w:val="center"/>
          </w:tcPr>
          <w:p w14:paraId="0679051B">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c>
          <w:tcPr>
            <w:tcW w:w="1117" w:type="dxa"/>
            <w:noWrap w:val="0"/>
            <w:vAlign w:val="center"/>
          </w:tcPr>
          <w:p w14:paraId="777FBA3A">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p>
        </w:tc>
      </w:tr>
    </w:tbl>
    <w:p w14:paraId="43940D3D">
      <w:pPr>
        <w:spacing w:line="440" w:lineRule="exact"/>
        <w:rPr>
          <w:rFonts w:ascii="Times New Roman" w:hAnsi="Times New Roman" w:eastAsia="仿宋_GB2312"/>
          <w:b/>
          <w:color w:val="auto"/>
          <w:sz w:val="30"/>
          <w:szCs w:val="30"/>
          <w:highlight w:val="none"/>
        </w:rPr>
        <w:sectPr>
          <w:pgSz w:w="16838" w:h="11906" w:orient="landscape"/>
          <w:pgMar w:top="1554" w:right="1418" w:bottom="1531" w:left="1418" w:header="851" w:footer="992" w:gutter="0"/>
          <w:cols w:space="720" w:num="1"/>
          <w:titlePg/>
          <w:docGrid w:type="linesAndChars" w:linePitch="312" w:charSpace="0"/>
        </w:sectPr>
      </w:pPr>
    </w:p>
    <w:p w14:paraId="2C740E84">
      <w:pPr>
        <w:spacing w:before="156" w:beforeLines="50" w:after="156" w:afterLines="50" w:line="440" w:lineRule="exact"/>
        <w:jc w:val="left"/>
        <w:outlineLvl w:val="3"/>
        <w:rPr>
          <w:rFonts w:hint="eastAsia" w:ascii="仿宋_GB2312" w:hAnsi="Times New Roman" w:eastAsia="仿宋_GB2312"/>
          <w:color w:val="auto"/>
          <w:sz w:val="30"/>
          <w:szCs w:val="30"/>
          <w:highlight w:val="none"/>
        </w:rPr>
      </w:pPr>
      <w:bookmarkStart w:id="1850" w:name="_Toc19576"/>
      <w:bookmarkStart w:id="1851" w:name="_Toc21353"/>
      <w:r>
        <w:rPr>
          <w:rFonts w:hint="eastAsia" w:ascii="仿宋_GB2312" w:hAnsi="Times New Roman" w:eastAsia="仿宋_GB2312"/>
          <w:color w:val="auto"/>
          <w:sz w:val="30"/>
          <w:szCs w:val="30"/>
          <w:highlight w:val="none"/>
        </w:rPr>
        <w:t>附</w:t>
      </w:r>
      <w:bookmarkStart w:id="1852" w:name="_Toc296347224"/>
      <w:bookmarkStart w:id="1853" w:name="_Toc296944564"/>
      <w:bookmarkStart w:id="1854" w:name="_Toc296891053"/>
      <w:bookmarkStart w:id="1855" w:name="_Toc296503225"/>
      <w:bookmarkStart w:id="1856" w:name="_Toc296891265"/>
      <w:bookmarkStart w:id="1857" w:name="_Toc267261692"/>
      <w:bookmarkStart w:id="1858" w:name="_Toc296346726"/>
      <w:r>
        <w:rPr>
          <w:rFonts w:hint="eastAsia" w:ascii="仿宋_GB2312" w:hAnsi="Times New Roman" w:eastAsia="仿宋_GB2312"/>
          <w:color w:val="auto"/>
          <w:sz w:val="30"/>
          <w:szCs w:val="30"/>
          <w:highlight w:val="none"/>
        </w:rPr>
        <w:t>件2：</w:t>
      </w:r>
      <w:bookmarkEnd w:id="1850"/>
      <w:bookmarkEnd w:id="1851"/>
    </w:p>
    <w:bookmarkEnd w:id="1852"/>
    <w:bookmarkEnd w:id="1853"/>
    <w:bookmarkEnd w:id="1854"/>
    <w:bookmarkEnd w:id="1855"/>
    <w:bookmarkEnd w:id="1856"/>
    <w:bookmarkEnd w:id="1857"/>
    <w:bookmarkEnd w:id="1858"/>
    <w:p w14:paraId="2D6570B3">
      <w:pPr>
        <w:spacing w:before="156" w:beforeLines="50" w:after="156" w:afterLines="50" w:line="440" w:lineRule="exact"/>
        <w:jc w:val="center"/>
        <w:outlineLvl w:val="4"/>
        <w:rPr>
          <w:rFonts w:hint="eastAsia" w:ascii="Times New Roman" w:hAnsi="Times New Roman" w:eastAsia="黑体"/>
          <w:color w:val="auto"/>
          <w:sz w:val="30"/>
          <w:szCs w:val="30"/>
          <w:highlight w:val="none"/>
        </w:rPr>
      </w:pPr>
      <w:bookmarkStart w:id="1859" w:name="_Toc27441"/>
      <w:bookmarkStart w:id="1860" w:name="_Toc87"/>
      <w:r>
        <w:rPr>
          <w:rFonts w:hint="eastAsia" w:ascii="Times New Roman" w:hAnsi="Times New Roman" w:eastAsia="黑体"/>
          <w:color w:val="auto"/>
          <w:sz w:val="30"/>
          <w:szCs w:val="30"/>
          <w:highlight w:val="none"/>
        </w:rPr>
        <w:t>发包人供应材料设备一览表</w:t>
      </w:r>
      <w:bookmarkEnd w:id="1859"/>
      <w:bookmarkEnd w:id="1860"/>
    </w:p>
    <w:tbl>
      <w:tblPr>
        <w:tblStyle w:val="18"/>
        <w:tblW w:w="1070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51"/>
        <w:gridCol w:w="1276"/>
        <w:gridCol w:w="1418"/>
        <w:gridCol w:w="940"/>
        <w:gridCol w:w="851"/>
        <w:gridCol w:w="1044"/>
        <w:gridCol w:w="1191"/>
        <w:gridCol w:w="652"/>
        <w:gridCol w:w="1487"/>
        <w:gridCol w:w="992"/>
      </w:tblGrid>
      <w:tr w14:paraId="5CAD73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1" w:type="dxa"/>
            <w:tcBorders>
              <w:top w:val="single" w:color="auto" w:sz="12" w:space="0"/>
              <w:bottom w:val="double" w:color="auto" w:sz="6" w:space="0"/>
            </w:tcBorders>
            <w:noWrap w:val="0"/>
            <w:vAlign w:val="center"/>
          </w:tcPr>
          <w:p w14:paraId="13C180C0">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r>
              <w:rPr>
                <w:rFonts w:eastAsia="仿宋_GB2312"/>
                <w:color w:val="auto"/>
                <w:sz w:val="21"/>
                <w:szCs w:val="21"/>
                <w:highlight w:val="none"/>
              </w:rPr>
              <w:t>序号</w:t>
            </w:r>
          </w:p>
        </w:tc>
        <w:tc>
          <w:tcPr>
            <w:tcW w:w="1276" w:type="dxa"/>
            <w:tcBorders>
              <w:top w:val="single" w:color="auto" w:sz="12" w:space="0"/>
              <w:bottom w:val="double" w:color="auto" w:sz="6" w:space="0"/>
            </w:tcBorders>
            <w:noWrap w:val="0"/>
            <w:vAlign w:val="center"/>
          </w:tcPr>
          <w:p w14:paraId="581B2073">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r>
              <w:rPr>
                <w:rFonts w:eastAsia="仿宋_GB2312"/>
                <w:color w:val="auto"/>
                <w:sz w:val="21"/>
                <w:szCs w:val="21"/>
                <w:highlight w:val="none"/>
              </w:rPr>
              <w:t>材料、设备品种</w:t>
            </w:r>
          </w:p>
        </w:tc>
        <w:tc>
          <w:tcPr>
            <w:tcW w:w="1418" w:type="dxa"/>
            <w:tcBorders>
              <w:top w:val="single" w:color="auto" w:sz="12" w:space="0"/>
              <w:bottom w:val="double" w:color="auto" w:sz="6" w:space="0"/>
            </w:tcBorders>
            <w:noWrap w:val="0"/>
            <w:vAlign w:val="center"/>
          </w:tcPr>
          <w:p w14:paraId="03F69BCF">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r>
              <w:rPr>
                <w:rFonts w:eastAsia="仿宋_GB2312"/>
                <w:color w:val="auto"/>
                <w:sz w:val="21"/>
                <w:szCs w:val="21"/>
                <w:highlight w:val="none"/>
              </w:rPr>
              <w:t>规格型号</w:t>
            </w:r>
          </w:p>
        </w:tc>
        <w:tc>
          <w:tcPr>
            <w:tcW w:w="940" w:type="dxa"/>
            <w:tcBorders>
              <w:top w:val="single" w:color="auto" w:sz="12" w:space="0"/>
              <w:bottom w:val="double" w:color="auto" w:sz="6" w:space="0"/>
            </w:tcBorders>
            <w:noWrap w:val="0"/>
            <w:vAlign w:val="center"/>
          </w:tcPr>
          <w:p w14:paraId="58AA1D1C">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r>
              <w:rPr>
                <w:rFonts w:eastAsia="仿宋_GB2312"/>
                <w:color w:val="auto"/>
                <w:sz w:val="21"/>
                <w:szCs w:val="21"/>
                <w:highlight w:val="none"/>
              </w:rPr>
              <w:t>单位</w:t>
            </w:r>
          </w:p>
        </w:tc>
        <w:tc>
          <w:tcPr>
            <w:tcW w:w="851" w:type="dxa"/>
            <w:tcBorders>
              <w:top w:val="single" w:color="auto" w:sz="12" w:space="0"/>
              <w:bottom w:val="double" w:color="auto" w:sz="6" w:space="0"/>
            </w:tcBorders>
            <w:noWrap w:val="0"/>
            <w:vAlign w:val="center"/>
          </w:tcPr>
          <w:p w14:paraId="5A444FA6">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r>
              <w:rPr>
                <w:rFonts w:eastAsia="仿宋_GB2312"/>
                <w:color w:val="auto"/>
                <w:sz w:val="21"/>
                <w:szCs w:val="21"/>
                <w:highlight w:val="none"/>
              </w:rPr>
              <w:t>数量</w:t>
            </w:r>
          </w:p>
        </w:tc>
        <w:tc>
          <w:tcPr>
            <w:tcW w:w="1044" w:type="dxa"/>
            <w:tcBorders>
              <w:top w:val="single" w:color="auto" w:sz="12" w:space="0"/>
              <w:bottom w:val="double" w:color="auto" w:sz="6" w:space="0"/>
            </w:tcBorders>
            <w:noWrap w:val="0"/>
            <w:vAlign w:val="center"/>
          </w:tcPr>
          <w:p w14:paraId="70D3F0C5">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r>
              <w:rPr>
                <w:rFonts w:eastAsia="仿宋_GB2312"/>
                <w:color w:val="auto"/>
                <w:sz w:val="21"/>
                <w:szCs w:val="21"/>
                <w:highlight w:val="none"/>
              </w:rPr>
              <w:t>单价</w:t>
            </w:r>
            <w:r>
              <w:rPr>
                <w:rFonts w:hint="eastAsia" w:eastAsia="仿宋_GB2312"/>
                <w:color w:val="auto"/>
                <w:sz w:val="21"/>
                <w:szCs w:val="21"/>
                <w:highlight w:val="none"/>
              </w:rPr>
              <w:t>（元）</w:t>
            </w:r>
          </w:p>
        </w:tc>
        <w:tc>
          <w:tcPr>
            <w:tcW w:w="1191" w:type="dxa"/>
            <w:tcBorders>
              <w:top w:val="single" w:color="auto" w:sz="12" w:space="0"/>
              <w:bottom w:val="double" w:color="auto" w:sz="6" w:space="0"/>
            </w:tcBorders>
            <w:noWrap w:val="0"/>
            <w:vAlign w:val="center"/>
          </w:tcPr>
          <w:p w14:paraId="2F5988EB">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r>
              <w:rPr>
                <w:rFonts w:eastAsia="仿宋_GB2312"/>
                <w:color w:val="auto"/>
                <w:sz w:val="21"/>
                <w:szCs w:val="21"/>
                <w:highlight w:val="none"/>
              </w:rPr>
              <w:t>质量等级</w:t>
            </w:r>
          </w:p>
        </w:tc>
        <w:tc>
          <w:tcPr>
            <w:tcW w:w="652" w:type="dxa"/>
            <w:tcBorders>
              <w:top w:val="single" w:color="auto" w:sz="12" w:space="0"/>
              <w:bottom w:val="double" w:color="auto" w:sz="6" w:space="0"/>
            </w:tcBorders>
            <w:noWrap w:val="0"/>
            <w:vAlign w:val="center"/>
          </w:tcPr>
          <w:p w14:paraId="59D77976">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r>
              <w:rPr>
                <w:rFonts w:eastAsia="仿宋_GB2312"/>
                <w:color w:val="auto"/>
                <w:sz w:val="21"/>
                <w:szCs w:val="21"/>
                <w:highlight w:val="none"/>
              </w:rPr>
              <w:t>供应时间</w:t>
            </w:r>
          </w:p>
        </w:tc>
        <w:tc>
          <w:tcPr>
            <w:tcW w:w="1487" w:type="dxa"/>
            <w:tcBorders>
              <w:top w:val="single" w:color="auto" w:sz="12" w:space="0"/>
              <w:bottom w:val="double" w:color="auto" w:sz="6" w:space="0"/>
            </w:tcBorders>
            <w:noWrap w:val="0"/>
            <w:vAlign w:val="center"/>
          </w:tcPr>
          <w:p w14:paraId="072F2B9E">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r>
              <w:rPr>
                <w:rFonts w:eastAsia="仿宋_GB2312"/>
                <w:color w:val="auto"/>
                <w:sz w:val="21"/>
                <w:szCs w:val="21"/>
                <w:highlight w:val="none"/>
              </w:rPr>
              <w:t>送达地点</w:t>
            </w:r>
          </w:p>
        </w:tc>
        <w:tc>
          <w:tcPr>
            <w:tcW w:w="992" w:type="dxa"/>
            <w:tcBorders>
              <w:top w:val="single" w:color="auto" w:sz="12" w:space="0"/>
              <w:bottom w:val="double" w:color="auto" w:sz="6" w:space="0"/>
            </w:tcBorders>
            <w:noWrap w:val="0"/>
            <w:vAlign w:val="center"/>
          </w:tcPr>
          <w:p w14:paraId="3F260813">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r>
              <w:rPr>
                <w:rFonts w:eastAsia="仿宋_GB2312"/>
                <w:color w:val="auto"/>
                <w:sz w:val="21"/>
                <w:szCs w:val="21"/>
                <w:highlight w:val="none"/>
              </w:rPr>
              <w:t>备注</w:t>
            </w:r>
          </w:p>
        </w:tc>
      </w:tr>
      <w:tr w14:paraId="2CB810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double" w:color="auto" w:sz="6" w:space="0"/>
              <w:bottom w:val="single" w:color="auto" w:sz="6" w:space="0"/>
            </w:tcBorders>
            <w:noWrap w:val="0"/>
            <w:vAlign w:val="center"/>
          </w:tcPr>
          <w:p w14:paraId="3F1ECCB1">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1276" w:type="dxa"/>
            <w:tcBorders>
              <w:top w:val="double" w:color="auto" w:sz="6" w:space="0"/>
              <w:bottom w:val="single" w:color="auto" w:sz="6" w:space="0"/>
            </w:tcBorders>
            <w:noWrap w:val="0"/>
            <w:vAlign w:val="center"/>
          </w:tcPr>
          <w:p w14:paraId="6F5B7001">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1418" w:type="dxa"/>
            <w:tcBorders>
              <w:top w:val="double" w:color="auto" w:sz="6" w:space="0"/>
              <w:bottom w:val="single" w:color="auto" w:sz="6" w:space="0"/>
            </w:tcBorders>
            <w:noWrap w:val="0"/>
            <w:vAlign w:val="center"/>
          </w:tcPr>
          <w:p w14:paraId="1A33C251">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940" w:type="dxa"/>
            <w:tcBorders>
              <w:top w:val="double" w:color="auto" w:sz="6" w:space="0"/>
              <w:bottom w:val="single" w:color="auto" w:sz="6" w:space="0"/>
            </w:tcBorders>
            <w:noWrap w:val="0"/>
            <w:vAlign w:val="center"/>
          </w:tcPr>
          <w:p w14:paraId="69E43D98">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851" w:type="dxa"/>
            <w:tcBorders>
              <w:top w:val="double" w:color="auto" w:sz="6" w:space="0"/>
              <w:bottom w:val="single" w:color="auto" w:sz="6" w:space="0"/>
            </w:tcBorders>
            <w:noWrap w:val="0"/>
            <w:vAlign w:val="center"/>
          </w:tcPr>
          <w:p w14:paraId="69BE4B24">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1044" w:type="dxa"/>
            <w:tcBorders>
              <w:top w:val="double" w:color="auto" w:sz="6" w:space="0"/>
              <w:bottom w:val="single" w:color="auto" w:sz="6" w:space="0"/>
            </w:tcBorders>
            <w:noWrap w:val="0"/>
            <w:vAlign w:val="center"/>
          </w:tcPr>
          <w:p w14:paraId="285D5A7D">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1191" w:type="dxa"/>
            <w:tcBorders>
              <w:top w:val="double" w:color="auto" w:sz="6" w:space="0"/>
              <w:bottom w:val="single" w:color="auto" w:sz="6" w:space="0"/>
            </w:tcBorders>
            <w:noWrap w:val="0"/>
            <w:vAlign w:val="center"/>
          </w:tcPr>
          <w:p w14:paraId="176E8227">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652" w:type="dxa"/>
            <w:tcBorders>
              <w:top w:val="double" w:color="auto" w:sz="6" w:space="0"/>
              <w:bottom w:val="single" w:color="auto" w:sz="6" w:space="0"/>
            </w:tcBorders>
            <w:noWrap w:val="0"/>
            <w:vAlign w:val="center"/>
          </w:tcPr>
          <w:p w14:paraId="2DC7E903">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1487" w:type="dxa"/>
            <w:tcBorders>
              <w:top w:val="double" w:color="auto" w:sz="6" w:space="0"/>
              <w:bottom w:val="single" w:color="auto" w:sz="6" w:space="0"/>
            </w:tcBorders>
            <w:noWrap w:val="0"/>
            <w:vAlign w:val="center"/>
          </w:tcPr>
          <w:p w14:paraId="516C71DF">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992" w:type="dxa"/>
            <w:tcBorders>
              <w:top w:val="double" w:color="auto" w:sz="6" w:space="0"/>
              <w:bottom w:val="single" w:color="auto" w:sz="6" w:space="0"/>
            </w:tcBorders>
            <w:noWrap w:val="0"/>
            <w:vAlign w:val="center"/>
          </w:tcPr>
          <w:p w14:paraId="055499C8">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r>
      <w:tr w14:paraId="441609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nil"/>
            </w:tcBorders>
            <w:noWrap w:val="0"/>
            <w:vAlign w:val="center"/>
          </w:tcPr>
          <w:p w14:paraId="7BE52666">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1276" w:type="dxa"/>
            <w:tcBorders>
              <w:top w:val="nil"/>
            </w:tcBorders>
            <w:noWrap w:val="0"/>
            <w:vAlign w:val="center"/>
          </w:tcPr>
          <w:p w14:paraId="73EDB0A1">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1418" w:type="dxa"/>
            <w:tcBorders>
              <w:top w:val="nil"/>
            </w:tcBorders>
            <w:noWrap w:val="0"/>
            <w:vAlign w:val="center"/>
          </w:tcPr>
          <w:p w14:paraId="6B858818">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940" w:type="dxa"/>
            <w:tcBorders>
              <w:top w:val="nil"/>
            </w:tcBorders>
            <w:noWrap w:val="0"/>
            <w:vAlign w:val="center"/>
          </w:tcPr>
          <w:p w14:paraId="4D0D97B0">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851" w:type="dxa"/>
            <w:tcBorders>
              <w:top w:val="nil"/>
            </w:tcBorders>
            <w:noWrap w:val="0"/>
            <w:vAlign w:val="center"/>
          </w:tcPr>
          <w:p w14:paraId="5D30FB3F">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1044" w:type="dxa"/>
            <w:tcBorders>
              <w:top w:val="nil"/>
            </w:tcBorders>
            <w:noWrap w:val="0"/>
            <w:vAlign w:val="center"/>
          </w:tcPr>
          <w:p w14:paraId="071F64F0">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1191" w:type="dxa"/>
            <w:tcBorders>
              <w:top w:val="nil"/>
            </w:tcBorders>
            <w:noWrap w:val="0"/>
            <w:vAlign w:val="center"/>
          </w:tcPr>
          <w:p w14:paraId="244D9DE7">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652" w:type="dxa"/>
            <w:tcBorders>
              <w:top w:val="nil"/>
            </w:tcBorders>
            <w:noWrap w:val="0"/>
            <w:vAlign w:val="center"/>
          </w:tcPr>
          <w:p w14:paraId="50E70F94">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1487" w:type="dxa"/>
            <w:tcBorders>
              <w:top w:val="nil"/>
            </w:tcBorders>
            <w:noWrap w:val="0"/>
            <w:vAlign w:val="center"/>
          </w:tcPr>
          <w:p w14:paraId="1469CAC1">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992" w:type="dxa"/>
            <w:tcBorders>
              <w:top w:val="nil"/>
            </w:tcBorders>
            <w:noWrap w:val="0"/>
            <w:vAlign w:val="center"/>
          </w:tcPr>
          <w:p w14:paraId="2A3154D8">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r>
      <w:tr w14:paraId="465D5E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5F224CA4">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1276" w:type="dxa"/>
            <w:noWrap w:val="0"/>
            <w:vAlign w:val="center"/>
          </w:tcPr>
          <w:p w14:paraId="0679F303">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1418" w:type="dxa"/>
            <w:noWrap w:val="0"/>
            <w:vAlign w:val="center"/>
          </w:tcPr>
          <w:p w14:paraId="5946872C">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940" w:type="dxa"/>
            <w:noWrap w:val="0"/>
            <w:vAlign w:val="center"/>
          </w:tcPr>
          <w:p w14:paraId="45CDE669">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851" w:type="dxa"/>
            <w:noWrap w:val="0"/>
            <w:vAlign w:val="center"/>
          </w:tcPr>
          <w:p w14:paraId="46B0F0F9">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1044" w:type="dxa"/>
            <w:noWrap w:val="0"/>
            <w:vAlign w:val="center"/>
          </w:tcPr>
          <w:p w14:paraId="1C2FD2E3">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1191" w:type="dxa"/>
            <w:noWrap w:val="0"/>
            <w:vAlign w:val="center"/>
          </w:tcPr>
          <w:p w14:paraId="377F87CC">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652" w:type="dxa"/>
            <w:noWrap w:val="0"/>
            <w:vAlign w:val="center"/>
          </w:tcPr>
          <w:p w14:paraId="44182148">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1487" w:type="dxa"/>
            <w:noWrap w:val="0"/>
            <w:vAlign w:val="center"/>
          </w:tcPr>
          <w:p w14:paraId="7F0E4BCD">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992" w:type="dxa"/>
            <w:noWrap w:val="0"/>
            <w:vAlign w:val="center"/>
          </w:tcPr>
          <w:p w14:paraId="61176DE7">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r>
      <w:tr w14:paraId="192FD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56ED2E74">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1276" w:type="dxa"/>
            <w:noWrap w:val="0"/>
            <w:vAlign w:val="center"/>
          </w:tcPr>
          <w:p w14:paraId="0AA27743">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1418" w:type="dxa"/>
            <w:noWrap w:val="0"/>
            <w:vAlign w:val="center"/>
          </w:tcPr>
          <w:p w14:paraId="0DE8C6A7">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940" w:type="dxa"/>
            <w:noWrap w:val="0"/>
            <w:vAlign w:val="center"/>
          </w:tcPr>
          <w:p w14:paraId="678B8130">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851" w:type="dxa"/>
            <w:noWrap w:val="0"/>
            <w:vAlign w:val="center"/>
          </w:tcPr>
          <w:p w14:paraId="69CC3FE0">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1044" w:type="dxa"/>
            <w:noWrap w:val="0"/>
            <w:vAlign w:val="center"/>
          </w:tcPr>
          <w:p w14:paraId="5F9418A0">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1191" w:type="dxa"/>
            <w:noWrap w:val="0"/>
            <w:vAlign w:val="center"/>
          </w:tcPr>
          <w:p w14:paraId="48586D84">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652" w:type="dxa"/>
            <w:noWrap w:val="0"/>
            <w:vAlign w:val="center"/>
          </w:tcPr>
          <w:p w14:paraId="0FD8BF39">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1487" w:type="dxa"/>
            <w:noWrap w:val="0"/>
            <w:vAlign w:val="center"/>
          </w:tcPr>
          <w:p w14:paraId="2897726B">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992" w:type="dxa"/>
            <w:noWrap w:val="0"/>
            <w:vAlign w:val="center"/>
          </w:tcPr>
          <w:p w14:paraId="27CF2587">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r>
      <w:tr w14:paraId="4F2D35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3D9D0E3A">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1276" w:type="dxa"/>
            <w:noWrap w:val="0"/>
            <w:vAlign w:val="center"/>
          </w:tcPr>
          <w:p w14:paraId="33DBA810">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1418" w:type="dxa"/>
            <w:noWrap w:val="0"/>
            <w:vAlign w:val="center"/>
          </w:tcPr>
          <w:p w14:paraId="6DAE4FCF">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940" w:type="dxa"/>
            <w:noWrap w:val="0"/>
            <w:vAlign w:val="center"/>
          </w:tcPr>
          <w:p w14:paraId="33DFF02E">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851" w:type="dxa"/>
            <w:noWrap w:val="0"/>
            <w:vAlign w:val="center"/>
          </w:tcPr>
          <w:p w14:paraId="6EB503B6">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1044" w:type="dxa"/>
            <w:noWrap w:val="0"/>
            <w:vAlign w:val="center"/>
          </w:tcPr>
          <w:p w14:paraId="498A5647">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1191" w:type="dxa"/>
            <w:noWrap w:val="0"/>
            <w:vAlign w:val="center"/>
          </w:tcPr>
          <w:p w14:paraId="7C71DB67">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652" w:type="dxa"/>
            <w:noWrap w:val="0"/>
            <w:vAlign w:val="center"/>
          </w:tcPr>
          <w:p w14:paraId="327A5D1C">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1487" w:type="dxa"/>
            <w:noWrap w:val="0"/>
            <w:vAlign w:val="center"/>
          </w:tcPr>
          <w:p w14:paraId="4AFC5330">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992" w:type="dxa"/>
            <w:noWrap w:val="0"/>
            <w:vAlign w:val="center"/>
          </w:tcPr>
          <w:p w14:paraId="54453FE5">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r>
      <w:tr w14:paraId="1BD81A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7AB2C0AE">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1276" w:type="dxa"/>
            <w:noWrap w:val="0"/>
            <w:vAlign w:val="center"/>
          </w:tcPr>
          <w:p w14:paraId="5F8135F9">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1418" w:type="dxa"/>
            <w:noWrap w:val="0"/>
            <w:vAlign w:val="center"/>
          </w:tcPr>
          <w:p w14:paraId="14783917">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940" w:type="dxa"/>
            <w:noWrap w:val="0"/>
            <w:vAlign w:val="center"/>
          </w:tcPr>
          <w:p w14:paraId="622AA288">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851" w:type="dxa"/>
            <w:noWrap w:val="0"/>
            <w:vAlign w:val="center"/>
          </w:tcPr>
          <w:p w14:paraId="7191D0EC">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1044" w:type="dxa"/>
            <w:noWrap w:val="0"/>
            <w:vAlign w:val="center"/>
          </w:tcPr>
          <w:p w14:paraId="17FEE484">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1191" w:type="dxa"/>
            <w:noWrap w:val="0"/>
            <w:vAlign w:val="center"/>
          </w:tcPr>
          <w:p w14:paraId="7AB1A6B7">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652" w:type="dxa"/>
            <w:noWrap w:val="0"/>
            <w:vAlign w:val="center"/>
          </w:tcPr>
          <w:p w14:paraId="24940C5B">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1487" w:type="dxa"/>
            <w:noWrap w:val="0"/>
            <w:vAlign w:val="center"/>
          </w:tcPr>
          <w:p w14:paraId="0173CDEF">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992" w:type="dxa"/>
            <w:noWrap w:val="0"/>
            <w:vAlign w:val="center"/>
          </w:tcPr>
          <w:p w14:paraId="46A5DDB8">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r>
      <w:tr w14:paraId="325479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62CC4D32">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1276" w:type="dxa"/>
            <w:noWrap w:val="0"/>
            <w:vAlign w:val="center"/>
          </w:tcPr>
          <w:p w14:paraId="4F7F4076">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1418" w:type="dxa"/>
            <w:noWrap w:val="0"/>
            <w:vAlign w:val="center"/>
          </w:tcPr>
          <w:p w14:paraId="040570F2">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940" w:type="dxa"/>
            <w:noWrap w:val="0"/>
            <w:vAlign w:val="center"/>
          </w:tcPr>
          <w:p w14:paraId="631A432F">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851" w:type="dxa"/>
            <w:noWrap w:val="0"/>
            <w:vAlign w:val="center"/>
          </w:tcPr>
          <w:p w14:paraId="5A291D18">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1044" w:type="dxa"/>
            <w:noWrap w:val="0"/>
            <w:vAlign w:val="center"/>
          </w:tcPr>
          <w:p w14:paraId="5CAE25FD">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1191" w:type="dxa"/>
            <w:noWrap w:val="0"/>
            <w:vAlign w:val="center"/>
          </w:tcPr>
          <w:p w14:paraId="4C950FFB">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652" w:type="dxa"/>
            <w:noWrap w:val="0"/>
            <w:vAlign w:val="center"/>
          </w:tcPr>
          <w:p w14:paraId="30840BCD">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1487" w:type="dxa"/>
            <w:noWrap w:val="0"/>
            <w:vAlign w:val="center"/>
          </w:tcPr>
          <w:p w14:paraId="36021EB0">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992" w:type="dxa"/>
            <w:noWrap w:val="0"/>
            <w:vAlign w:val="center"/>
          </w:tcPr>
          <w:p w14:paraId="487B8E7C">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r>
      <w:tr w14:paraId="4E9AF4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7ED8B1EC">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1276" w:type="dxa"/>
            <w:noWrap w:val="0"/>
            <w:vAlign w:val="center"/>
          </w:tcPr>
          <w:p w14:paraId="074DA8DC">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1418" w:type="dxa"/>
            <w:noWrap w:val="0"/>
            <w:vAlign w:val="center"/>
          </w:tcPr>
          <w:p w14:paraId="425299D7">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940" w:type="dxa"/>
            <w:noWrap w:val="0"/>
            <w:vAlign w:val="center"/>
          </w:tcPr>
          <w:p w14:paraId="3D75F3B0">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851" w:type="dxa"/>
            <w:noWrap w:val="0"/>
            <w:vAlign w:val="center"/>
          </w:tcPr>
          <w:p w14:paraId="198A8CB6">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1044" w:type="dxa"/>
            <w:noWrap w:val="0"/>
            <w:vAlign w:val="center"/>
          </w:tcPr>
          <w:p w14:paraId="1FA400B7">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1191" w:type="dxa"/>
            <w:noWrap w:val="0"/>
            <w:vAlign w:val="center"/>
          </w:tcPr>
          <w:p w14:paraId="449CBDC0">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652" w:type="dxa"/>
            <w:noWrap w:val="0"/>
            <w:vAlign w:val="center"/>
          </w:tcPr>
          <w:p w14:paraId="4B55975D">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1487" w:type="dxa"/>
            <w:noWrap w:val="0"/>
            <w:vAlign w:val="center"/>
          </w:tcPr>
          <w:p w14:paraId="101C7F75">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992" w:type="dxa"/>
            <w:noWrap w:val="0"/>
            <w:vAlign w:val="center"/>
          </w:tcPr>
          <w:p w14:paraId="047E0203">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r>
      <w:tr w14:paraId="5367E5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4C0DE43A">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1276" w:type="dxa"/>
            <w:noWrap w:val="0"/>
            <w:vAlign w:val="center"/>
          </w:tcPr>
          <w:p w14:paraId="373EFDC2">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1418" w:type="dxa"/>
            <w:noWrap w:val="0"/>
            <w:vAlign w:val="center"/>
          </w:tcPr>
          <w:p w14:paraId="63247819">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940" w:type="dxa"/>
            <w:noWrap w:val="0"/>
            <w:vAlign w:val="center"/>
          </w:tcPr>
          <w:p w14:paraId="7590521F">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851" w:type="dxa"/>
            <w:noWrap w:val="0"/>
            <w:vAlign w:val="center"/>
          </w:tcPr>
          <w:p w14:paraId="01E0131D">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1044" w:type="dxa"/>
            <w:noWrap w:val="0"/>
            <w:vAlign w:val="center"/>
          </w:tcPr>
          <w:p w14:paraId="3C425840">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1191" w:type="dxa"/>
            <w:noWrap w:val="0"/>
            <w:vAlign w:val="center"/>
          </w:tcPr>
          <w:p w14:paraId="6E80C7E2">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652" w:type="dxa"/>
            <w:noWrap w:val="0"/>
            <w:vAlign w:val="center"/>
          </w:tcPr>
          <w:p w14:paraId="590C68AD">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1487" w:type="dxa"/>
            <w:noWrap w:val="0"/>
            <w:vAlign w:val="center"/>
          </w:tcPr>
          <w:p w14:paraId="403D6993">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992" w:type="dxa"/>
            <w:noWrap w:val="0"/>
            <w:vAlign w:val="center"/>
          </w:tcPr>
          <w:p w14:paraId="05A0D5BF">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r>
      <w:tr w14:paraId="47F263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35BA7D0C">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1276" w:type="dxa"/>
            <w:noWrap w:val="0"/>
            <w:vAlign w:val="center"/>
          </w:tcPr>
          <w:p w14:paraId="68BF2008">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1418" w:type="dxa"/>
            <w:noWrap w:val="0"/>
            <w:vAlign w:val="center"/>
          </w:tcPr>
          <w:p w14:paraId="6DA7CC8C">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940" w:type="dxa"/>
            <w:noWrap w:val="0"/>
            <w:vAlign w:val="center"/>
          </w:tcPr>
          <w:p w14:paraId="52F87A04">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851" w:type="dxa"/>
            <w:noWrap w:val="0"/>
            <w:vAlign w:val="center"/>
          </w:tcPr>
          <w:p w14:paraId="7A299F82">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1044" w:type="dxa"/>
            <w:noWrap w:val="0"/>
            <w:vAlign w:val="center"/>
          </w:tcPr>
          <w:p w14:paraId="34C07865">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1191" w:type="dxa"/>
            <w:noWrap w:val="0"/>
            <w:vAlign w:val="center"/>
          </w:tcPr>
          <w:p w14:paraId="5ED1829B">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652" w:type="dxa"/>
            <w:noWrap w:val="0"/>
            <w:vAlign w:val="center"/>
          </w:tcPr>
          <w:p w14:paraId="03D11EEC">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1487" w:type="dxa"/>
            <w:noWrap w:val="0"/>
            <w:vAlign w:val="center"/>
          </w:tcPr>
          <w:p w14:paraId="5566B7E9">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c>
          <w:tcPr>
            <w:tcW w:w="992" w:type="dxa"/>
            <w:noWrap w:val="0"/>
            <w:vAlign w:val="center"/>
          </w:tcPr>
          <w:p w14:paraId="739FA207">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jc w:val="center"/>
              <w:textAlignment w:val="auto"/>
              <w:rPr>
                <w:rFonts w:eastAsia="仿宋_GB2312"/>
                <w:color w:val="auto"/>
                <w:sz w:val="21"/>
                <w:szCs w:val="21"/>
                <w:highlight w:val="none"/>
              </w:rPr>
            </w:pPr>
          </w:p>
        </w:tc>
      </w:tr>
      <w:tr w14:paraId="3DA458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4205E05C">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1276" w:type="dxa"/>
            <w:noWrap w:val="0"/>
            <w:vAlign w:val="center"/>
          </w:tcPr>
          <w:p w14:paraId="64BC9913">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1418" w:type="dxa"/>
            <w:noWrap w:val="0"/>
            <w:vAlign w:val="center"/>
          </w:tcPr>
          <w:p w14:paraId="7642A6AE">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940" w:type="dxa"/>
            <w:noWrap w:val="0"/>
            <w:vAlign w:val="center"/>
          </w:tcPr>
          <w:p w14:paraId="3F52E1E3">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851" w:type="dxa"/>
            <w:noWrap w:val="0"/>
            <w:vAlign w:val="center"/>
          </w:tcPr>
          <w:p w14:paraId="7C87E2E8">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1044" w:type="dxa"/>
            <w:noWrap w:val="0"/>
            <w:vAlign w:val="center"/>
          </w:tcPr>
          <w:p w14:paraId="2D570384">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1191" w:type="dxa"/>
            <w:noWrap w:val="0"/>
            <w:vAlign w:val="center"/>
          </w:tcPr>
          <w:p w14:paraId="1679F93F">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652" w:type="dxa"/>
            <w:noWrap w:val="0"/>
            <w:vAlign w:val="center"/>
          </w:tcPr>
          <w:p w14:paraId="54520AEC">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1487" w:type="dxa"/>
            <w:noWrap w:val="0"/>
            <w:vAlign w:val="center"/>
          </w:tcPr>
          <w:p w14:paraId="7A291F77">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992" w:type="dxa"/>
            <w:noWrap w:val="0"/>
            <w:vAlign w:val="center"/>
          </w:tcPr>
          <w:p w14:paraId="17A401F3">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r>
      <w:tr w14:paraId="003F69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62DA59DC">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1276" w:type="dxa"/>
            <w:noWrap w:val="0"/>
            <w:vAlign w:val="center"/>
          </w:tcPr>
          <w:p w14:paraId="49658D30">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1418" w:type="dxa"/>
            <w:noWrap w:val="0"/>
            <w:vAlign w:val="center"/>
          </w:tcPr>
          <w:p w14:paraId="5539785E">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940" w:type="dxa"/>
            <w:noWrap w:val="0"/>
            <w:vAlign w:val="center"/>
          </w:tcPr>
          <w:p w14:paraId="1256BC42">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851" w:type="dxa"/>
            <w:noWrap w:val="0"/>
            <w:vAlign w:val="center"/>
          </w:tcPr>
          <w:p w14:paraId="2B15B113">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1044" w:type="dxa"/>
            <w:noWrap w:val="0"/>
            <w:vAlign w:val="center"/>
          </w:tcPr>
          <w:p w14:paraId="02FC6E10">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1191" w:type="dxa"/>
            <w:noWrap w:val="0"/>
            <w:vAlign w:val="center"/>
          </w:tcPr>
          <w:p w14:paraId="78BE60D8">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652" w:type="dxa"/>
            <w:noWrap w:val="0"/>
            <w:vAlign w:val="center"/>
          </w:tcPr>
          <w:p w14:paraId="66E7C9EB">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1487" w:type="dxa"/>
            <w:noWrap w:val="0"/>
            <w:vAlign w:val="center"/>
          </w:tcPr>
          <w:p w14:paraId="02FEB3AF">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992" w:type="dxa"/>
            <w:noWrap w:val="0"/>
            <w:vAlign w:val="center"/>
          </w:tcPr>
          <w:p w14:paraId="41A36393">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r>
      <w:tr w14:paraId="6CBECB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6FA9CAE2">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1276" w:type="dxa"/>
            <w:noWrap w:val="0"/>
            <w:vAlign w:val="center"/>
          </w:tcPr>
          <w:p w14:paraId="1D564BFF">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1418" w:type="dxa"/>
            <w:noWrap w:val="0"/>
            <w:vAlign w:val="center"/>
          </w:tcPr>
          <w:p w14:paraId="4C24CA6B">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940" w:type="dxa"/>
            <w:noWrap w:val="0"/>
            <w:vAlign w:val="center"/>
          </w:tcPr>
          <w:p w14:paraId="5D4C69BC">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851" w:type="dxa"/>
            <w:noWrap w:val="0"/>
            <w:vAlign w:val="center"/>
          </w:tcPr>
          <w:p w14:paraId="15DBF120">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1044" w:type="dxa"/>
            <w:noWrap w:val="0"/>
            <w:vAlign w:val="center"/>
          </w:tcPr>
          <w:p w14:paraId="485F9727">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1191" w:type="dxa"/>
            <w:noWrap w:val="0"/>
            <w:vAlign w:val="center"/>
          </w:tcPr>
          <w:p w14:paraId="1EC8EB9D">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652" w:type="dxa"/>
            <w:noWrap w:val="0"/>
            <w:vAlign w:val="center"/>
          </w:tcPr>
          <w:p w14:paraId="2D33C068">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1487" w:type="dxa"/>
            <w:noWrap w:val="0"/>
            <w:vAlign w:val="center"/>
          </w:tcPr>
          <w:p w14:paraId="0C531B49">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992" w:type="dxa"/>
            <w:noWrap w:val="0"/>
            <w:vAlign w:val="center"/>
          </w:tcPr>
          <w:p w14:paraId="0646BF82">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r>
      <w:tr w14:paraId="65A6B8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3FC5BD4B">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1276" w:type="dxa"/>
            <w:noWrap w:val="0"/>
            <w:vAlign w:val="center"/>
          </w:tcPr>
          <w:p w14:paraId="0031E712">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1418" w:type="dxa"/>
            <w:noWrap w:val="0"/>
            <w:vAlign w:val="center"/>
          </w:tcPr>
          <w:p w14:paraId="277F8DD4">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940" w:type="dxa"/>
            <w:noWrap w:val="0"/>
            <w:vAlign w:val="center"/>
          </w:tcPr>
          <w:p w14:paraId="355F85CA">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851" w:type="dxa"/>
            <w:noWrap w:val="0"/>
            <w:vAlign w:val="center"/>
          </w:tcPr>
          <w:p w14:paraId="180B158F">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1044" w:type="dxa"/>
            <w:noWrap w:val="0"/>
            <w:vAlign w:val="center"/>
          </w:tcPr>
          <w:p w14:paraId="4BFD5005">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1191" w:type="dxa"/>
            <w:noWrap w:val="0"/>
            <w:vAlign w:val="center"/>
          </w:tcPr>
          <w:p w14:paraId="7DDD6CC2">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652" w:type="dxa"/>
            <w:noWrap w:val="0"/>
            <w:vAlign w:val="center"/>
          </w:tcPr>
          <w:p w14:paraId="407C2024">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1487" w:type="dxa"/>
            <w:noWrap w:val="0"/>
            <w:vAlign w:val="center"/>
          </w:tcPr>
          <w:p w14:paraId="1E1BBD10">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992" w:type="dxa"/>
            <w:noWrap w:val="0"/>
            <w:vAlign w:val="center"/>
          </w:tcPr>
          <w:p w14:paraId="67D342FB">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r>
      <w:tr w14:paraId="1F8849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3F8E15D7">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1276" w:type="dxa"/>
            <w:noWrap w:val="0"/>
            <w:vAlign w:val="center"/>
          </w:tcPr>
          <w:p w14:paraId="51DC9741">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1418" w:type="dxa"/>
            <w:noWrap w:val="0"/>
            <w:vAlign w:val="center"/>
          </w:tcPr>
          <w:p w14:paraId="6903F378">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940" w:type="dxa"/>
            <w:noWrap w:val="0"/>
            <w:vAlign w:val="center"/>
          </w:tcPr>
          <w:p w14:paraId="5398CC1F">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851" w:type="dxa"/>
            <w:noWrap w:val="0"/>
            <w:vAlign w:val="center"/>
          </w:tcPr>
          <w:p w14:paraId="08493AD0">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1044" w:type="dxa"/>
            <w:noWrap w:val="0"/>
            <w:vAlign w:val="center"/>
          </w:tcPr>
          <w:p w14:paraId="007B12E1">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1191" w:type="dxa"/>
            <w:noWrap w:val="0"/>
            <w:vAlign w:val="center"/>
          </w:tcPr>
          <w:p w14:paraId="5645CD28">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652" w:type="dxa"/>
            <w:noWrap w:val="0"/>
            <w:vAlign w:val="center"/>
          </w:tcPr>
          <w:p w14:paraId="6A1F304A">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1487" w:type="dxa"/>
            <w:noWrap w:val="0"/>
            <w:vAlign w:val="center"/>
          </w:tcPr>
          <w:p w14:paraId="7E93CFDD">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992" w:type="dxa"/>
            <w:noWrap w:val="0"/>
            <w:vAlign w:val="center"/>
          </w:tcPr>
          <w:p w14:paraId="2D1C6D79">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r>
      <w:tr w14:paraId="59A248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64469AE0">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1276" w:type="dxa"/>
            <w:noWrap w:val="0"/>
            <w:vAlign w:val="center"/>
          </w:tcPr>
          <w:p w14:paraId="2B6B9F91">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1418" w:type="dxa"/>
            <w:noWrap w:val="0"/>
            <w:vAlign w:val="center"/>
          </w:tcPr>
          <w:p w14:paraId="4F536DC1">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940" w:type="dxa"/>
            <w:noWrap w:val="0"/>
            <w:vAlign w:val="center"/>
          </w:tcPr>
          <w:p w14:paraId="1087B250">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851" w:type="dxa"/>
            <w:noWrap w:val="0"/>
            <w:vAlign w:val="center"/>
          </w:tcPr>
          <w:p w14:paraId="73B57CDE">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1044" w:type="dxa"/>
            <w:noWrap w:val="0"/>
            <w:vAlign w:val="center"/>
          </w:tcPr>
          <w:p w14:paraId="5CBB2AC2">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1191" w:type="dxa"/>
            <w:noWrap w:val="0"/>
            <w:vAlign w:val="center"/>
          </w:tcPr>
          <w:p w14:paraId="028132C3">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652" w:type="dxa"/>
            <w:noWrap w:val="0"/>
            <w:vAlign w:val="center"/>
          </w:tcPr>
          <w:p w14:paraId="6C21B93C">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1487" w:type="dxa"/>
            <w:noWrap w:val="0"/>
            <w:vAlign w:val="center"/>
          </w:tcPr>
          <w:p w14:paraId="0F277020">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992" w:type="dxa"/>
            <w:noWrap w:val="0"/>
            <w:vAlign w:val="center"/>
          </w:tcPr>
          <w:p w14:paraId="740AADE6">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r>
      <w:tr w14:paraId="11DC22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409B1F80">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1276" w:type="dxa"/>
            <w:noWrap w:val="0"/>
            <w:vAlign w:val="center"/>
          </w:tcPr>
          <w:p w14:paraId="3147D9F6">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1418" w:type="dxa"/>
            <w:noWrap w:val="0"/>
            <w:vAlign w:val="center"/>
          </w:tcPr>
          <w:p w14:paraId="47F6BF75">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940" w:type="dxa"/>
            <w:noWrap w:val="0"/>
            <w:vAlign w:val="center"/>
          </w:tcPr>
          <w:p w14:paraId="0B220010">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851" w:type="dxa"/>
            <w:noWrap w:val="0"/>
            <w:vAlign w:val="center"/>
          </w:tcPr>
          <w:p w14:paraId="384242A9">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1044" w:type="dxa"/>
            <w:noWrap w:val="0"/>
            <w:vAlign w:val="center"/>
          </w:tcPr>
          <w:p w14:paraId="75B0402C">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1191" w:type="dxa"/>
            <w:noWrap w:val="0"/>
            <w:vAlign w:val="center"/>
          </w:tcPr>
          <w:p w14:paraId="3957808D">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652" w:type="dxa"/>
            <w:noWrap w:val="0"/>
            <w:vAlign w:val="center"/>
          </w:tcPr>
          <w:p w14:paraId="11C2BF76">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1487" w:type="dxa"/>
            <w:noWrap w:val="0"/>
            <w:vAlign w:val="center"/>
          </w:tcPr>
          <w:p w14:paraId="515AD4D7">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992" w:type="dxa"/>
            <w:noWrap w:val="0"/>
            <w:vAlign w:val="center"/>
          </w:tcPr>
          <w:p w14:paraId="4AB67A60">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r>
      <w:tr w14:paraId="3DDBFC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31955DB9">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1276" w:type="dxa"/>
            <w:noWrap w:val="0"/>
            <w:vAlign w:val="center"/>
          </w:tcPr>
          <w:p w14:paraId="62DCDE3E">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1418" w:type="dxa"/>
            <w:noWrap w:val="0"/>
            <w:vAlign w:val="center"/>
          </w:tcPr>
          <w:p w14:paraId="2FEDACE9">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940" w:type="dxa"/>
            <w:noWrap w:val="0"/>
            <w:vAlign w:val="center"/>
          </w:tcPr>
          <w:p w14:paraId="25360BB1">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851" w:type="dxa"/>
            <w:noWrap w:val="0"/>
            <w:vAlign w:val="center"/>
          </w:tcPr>
          <w:p w14:paraId="325A0884">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1044" w:type="dxa"/>
            <w:noWrap w:val="0"/>
            <w:vAlign w:val="center"/>
          </w:tcPr>
          <w:p w14:paraId="48E3C98F">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1191" w:type="dxa"/>
            <w:noWrap w:val="0"/>
            <w:vAlign w:val="center"/>
          </w:tcPr>
          <w:p w14:paraId="2D174775">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652" w:type="dxa"/>
            <w:noWrap w:val="0"/>
            <w:vAlign w:val="center"/>
          </w:tcPr>
          <w:p w14:paraId="70250CEA">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1487" w:type="dxa"/>
            <w:noWrap w:val="0"/>
            <w:vAlign w:val="center"/>
          </w:tcPr>
          <w:p w14:paraId="51D51D9D">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c>
          <w:tcPr>
            <w:tcW w:w="992" w:type="dxa"/>
            <w:noWrap w:val="0"/>
            <w:vAlign w:val="center"/>
          </w:tcPr>
          <w:p w14:paraId="5A32B95B">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_GB2312"/>
                <w:color w:val="auto"/>
                <w:sz w:val="21"/>
                <w:szCs w:val="21"/>
                <w:highlight w:val="none"/>
              </w:rPr>
            </w:pPr>
          </w:p>
        </w:tc>
      </w:tr>
    </w:tbl>
    <w:p w14:paraId="5559CE43">
      <w:pPr>
        <w:spacing w:line="440" w:lineRule="exact"/>
        <w:rPr>
          <w:rFonts w:ascii="Times New Roman" w:hAnsi="Times New Roman" w:eastAsia="仿宋_GB2312"/>
          <w:color w:val="auto"/>
          <w:sz w:val="30"/>
          <w:szCs w:val="30"/>
          <w:highlight w:val="none"/>
        </w:rPr>
      </w:pPr>
    </w:p>
    <w:p w14:paraId="1883B332">
      <w:pPr>
        <w:spacing w:before="156" w:beforeLines="50" w:after="156" w:afterLines="50" w:line="440" w:lineRule="exact"/>
        <w:jc w:val="left"/>
        <w:outlineLvl w:val="3"/>
        <w:rPr>
          <w:rFonts w:hint="eastAsia" w:ascii="仿宋_GB2312" w:hAnsi="Times New Roman" w:eastAsia="仿宋_GB2312"/>
          <w:color w:val="auto"/>
          <w:sz w:val="30"/>
          <w:szCs w:val="30"/>
          <w:highlight w:val="none"/>
        </w:rPr>
      </w:pPr>
      <w:bookmarkStart w:id="1861" w:name="_Toc15070"/>
      <w:bookmarkStart w:id="1862" w:name="_Toc19728"/>
      <w:r>
        <w:rPr>
          <w:rFonts w:hint="eastAsia" w:ascii="仿宋_GB2312" w:hAnsi="Times New Roman" w:eastAsia="仿宋_GB2312"/>
          <w:color w:val="auto"/>
          <w:sz w:val="30"/>
          <w:szCs w:val="30"/>
          <w:highlight w:val="none"/>
        </w:rPr>
        <w:t>附</w:t>
      </w:r>
      <w:bookmarkStart w:id="1863" w:name="_Toc296891266"/>
      <w:bookmarkStart w:id="1864" w:name="_Toc296346727"/>
      <w:bookmarkStart w:id="1865" w:name="_Toc296891054"/>
      <w:bookmarkStart w:id="1866" w:name="_Toc296347225"/>
      <w:bookmarkStart w:id="1867" w:name="_Toc296503226"/>
      <w:bookmarkStart w:id="1868" w:name="_Toc267261693"/>
      <w:bookmarkStart w:id="1869" w:name="_Toc296944565"/>
      <w:r>
        <w:rPr>
          <w:rFonts w:hint="eastAsia" w:ascii="仿宋_GB2312" w:hAnsi="Times New Roman" w:eastAsia="仿宋_GB2312"/>
          <w:color w:val="auto"/>
          <w:sz w:val="30"/>
          <w:szCs w:val="30"/>
          <w:highlight w:val="none"/>
        </w:rPr>
        <w:t>件3：</w:t>
      </w:r>
      <w:bookmarkEnd w:id="1861"/>
      <w:bookmarkEnd w:id="1862"/>
      <w:bookmarkEnd w:id="1863"/>
      <w:bookmarkEnd w:id="1864"/>
      <w:bookmarkEnd w:id="1865"/>
      <w:bookmarkEnd w:id="1866"/>
      <w:bookmarkEnd w:id="1867"/>
      <w:bookmarkEnd w:id="1868"/>
      <w:bookmarkEnd w:id="1869"/>
      <w:r>
        <w:rPr>
          <w:rFonts w:hint="eastAsia" w:ascii="仿宋_GB2312" w:hAnsi="Times New Roman" w:eastAsia="仿宋_GB2312"/>
          <w:color w:val="auto"/>
          <w:sz w:val="30"/>
          <w:szCs w:val="30"/>
          <w:highlight w:val="none"/>
        </w:rPr>
        <w:t xml:space="preserve">    </w:t>
      </w:r>
    </w:p>
    <w:p w14:paraId="7194BAA9">
      <w:pPr>
        <w:spacing w:before="156" w:beforeLines="50" w:after="156" w:afterLines="50" w:line="440" w:lineRule="exact"/>
        <w:jc w:val="center"/>
        <w:outlineLvl w:val="4"/>
        <w:rPr>
          <w:rFonts w:ascii="Times New Roman" w:hAnsi="Times New Roman" w:eastAsia="黑体"/>
          <w:color w:val="auto"/>
          <w:sz w:val="30"/>
          <w:szCs w:val="30"/>
          <w:highlight w:val="none"/>
        </w:rPr>
      </w:pPr>
      <w:bookmarkStart w:id="1870" w:name="_Toc22228"/>
      <w:bookmarkStart w:id="1871" w:name="_Toc31286"/>
      <w:r>
        <w:rPr>
          <w:rFonts w:ascii="Times New Roman" w:hAnsi="Times New Roman" w:eastAsia="黑体"/>
          <w:color w:val="auto"/>
          <w:sz w:val="30"/>
          <w:szCs w:val="30"/>
          <w:highlight w:val="none"/>
        </w:rPr>
        <w:t>工程质量保修书</w:t>
      </w:r>
      <w:bookmarkEnd w:id="1870"/>
      <w:bookmarkEnd w:id="1871"/>
    </w:p>
    <w:p w14:paraId="0E559C6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发包人（全称）：</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 xml:space="preserve"> </w:t>
      </w:r>
    </w:p>
    <w:p w14:paraId="35B2E35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　　承包人（全称）：</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 xml:space="preserve"> </w:t>
      </w:r>
    </w:p>
    <w:p w14:paraId="63FFE70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仿宋_GB2312"/>
          <w:color w:val="auto"/>
          <w:sz w:val="21"/>
          <w:szCs w:val="21"/>
          <w:highlight w:val="none"/>
        </w:rPr>
      </w:pPr>
    </w:p>
    <w:p w14:paraId="218740D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　　发包人和承包人根据《中华人民共和国建筑法》和《建设工程质量管理条例》，经协商一致就</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（工程全称）签订工程质量保修书。</w:t>
      </w:r>
    </w:p>
    <w:p w14:paraId="236420BC">
      <w:pPr>
        <w:keepNext w:val="0"/>
        <w:keepLines w:val="0"/>
        <w:pageBreakBefore w:val="0"/>
        <w:widowControl w:val="0"/>
        <w:kinsoku/>
        <w:wordWrap/>
        <w:overflowPunct/>
        <w:topLinePunct w:val="0"/>
        <w:autoSpaceDE/>
        <w:autoSpaceDN/>
        <w:bidi w:val="0"/>
        <w:adjustRightInd w:val="0"/>
        <w:snapToGrid w:val="0"/>
        <w:spacing w:line="360" w:lineRule="auto"/>
        <w:textAlignment w:val="auto"/>
        <w:outlineLvl w:val="9"/>
        <w:rPr>
          <w:rFonts w:ascii="Times New Roman" w:hAnsi="Times New Roman" w:eastAsia="黑体"/>
          <w:color w:val="auto"/>
          <w:sz w:val="21"/>
          <w:szCs w:val="21"/>
          <w:highlight w:val="none"/>
        </w:rPr>
      </w:pPr>
      <w:r>
        <w:rPr>
          <w:rFonts w:ascii="Times New Roman" w:hAnsi="Times New Roman" w:eastAsia="黑体"/>
          <w:color w:val="auto"/>
          <w:sz w:val="21"/>
          <w:szCs w:val="21"/>
          <w:highlight w:val="none"/>
        </w:rPr>
        <w:t>　　</w:t>
      </w:r>
      <w:bookmarkStart w:id="1872" w:name="_Toc5830"/>
      <w:r>
        <w:rPr>
          <w:rFonts w:ascii="Times New Roman" w:hAnsi="Times New Roman" w:eastAsia="黑体"/>
          <w:color w:val="auto"/>
          <w:sz w:val="21"/>
          <w:szCs w:val="21"/>
          <w:highlight w:val="none"/>
        </w:rPr>
        <w:t>一、工程质量保修范围和内容</w:t>
      </w:r>
      <w:bookmarkEnd w:id="1872"/>
    </w:p>
    <w:p w14:paraId="4E38D2C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　　承包人在质量保修期内，按照有关法律规定和合同约定，承担工程质量保修责任。</w:t>
      </w:r>
    </w:p>
    <w:p w14:paraId="40D839D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6614AB6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　　</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562945F1">
      <w:pPr>
        <w:keepNext w:val="0"/>
        <w:keepLines w:val="0"/>
        <w:pageBreakBefore w:val="0"/>
        <w:widowControl w:val="0"/>
        <w:kinsoku/>
        <w:wordWrap/>
        <w:overflowPunct/>
        <w:topLinePunct w:val="0"/>
        <w:autoSpaceDE/>
        <w:autoSpaceDN/>
        <w:bidi w:val="0"/>
        <w:adjustRightInd w:val="0"/>
        <w:snapToGrid w:val="0"/>
        <w:spacing w:line="360" w:lineRule="auto"/>
        <w:textAlignment w:val="auto"/>
        <w:outlineLvl w:val="9"/>
        <w:rPr>
          <w:rFonts w:ascii="Times New Roman" w:hAnsi="Times New Roman" w:eastAsia="黑体" w:cs="Times New Roman"/>
          <w:color w:val="auto"/>
          <w:sz w:val="21"/>
          <w:szCs w:val="21"/>
          <w:highlight w:val="none"/>
        </w:rPr>
      </w:pPr>
      <w:r>
        <w:rPr>
          <w:rFonts w:ascii="Times New Roman" w:hAnsi="Times New Roman" w:eastAsia="黑体" w:cs="Times New Roman"/>
          <w:color w:val="auto"/>
          <w:sz w:val="21"/>
          <w:szCs w:val="21"/>
          <w:highlight w:val="none"/>
        </w:rPr>
        <w:t>　　</w:t>
      </w:r>
      <w:bookmarkStart w:id="1873" w:name="_Toc16447"/>
      <w:r>
        <w:rPr>
          <w:rFonts w:ascii="Times New Roman" w:hAnsi="Times New Roman" w:eastAsia="黑体" w:cs="Times New Roman"/>
          <w:color w:val="auto"/>
          <w:sz w:val="21"/>
          <w:szCs w:val="21"/>
          <w:highlight w:val="none"/>
        </w:rPr>
        <w:t>二、质量保修期</w:t>
      </w:r>
      <w:bookmarkEnd w:id="1873"/>
    </w:p>
    <w:p w14:paraId="276A6A6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根据《建设工程质量管理条例》及有关规定，工程的质量保修期如下：</w:t>
      </w:r>
    </w:p>
    <w:p w14:paraId="1F3FBD4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仿宋_GB2312" w:eastAsia="仿宋_GB2312"/>
          <w:color w:val="auto"/>
          <w:sz w:val="21"/>
          <w:szCs w:val="21"/>
          <w:highlight w:val="none"/>
        </w:rPr>
      </w:pPr>
      <w:r>
        <w:rPr>
          <w:rFonts w:hint="eastAsia" w:ascii="仿宋_GB2312" w:eastAsia="仿宋_GB2312"/>
          <w:color w:val="auto"/>
          <w:sz w:val="21"/>
          <w:szCs w:val="21"/>
          <w:highlight w:val="none"/>
          <w:lang w:eastAsia="zh-CN"/>
        </w:rPr>
        <w:t>1.</w:t>
      </w:r>
      <w:r>
        <w:rPr>
          <w:rFonts w:hint="eastAsia" w:ascii="仿宋_GB2312" w:eastAsia="仿宋_GB2312"/>
          <w:color w:val="auto"/>
          <w:sz w:val="21"/>
          <w:szCs w:val="21"/>
          <w:highlight w:val="none"/>
        </w:rPr>
        <w:t>地基基础工程和主体结构工程为设计文件规定的工程合理使用年限；</w:t>
      </w:r>
    </w:p>
    <w:p w14:paraId="4318820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hint="eastAsia" w:eastAsia="仿宋_GB2312"/>
          <w:color w:val="auto"/>
          <w:sz w:val="21"/>
          <w:szCs w:val="21"/>
          <w:highlight w:val="none"/>
          <w:lang w:eastAsia="zh-CN"/>
        </w:rPr>
        <w:t>2.</w:t>
      </w:r>
      <w:r>
        <w:rPr>
          <w:rFonts w:ascii="Times New Roman" w:hAnsi="Times New Roman" w:eastAsia="仿宋_GB2312"/>
          <w:color w:val="auto"/>
          <w:sz w:val="21"/>
          <w:szCs w:val="21"/>
          <w:highlight w:val="none"/>
        </w:rPr>
        <w:t>屋面防水工程、有防水要求的卫生间、房间和外墙面的防渗</w:t>
      </w:r>
      <w:r>
        <w:rPr>
          <w:rFonts w:hint="eastAsia" w:ascii="Times New Roman" w:hAnsi="Times New Roman" w:eastAsia="仿宋_GB2312"/>
          <w:color w:val="auto"/>
          <w:sz w:val="21"/>
          <w:szCs w:val="21"/>
          <w:highlight w:val="none"/>
        </w:rPr>
        <w:t xml:space="preserve">     为</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年；</w:t>
      </w:r>
    </w:p>
    <w:p w14:paraId="0749BB4C">
      <w:pPr>
        <w:keepNext w:val="0"/>
        <w:keepLines w:val="0"/>
        <w:pageBreakBefore w:val="0"/>
        <w:widowControl w:val="0"/>
        <w:kinsoku/>
        <w:wordWrap/>
        <w:overflowPunct/>
        <w:topLinePunct w:val="0"/>
        <w:autoSpaceDE/>
        <w:autoSpaceDN/>
        <w:bidi w:val="0"/>
        <w:adjustRightInd w:val="0"/>
        <w:snapToGrid w:val="0"/>
        <w:spacing w:line="360" w:lineRule="auto"/>
        <w:ind w:left="420" w:leftChars="200" w:firstLine="105" w:firstLineChars="50"/>
        <w:textAlignment w:val="auto"/>
        <w:rPr>
          <w:rFonts w:ascii="Times New Roman" w:hAnsi="Times New Roman" w:eastAsia="仿宋_GB2312"/>
          <w:color w:val="auto"/>
          <w:sz w:val="21"/>
          <w:szCs w:val="21"/>
          <w:highlight w:val="none"/>
        </w:rPr>
      </w:pPr>
      <w:r>
        <w:rPr>
          <w:rFonts w:hint="eastAsia" w:eastAsia="仿宋_GB2312"/>
          <w:color w:val="auto"/>
          <w:sz w:val="21"/>
          <w:szCs w:val="21"/>
          <w:highlight w:val="none"/>
          <w:lang w:eastAsia="zh-CN"/>
        </w:rPr>
        <w:t>3.</w:t>
      </w:r>
      <w:r>
        <w:rPr>
          <w:rFonts w:ascii="Times New Roman" w:hAnsi="Times New Roman" w:eastAsia="仿宋_GB2312"/>
          <w:color w:val="auto"/>
          <w:sz w:val="21"/>
          <w:szCs w:val="21"/>
          <w:highlight w:val="none"/>
        </w:rPr>
        <w:t>装修工程为</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年；</w:t>
      </w:r>
    </w:p>
    <w:p w14:paraId="61B78F3E">
      <w:pPr>
        <w:keepNext w:val="0"/>
        <w:keepLines w:val="0"/>
        <w:pageBreakBefore w:val="0"/>
        <w:widowControl w:val="0"/>
        <w:kinsoku/>
        <w:wordWrap/>
        <w:overflowPunct/>
        <w:topLinePunct w:val="0"/>
        <w:autoSpaceDE/>
        <w:autoSpaceDN/>
        <w:bidi w:val="0"/>
        <w:adjustRightInd w:val="0"/>
        <w:snapToGrid w:val="0"/>
        <w:spacing w:line="360" w:lineRule="auto"/>
        <w:ind w:left="420" w:leftChars="200" w:firstLine="105" w:firstLineChars="50"/>
        <w:textAlignment w:val="auto"/>
        <w:rPr>
          <w:rFonts w:ascii="Times New Roman" w:hAnsi="Times New Roman" w:eastAsia="仿宋_GB2312"/>
          <w:color w:val="auto"/>
          <w:sz w:val="21"/>
          <w:szCs w:val="21"/>
          <w:highlight w:val="none"/>
        </w:rPr>
      </w:pPr>
      <w:r>
        <w:rPr>
          <w:rFonts w:hint="eastAsia" w:eastAsia="仿宋_GB2312"/>
          <w:color w:val="auto"/>
          <w:sz w:val="21"/>
          <w:szCs w:val="21"/>
          <w:highlight w:val="none"/>
          <w:lang w:eastAsia="zh-CN"/>
        </w:rPr>
        <w:t>4.</w:t>
      </w:r>
      <w:r>
        <w:rPr>
          <w:rFonts w:ascii="Times New Roman" w:hAnsi="Times New Roman" w:eastAsia="仿宋_GB2312"/>
          <w:color w:val="auto"/>
          <w:sz w:val="21"/>
          <w:szCs w:val="21"/>
          <w:highlight w:val="none"/>
        </w:rPr>
        <w:t>电气管线、给排水管道、设备安装工程为</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年；</w:t>
      </w:r>
    </w:p>
    <w:p w14:paraId="0545AFB1">
      <w:pPr>
        <w:keepNext w:val="0"/>
        <w:keepLines w:val="0"/>
        <w:pageBreakBefore w:val="0"/>
        <w:widowControl w:val="0"/>
        <w:kinsoku/>
        <w:wordWrap/>
        <w:overflowPunct/>
        <w:topLinePunct w:val="0"/>
        <w:autoSpaceDE/>
        <w:autoSpaceDN/>
        <w:bidi w:val="0"/>
        <w:adjustRightInd w:val="0"/>
        <w:snapToGrid w:val="0"/>
        <w:spacing w:line="360" w:lineRule="auto"/>
        <w:ind w:left="420" w:leftChars="200" w:firstLine="105" w:firstLineChars="50"/>
        <w:textAlignment w:val="auto"/>
        <w:rPr>
          <w:rFonts w:ascii="Times New Roman" w:hAnsi="Times New Roman" w:eastAsia="仿宋_GB2312"/>
          <w:color w:val="auto"/>
          <w:sz w:val="21"/>
          <w:szCs w:val="21"/>
          <w:highlight w:val="none"/>
        </w:rPr>
      </w:pPr>
      <w:r>
        <w:rPr>
          <w:rFonts w:hint="eastAsia" w:eastAsia="仿宋_GB2312"/>
          <w:color w:val="auto"/>
          <w:sz w:val="21"/>
          <w:szCs w:val="21"/>
          <w:highlight w:val="none"/>
          <w:lang w:eastAsia="zh-CN"/>
        </w:rPr>
        <w:t>5.</w:t>
      </w:r>
      <w:r>
        <w:rPr>
          <w:rFonts w:ascii="Times New Roman" w:hAnsi="Times New Roman" w:eastAsia="仿宋_GB2312"/>
          <w:color w:val="auto"/>
          <w:sz w:val="21"/>
          <w:szCs w:val="21"/>
          <w:highlight w:val="none"/>
        </w:rPr>
        <w:t>供热与供冷系统为</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个采暖期、供冷期；</w:t>
      </w:r>
    </w:p>
    <w:p w14:paraId="564984FA">
      <w:pPr>
        <w:keepNext w:val="0"/>
        <w:keepLines w:val="0"/>
        <w:pageBreakBefore w:val="0"/>
        <w:widowControl w:val="0"/>
        <w:kinsoku/>
        <w:wordWrap/>
        <w:overflowPunct/>
        <w:topLinePunct w:val="0"/>
        <w:autoSpaceDE/>
        <w:autoSpaceDN/>
        <w:bidi w:val="0"/>
        <w:adjustRightInd w:val="0"/>
        <w:snapToGrid w:val="0"/>
        <w:spacing w:line="360" w:lineRule="auto"/>
        <w:ind w:left="420" w:leftChars="200" w:firstLine="105" w:firstLineChars="50"/>
        <w:textAlignment w:val="auto"/>
        <w:rPr>
          <w:rFonts w:ascii="Times New Roman" w:hAnsi="Times New Roman" w:eastAsia="仿宋_GB2312"/>
          <w:color w:val="auto"/>
          <w:sz w:val="21"/>
          <w:szCs w:val="21"/>
          <w:highlight w:val="none"/>
        </w:rPr>
      </w:pPr>
      <w:r>
        <w:rPr>
          <w:rFonts w:hint="eastAsia" w:eastAsia="仿宋_GB2312"/>
          <w:color w:val="auto"/>
          <w:sz w:val="21"/>
          <w:szCs w:val="21"/>
          <w:highlight w:val="none"/>
          <w:lang w:eastAsia="zh-CN"/>
        </w:rPr>
        <w:t>6.</w:t>
      </w:r>
      <w:r>
        <w:rPr>
          <w:rFonts w:ascii="Times New Roman" w:hAnsi="Times New Roman" w:eastAsia="仿宋_GB2312"/>
          <w:color w:val="auto"/>
          <w:sz w:val="21"/>
          <w:szCs w:val="21"/>
          <w:highlight w:val="none"/>
        </w:rPr>
        <w:t>住宅小区内的给排水设施、道路等配套工程为</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年；</w:t>
      </w:r>
    </w:p>
    <w:p w14:paraId="68D0FDAE">
      <w:pPr>
        <w:keepNext w:val="0"/>
        <w:keepLines w:val="0"/>
        <w:pageBreakBefore w:val="0"/>
        <w:widowControl w:val="0"/>
        <w:kinsoku/>
        <w:wordWrap/>
        <w:overflowPunct/>
        <w:topLinePunct w:val="0"/>
        <w:autoSpaceDE/>
        <w:autoSpaceDN/>
        <w:bidi w:val="0"/>
        <w:adjustRightInd w:val="0"/>
        <w:snapToGrid w:val="0"/>
        <w:spacing w:line="360" w:lineRule="auto"/>
        <w:ind w:left="420" w:leftChars="200" w:firstLine="105" w:firstLineChars="50"/>
        <w:textAlignment w:val="auto"/>
        <w:rPr>
          <w:rFonts w:ascii="Times New Roman" w:hAnsi="Times New Roman" w:eastAsia="仿宋_GB2312"/>
          <w:color w:val="auto"/>
          <w:sz w:val="21"/>
          <w:szCs w:val="21"/>
          <w:highlight w:val="none"/>
        </w:rPr>
      </w:pPr>
      <w:r>
        <w:rPr>
          <w:rFonts w:hint="eastAsia" w:eastAsia="仿宋_GB2312"/>
          <w:color w:val="auto"/>
          <w:sz w:val="21"/>
          <w:szCs w:val="21"/>
          <w:highlight w:val="none"/>
          <w:lang w:eastAsia="zh-CN"/>
        </w:rPr>
        <w:t>7.</w:t>
      </w:r>
      <w:r>
        <w:rPr>
          <w:rFonts w:ascii="Times New Roman" w:hAnsi="Times New Roman" w:eastAsia="仿宋_GB2312"/>
          <w:color w:val="auto"/>
          <w:sz w:val="21"/>
          <w:szCs w:val="21"/>
          <w:highlight w:val="none"/>
        </w:rPr>
        <w:t>其他项目保修期限约定如下：</w:t>
      </w:r>
    </w:p>
    <w:p w14:paraId="6496F00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6F1A0EA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　　质量保修期自工程竣工验收合格之日起计算。</w:t>
      </w:r>
    </w:p>
    <w:p w14:paraId="37FB36A7">
      <w:pPr>
        <w:keepNext w:val="0"/>
        <w:keepLines w:val="0"/>
        <w:pageBreakBefore w:val="0"/>
        <w:widowControl w:val="0"/>
        <w:kinsoku/>
        <w:wordWrap/>
        <w:overflowPunct/>
        <w:topLinePunct w:val="0"/>
        <w:autoSpaceDE/>
        <w:autoSpaceDN/>
        <w:bidi w:val="0"/>
        <w:adjustRightInd w:val="0"/>
        <w:snapToGrid w:val="0"/>
        <w:spacing w:line="360" w:lineRule="auto"/>
        <w:textAlignment w:val="auto"/>
        <w:outlineLvl w:val="9"/>
        <w:rPr>
          <w:rFonts w:ascii="Times New Roman" w:hAnsi="Times New Roman" w:eastAsia="黑体" w:cs="Times New Roman"/>
          <w:color w:val="auto"/>
          <w:sz w:val="21"/>
          <w:szCs w:val="21"/>
          <w:highlight w:val="none"/>
        </w:rPr>
      </w:pPr>
      <w:bookmarkStart w:id="1874" w:name="_Toc22916"/>
      <w:r>
        <w:rPr>
          <w:rFonts w:ascii="Times New Roman" w:hAnsi="Times New Roman" w:eastAsia="黑体" w:cs="Times New Roman"/>
          <w:color w:val="auto"/>
          <w:sz w:val="21"/>
          <w:szCs w:val="21"/>
          <w:highlight w:val="none"/>
        </w:rPr>
        <w:t>三、缺陷责任期</w:t>
      </w:r>
      <w:bookmarkEnd w:id="1874"/>
    </w:p>
    <w:p w14:paraId="34ABDB5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工程缺陷责任期为</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个月，缺陷责任期自工程</w:t>
      </w:r>
      <w:r>
        <w:rPr>
          <w:rFonts w:hint="eastAsia" w:ascii="Times New Roman" w:hAnsi="Times New Roman" w:eastAsia="仿宋_GB2312"/>
          <w:color w:val="auto"/>
          <w:sz w:val="21"/>
          <w:szCs w:val="21"/>
          <w:highlight w:val="none"/>
        </w:rPr>
        <w:t>通过竣工验收</w:t>
      </w:r>
      <w:r>
        <w:rPr>
          <w:rFonts w:ascii="Times New Roman" w:hAnsi="Times New Roman" w:eastAsia="仿宋_GB2312"/>
          <w:color w:val="auto"/>
          <w:sz w:val="21"/>
          <w:szCs w:val="21"/>
          <w:highlight w:val="none"/>
        </w:rPr>
        <w:t>之日起计算。单位工程先于全部工程进行验收，单位工程缺陷责任期自单位工程验收合格之日起算。</w:t>
      </w:r>
    </w:p>
    <w:p w14:paraId="4223106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Times New Roman" w:hAnsi="Times New Roman" w:eastAsia="黑体" w:cs="Times New Roman"/>
          <w:color w:val="auto"/>
          <w:sz w:val="21"/>
          <w:szCs w:val="21"/>
          <w:highlight w:val="none"/>
        </w:rPr>
      </w:pPr>
      <w:r>
        <w:rPr>
          <w:rFonts w:ascii="Times New Roman" w:hAnsi="Times New Roman" w:eastAsia="仿宋_GB2312"/>
          <w:color w:val="auto"/>
          <w:sz w:val="21"/>
          <w:szCs w:val="21"/>
          <w:highlight w:val="none"/>
        </w:rPr>
        <w:t>缺陷责任期终止后，发包人应退还剩余的质量保证金。</w:t>
      </w:r>
    </w:p>
    <w:p w14:paraId="553A7B92">
      <w:pPr>
        <w:keepNext w:val="0"/>
        <w:keepLines w:val="0"/>
        <w:pageBreakBefore w:val="0"/>
        <w:widowControl w:val="0"/>
        <w:kinsoku/>
        <w:wordWrap/>
        <w:overflowPunct/>
        <w:topLinePunct w:val="0"/>
        <w:autoSpaceDE/>
        <w:autoSpaceDN/>
        <w:bidi w:val="0"/>
        <w:adjustRightInd w:val="0"/>
        <w:snapToGrid w:val="0"/>
        <w:spacing w:line="360" w:lineRule="auto"/>
        <w:textAlignment w:val="auto"/>
        <w:outlineLvl w:val="9"/>
        <w:rPr>
          <w:rFonts w:ascii="Times New Roman" w:hAnsi="Times New Roman" w:eastAsia="黑体" w:cs="Times New Roman"/>
          <w:color w:val="auto"/>
          <w:sz w:val="21"/>
          <w:szCs w:val="21"/>
          <w:highlight w:val="none"/>
        </w:rPr>
      </w:pPr>
      <w:bookmarkStart w:id="1875" w:name="_Toc21272"/>
      <w:r>
        <w:rPr>
          <w:rFonts w:ascii="Times New Roman" w:hAnsi="Times New Roman" w:eastAsia="黑体" w:cs="Times New Roman"/>
          <w:color w:val="auto"/>
          <w:sz w:val="21"/>
          <w:szCs w:val="21"/>
          <w:highlight w:val="none"/>
        </w:rPr>
        <w:t>四、质量保修责任</w:t>
      </w:r>
      <w:bookmarkEnd w:id="1875"/>
    </w:p>
    <w:p w14:paraId="3B5C744A">
      <w:pPr>
        <w:keepNext w:val="0"/>
        <w:keepLines w:val="0"/>
        <w:pageBreakBefore w:val="0"/>
        <w:widowControl w:val="0"/>
        <w:kinsoku/>
        <w:wordWrap/>
        <w:overflowPunct/>
        <w:topLinePunct w:val="0"/>
        <w:autoSpaceDE/>
        <w:autoSpaceDN/>
        <w:bidi w:val="0"/>
        <w:adjustRightInd w:val="0"/>
        <w:snapToGrid w:val="0"/>
        <w:spacing w:line="360" w:lineRule="auto"/>
        <w:ind w:left="105" w:leftChars="50" w:firstLine="430" w:firstLineChars="205"/>
        <w:textAlignment w:val="auto"/>
        <w:rPr>
          <w:rFonts w:ascii="Times New Roman" w:hAnsi="Times New Roman" w:eastAsia="仿宋_GB2312"/>
          <w:color w:val="auto"/>
          <w:sz w:val="21"/>
          <w:szCs w:val="21"/>
          <w:highlight w:val="none"/>
        </w:rPr>
      </w:pPr>
      <w:r>
        <w:rPr>
          <w:rFonts w:hint="eastAsia" w:eastAsia="仿宋_GB2312"/>
          <w:color w:val="auto"/>
          <w:sz w:val="21"/>
          <w:szCs w:val="21"/>
          <w:highlight w:val="none"/>
          <w:lang w:eastAsia="zh-CN"/>
        </w:rPr>
        <w:t>1.</w:t>
      </w:r>
      <w:r>
        <w:rPr>
          <w:rFonts w:ascii="Times New Roman" w:hAnsi="Times New Roman" w:eastAsia="仿宋_GB2312"/>
          <w:color w:val="auto"/>
          <w:sz w:val="21"/>
          <w:szCs w:val="21"/>
          <w:highlight w:val="none"/>
        </w:rPr>
        <w:t>属于保修范围、内容的项目，承包人应当在接到保修通知之日起7天内派人保修。承包人不在约定期限内派人保修的，发包人可以委托他人修理。</w:t>
      </w:r>
    </w:p>
    <w:p w14:paraId="6E94A9FB">
      <w:pPr>
        <w:keepNext w:val="0"/>
        <w:keepLines w:val="0"/>
        <w:pageBreakBefore w:val="0"/>
        <w:widowControl w:val="0"/>
        <w:kinsoku/>
        <w:wordWrap/>
        <w:overflowPunct/>
        <w:topLinePunct w:val="0"/>
        <w:autoSpaceDE/>
        <w:autoSpaceDN/>
        <w:bidi w:val="0"/>
        <w:adjustRightInd w:val="0"/>
        <w:snapToGrid w:val="0"/>
        <w:spacing w:line="360" w:lineRule="auto"/>
        <w:ind w:left="105" w:leftChars="50" w:firstLine="430" w:firstLineChars="205"/>
        <w:textAlignment w:val="auto"/>
        <w:rPr>
          <w:rFonts w:ascii="Times New Roman" w:hAnsi="Times New Roman" w:eastAsia="仿宋_GB2312"/>
          <w:color w:val="auto"/>
          <w:sz w:val="21"/>
          <w:szCs w:val="21"/>
          <w:highlight w:val="none"/>
        </w:rPr>
      </w:pPr>
      <w:r>
        <w:rPr>
          <w:rFonts w:hint="eastAsia" w:eastAsia="仿宋_GB2312"/>
          <w:color w:val="auto"/>
          <w:sz w:val="21"/>
          <w:szCs w:val="21"/>
          <w:highlight w:val="none"/>
          <w:lang w:eastAsia="zh-CN"/>
        </w:rPr>
        <w:t>2.</w:t>
      </w:r>
      <w:r>
        <w:rPr>
          <w:rFonts w:ascii="Times New Roman" w:hAnsi="Times New Roman" w:eastAsia="仿宋_GB2312"/>
          <w:color w:val="auto"/>
          <w:sz w:val="21"/>
          <w:szCs w:val="21"/>
          <w:highlight w:val="none"/>
        </w:rPr>
        <w:t>发生紧急事故需抢修的，承包人在接到事故通知后，应当立即到达事故现场抢修。</w:t>
      </w:r>
    </w:p>
    <w:p w14:paraId="4FA4B3CD">
      <w:pPr>
        <w:keepNext w:val="0"/>
        <w:keepLines w:val="0"/>
        <w:pageBreakBefore w:val="0"/>
        <w:widowControl w:val="0"/>
        <w:kinsoku/>
        <w:wordWrap/>
        <w:overflowPunct/>
        <w:topLinePunct w:val="0"/>
        <w:autoSpaceDE/>
        <w:autoSpaceDN/>
        <w:bidi w:val="0"/>
        <w:adjustRightInd w:val="0"/>
        <w:snapToGrid w:val="0"/>
        <w:spacing w:line="360" w:lineRule="auto"/>
        <w:ind w:left="105" w:leftChars="50" w:firstLine="430" w:firstLineChars="205"/>
        <w:textAlignment w:val="auto"/>
        <w:rPr>
          <w:rFonts w:ascii="Times New Roman" w:hAnsi="Times New Roman" w:eastAsia="仿宋_GB2312"/>
          <w:color w:val="auto"/>
          <w:sz w:val="21"/>
          <w:szCs w:val="21"/>
          <w:highlight w:val="none"/>
        </w:rPr>
      </w:pPr>
      <w:r>
        <w:rPr>
          <w:rFonts w:hint="eastAsia" w:eastAsia="仿宋_GB2312"/>
          <w:color w:val="auto"/>
          <w:sz w:val="21"/>
          <w:szCs w:val="21"/>
          <w:highlight w:val="none"/>
          <w:lang w:eastAsia="zh-CN"/>
        </w:rPr>
        <w:t>3.</w:t>
      </w:r>
      <w:r>
        <w:rPr>
          <w:rFonts w:ascii="Times New Roman" w:hAnsi="Times New Roman" w:eastAsia="仿宋_GB2312"/>
          <w:color w:val="auto"/>
          <w:sz w:val="21"/>
          <w:szCs w:val="21"/>
          <w:highlight w:val="none"/>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70DB42E9">
      <w:pPr>
        <w:keepNext w:val="0"/>
        <w:keepLines w:val="0"/>
        <w:pageBreakBefore w:val="0"/>
        <w:widowControl w:val="0"/>
        <w:kinsoku/>
        <w:wordWrap/>
        <w:overflowPunct/>
        <w:topLinePunct w:val="0"/>
        <w:autoSpaceDE/>
        <w:autoSpaceDN/>
        <w:bidi w:val="0"/>
        <w:adjustRightInd w:val="0"/>
        <w:snapToGrid w:val="0"/>
        <w:spacing w:line="360" w:lineRule="auto"/>
        <w:ind w:left="420" w:leftChars="200" w:firstLine="105" w:firstLineChars="50"/>
        <w:textAlignment w:val="auto"/>
        <w:rPr>
          <w:rFonts w:ascii="Times New Roman" w:hAnsi="Times New Roman" w:eastAsia="仿宋_GB2312"/>
          <w:color w:val="auto"/>
          <w:sz w:val="21"/>
          <w:szCs w:val="21"/>
          <w:highlight w:val="none"/>
        </w:rPr>
      </w:pPr>
      <w:r>
        <w:rPr>
          <w:rFonts w:hint="eastAsia" w:eastAsia="仿宋_GB2312"/>
          <w:color w:val="auto"/>
          <w:sz w:val="21"/>
          <w:szCs w:val="21"/>
          <w:highlight w:val="none"/>
          <w:lang w:eastAsia="zh-CN"/>
        </w:rPr>
        <w:t>4.</w:t>
      </w:r>
      <w:r>
        <w:rPr>
          <w:rFonts w:ascii="Times New Roman" w:hAnsi="Times New Roman" w:eastAsia="仿宋_GB2312"/>
          <w:color w:val="auto"/>
          <w:sz w:val="21"/>
          <w:szCs w:val="21"/>
          <w:highlight w:val="none"/>
        </w:rPr>
        <w:t>质量保修完成后，由发包人组织验收。</w:t>
      </w:r>
    </w:p>
    <w:p w14:paraId="4FCC331A">
      <w:pPr>
        <w:keepNext w:val="0"/>
        <w:keepLines w:val="0"/>
        <w:pageBreakBefore w:val="0"/>
        <w:widowControl w:val="0"/>
        <w:kinsoku/>
        <w:wordWrap/>
        <w:overflowPunct/>
        <w:topLinePunct w:val="0"/>
        <w:autoSpaceDE/>
        <w:autoSpaceDN/>
        <w:bidi w:val="0"/>
        <w:adjustRightInd w:val="0"/>
        <w:snapToGrid w:val="0"/>
        <w:spacing w:line="360" w:lineRule="auto"/>
        <w:textAlignment w:val="auto"/>
        <w:outlineLvl w:val="9"/>
        <w:rPr>
          <w:rFonts w:ascii="Times New Roman" w:hAnsi="Times New Roman" w:eastAsia="黑体" w:cs="Times New Roman"/>
          <w:color w:val="auto"/>
          <w:sz w:val="21"/>
          <w:szCs w:val="21"/>
          <w:highlight w:val="none"/>
        </w:rPr>
      </w:pPr>
      <w:r>
        <w:rPr>
          <w:rFonts w:ascii="Times New Roman" w:hAnsi="Times New Roman" w:eastAsia="黑体" w:cs="Times New Roman"/>
          <w:color w:val="auto"/>
          <w:sz w:val="21"/>
          <w:szCs w:val="21"/>
          <w:highlight w:val="none"/>
        </w:rPr>
        <w:t>　　</w:t>
      </w:r>
      <w:bookmarkStart w:id="1876" w:name="_Toc17123"/>
      <w:r>
        <w:rPr>
          <w:rFonts w:ascii="Times New Roman" w:hAnsi="Times New Roman" w:eastAsia="黑体" w:cs="Times New Roman"/>
          <w:color w:val="auto"/>
          <w:sz w:val="21"/>
          <w:szCs w:val="21"/>
          <w:highlight w:val="none"/>
        </w:rPr>
        <w:t>五、保修费用</w:t>
      </w:r>
      <w:bookmarkEnd w:id="1876"/>
    </w:p>
    <w:p w14:paraId="23A9C42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　　保修费用由造成质量缺陷的责任方承担。</w:t>
      </w:r>
    </w:p>
    <w:p w14:paraId="1D7B7B7C">
      <w:pPr>
        <w:keepNext w:val="0"/>
        <w:keepLines w:val="0"/>
        <w:pageBreakBefore w:val="0"/>
        <w:widowControl w:val="0"/>
        <w:kinsoku/>
        <w:wordWrap/>
        <w:overflowPunct/>
        <w:topLinePunct w:val="0"/>
        <w:autoSpaceDE/>
        <w:autoSpaceDN/>
        <w:bidi w:val="0"/>
        <w:adjustRightInd w:val="0"/>
        <w:snapToGrid w:val="0"/>
        <w:spacing w:line="360" w:lineRule="auto"/>
        <w:textAlignment w:val="auto"/>
        <w:outlineLvl w:val="9"/>
        <w:rPr>
          <w:rFonts w:ascii="Times New Roman" w:hAnsi="Times New Roman" w:eastAsia="黑体" w:cs="Times New Roman"/>
          <w:color w:val="auto"/>
          <w:sz w:val="21"/>
          <w:szCs w:val="21"/>
          <w:highlight w:val="none"/>
        </w:rPr>
      </w:pPr>
      <w:bookmarkStart w:id="1877" w:name="_Toc6112"/>
      <w:r>
        <w:rPr>
          <w:rFonts w:ascii="Times New Roman" w:hAnsi="Times New Roman" w:eastAsia="仿宋_GB2312"/>
          <w:color w:val="auto"/>
          <w:sz w:val="21"/>
          <w:szCs w:val="21"/>
          <w:highlight w:val="none"/>
        </w:rPr>
        <w:t>　　</w:t>
      </w:r>
      <w:r>
        <w:rPr>
          <w:rFonts w:ascii="Times New Roman" w:hAnsi="Times New Roman" w:eastAsia="黑体" w:cs="Times New Roman"/>
          <w:color w:val="auto"/>
          <w:sz w:val="21"/>
          <w:szCs w:val="21"/>
          <w:highlight w:val="none"/>
        </w:rPr>
        <w:t>六、双方约定的其他工程质量保修事项：</w:t>
      </w:r>
      <w:bookmarkEnd w:id="1877"/>
      <w:r>
        <w:rPr>
          <w:rFonts w:ascii="Times New Roman" w:hAnsi="Times New Roman" w:eastAsia="黑体" w:cs="Times New Roman"/>
          <w:color w:val="auto"/>
          <w:sz w:val="21"/>
          <w:szCs w:val="21"/>
          <w:highlight w:val="none"/>
        </w:rPr>
        <w:t xml:space="preserve">          </w:t>
      </w:r>
      <w:r>
        <w:rPr>
          <w:rFonts w:hint="eastAsia" w:ascii="Times New Roman" w:hAnsi="Times New Roman" w:eastAsia="黑体" w:cs="Times New Roman"/>
          <w:color w:val="auto"/>
          <w:sz w:val="21"/>
          <w:szCs w:val="21"/>
          <w:highlight w:val="none"/>
        </w:rPr>
        <w:t xml:space="preserve">    </w:t>
      </w:r>
      <w:r>
        <w:rPr>
          <w:rFonts w:ascii="Times New Roman" w:hAnsi="Times New Roman" w:eastAsia="黑体" w:cs="Times New Roman"/>
          <w:color w:val="auto"/>
          <w:sz w:val="21"/>
          <w:szCs w:val="21"/>
          <w:highlight w:val="none"/>
        </w:rPr>
        <w:t xml:space="preserve">    </w:t>
      </w:r>
    </w:p>
    <w:p w14:paraId="34663547">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642D0D54">
      <w:pPr>
        <w:keepNext w:val="0"/>
        <w:keepLines w:val="0"/>
        <w:pageBreakBefore w:val="0"/>
        <w:widowControl w:val="0"/>
        <w:kinsoku/>
        <w:wordWrap/>
        <w:overflowPunct/>
        <w:topLinePunct w:val="0"/>
        <w:autoSpaceDE/>
        <w:autoSpaceDN/>
        <w:bidi w:val="0"/>
        <w:adjustRightInd w:val="0"/>
        <w:snapToGrid w:val="0"/>
        <w:spacing w:line="360" w:lineRule="auto"/>
        <w:ind w:firstLine="399" w:firstLineChars="19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工程质量保修书由发包人、承包人在工程竣工验收前共同签署，作为施工合同附件，其有效期限至保修期满。</w:t>
      </w:r>
    </w:p>
    <w:p w14:paraId="416EBD0C">
      <w:pPr>
        <w:keepNext w:val="0"/>
        <w:keepLines w:val="0"/>
        <w:pageBreakBefore w:val="0"/>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eastAsia="仿宋_GB2312"/>
          <w:color w:val="auto"/>
          <w:sz w:val="21"/>
          <w:szCs w:val="21"/>
          <w:highlight w:val="none"/>
        </w:rPr>
      </w:pPr>
    </w:p>
    <w:p w14:paraId="018294D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发包人</w:t>
      </w:r>
      <w:r>
        <w:rPr>
          <w:rFonts w:hint="eastAsia" w:eastAsia="仿宋_GB2312"/>
          <w:color w:val="auto"/>
          <w:sz w:val="21"/>
          <w:szCs w:val="21"/>
          <w:highlight w:val="none"/>
          <w:lang w:eastAsia="zh-CN"/>
        </w:rPr>
        <w:t>（</w:t>
      </w:r>
      <w:r>
        <w:rPr>
          <w:rFonts w:ascii="Times New Roman" w:hAnsi="Times New Roman" w:eastAsia="仿宋_GB2312"/>
          <w:color w:val="auto"/>
          <w:sz w:val="21"/>
          <w:szCs w:val="21"/>
          <w:highlight w:val="none"/>
        </w:rPr>
        <w:t>公章</w:t>
      </w:r>
      <w:r>
        <w:rPr>
          <w:rFonts w:hint="eastAsia" w:eastAsia="仿宋_GB2312"/>
          <w:color w:val="auto"/>
          <w:sz w:val="21"/>
          <w:szCs w:val="21"/>
          <w:highlight w:val="none"/>
          <w:lang w:eastAsia="zh-CN"/>
        </w:rPr>
        <w:t>）</w:t>
      </w:r>
      <w:r>
        <w:rPr>
          <w:rFonts w:ascii="Times New Roman" w:hAnsi="Times New Roman" w:eastAsia="仿宋_GB2312"/>
          <w:color w:val="auto"/>
          <w:sz w:val="21"/>
          <w:szCs w:val="21"/>
          <w:highlight w:val="none"/>
        </w:rPr>
        <w:t>：</w:t>
      </w:r>
      <w:r>
        <w:rPr>
          <w:rFonts w:ascii="Times New Roman" w:hAnsi="Times New Roman" w:eastAsia="仿宋_GB2312"/>
          <w:color w:val="auto"/>
          <w:sz w:val="21"/>
          <w:szCs w:val="21"/>
          <w:highlight w:val="none"/>
          <w:u w:val="single"/>
        </w:rPr>
        <w:t xml:space="preserve">        </w:t>
      </w:r>
      <w:r>
        <w:rPr>
          <w:rFonts w:ascii="Times New Roman" w:hAnsi="Times New Roman" w:eastAsia="仿宋_GB2312"/>
          <w:color w:val="auto"/>
          <w:sz w:val="21"/>
          <w:szCs w:val="21"/>
          <w:highlight w:val="none"/>
        </w:rPr>
        <w:t xml:space="preserve"> 承包人</w:t>
      </w:r>
      <w:r>
        <w:rPr>
          <w:rFonts w:hint="eastAsia" w:eastAsia="仿宋_GB2312"/>
          <w:color w:val="auto"/>
          <w:sz w:val="21"/>
          <w:szCs w:val="21"/>
          <w:highlight w:val="none"/>
          <w:lang w:eastAsia="zh-CN"/>
        </w:rPr>
        <w:t>（</w:t>
      </w:r>
      <w:r>
        <w:rPr>
          <w:rFonts w:ascii="Times New Roman" w:hAnsi="Times New Roman" w:eastAsia="仿宋_GB2312"/>
          <w:color w:val="auto"/>
          <w:sz w:val="21"/>
          <w:szCs w:val="21"/>
          <w:highlight w:val="none"/>
        </w:rPr>
        <w:t>公章</w:t>
      </w:r>
      <w:r>
        <w:rPr>
          <w:rFonts w:hint="eastAsia" w:eastAsia="仿宋_GB2312"/>
          <w:color w:val="auto"/>
          <w:sz w:val="21"/>
          <w:szCs w:val="21"/>
          <w:highlight w:val="none"/>
          <w:lang w:eastAsia="zh-CN"/>
        </w:rPr>
        <w:t>）</w:t>
      </w:r>
      <w:r>
        <w:rPr>
          <w:rFonts w:ascii="Times New Roman" w:hAnsi="Times New Roman" w:eastAsia="仿宋_GB2312"/>
          <w:color w:val="auto"/>
          <w:sz w:val="21"/>
          <w:szCs w:val="21"/>
          <w:highlight w:val="none"/>
        </w:rPr>
        <w:t>：</w:t>
      </w:r>
      <w:r>
        <w:rPr>
          <w:rFonts w:ascii="Times New Roman" w:hAnsi="Times New Roman" w:eastAsia="仿宋_GB2312"/>
          <w:color w:val="auto"/>
          <w:sz w:val="21"/>
          <w:szCs w:val="21"/>
          <w:highlight w:val="none"/>
          <w:u w:val="single"/>
        </w:rPr>
        <w:t></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p>
    <w:p w14:paraId="28A94BD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地  址：</w:t>
      </w:r>
      <w:r>
        <w:rPr>
          <w:rFonts w:ascii="Times New Roman" w:hAnsi="Times New Roman" w:eastAsia="仿宋_GB2312"/>
          <w:color w:val="auto"/>
          <w:sz w:val="21"/>
          <w:szCs w:val="21"/>
          <w:highlight w:val="none"/>
          <w:u w:val="single"/>
        </w:rPr>
        <w:t xml:space="preserve">     </w:t>
      </w:r>
      <w:r>
        <w:rPr>
          <w:rFonts w:hint="eastAsia" w:ascii="Times New Roman" w:hAnsi="Times New Roman" w:eastAsia="仿宋_GB2312"/>
          <w:color w:val="auto"/>
          <w:sz w:val="21"/>
          <w:szCs w:val="21"/>
          <w:highlight w:val="none"/>
        </w:rPr>
        <w:t xml:space="preserve"> </w:t>
      </w:r>
      <w:r>
        <w:rPr>
          <w:rFonts w:ascii="Times New Roman" w:hAnsi="Times New Roman" w:eastAsia="仿宋_GB2312"/>
          <w:color w:val="auto"/>
          <w:sz w:val="21"/>
          <w:szCs w:val="21"/>
          <w:highlight w:val="none"/>
        </w:rPr>
        <w:t>地  址：</w:t>
      </w:r>
      <w:r>
        <w:rPr>
          <w:rFonts w:ascii="Times New Roman" w:hAnsi="Times New Roman" w:eastAsia="仿宋_GB2312"/>
          <w:color w:val="auto"/>
          <w:sz w:val="21"/>
          <w:szCs w:val="21"/>
          <w:highlight w:val="none"/>
          <w:u w:val="single"/>
        </w:rPr>
        <w:t></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p>
    <w:p w14:paraId="5B3703E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法定代表人</w:t>
      </w:r>
      <w:r>
        <w:rPr>
          <w:rFonts w:hint="eastAsia" w:eastAsia="仿宋_GB2312"/>
          <w:color w:val="auto"/>
          <w:sz w:val="21"/>
          <w:szCs w:val="21"/>
          <w:highlight w:val="none"/>
          <w:lang w:eastAsia="zh-CN"/>
        </w:rPr>
        <w:t>（</w:t>
      </w:r>
      <w:r>
        <w:rPr>
          <w:rFonts w:ascii="Times New Roman" w:hAnsi="Times New Roman" w:eastAsia="仿宋_GB2312"/>
          <w:color w:val="auto"/>
          <w:sz w:val="21"/>
          <w:szCs w:val="21"/>
          <w:highlight w:val="none"/>
        </w:rPr>
        <w:t>签字</w:t>
      </w:r>
      <w:r>
        <w:rPr>
          <w:rFonts w:hint="eastAsia" w:eastAsia="仿宋_GB2312"/>
          <w:color w:val="auto"/>
          <w:sz w:val="21"/>
          <w:szCs w:val="21"/>
          <w:highlight w:val="none"/>
          <w:lang w:eastAsia="zh-CN"/>
        </w:rPr>
        <w:t>）</w:t>
      </w:r>
      <w:r>
        <w:rPr>
          <w:rFonts w:ascii="Times New Roman" w:hAnsi="Times New Roman" w:eastAsia="仿宋_GB2312"/>
          <w:color w:val="auto"/>
          <w:sz w:val="21"/>
          <w:szCs w:val="21"/>
          <w:highlight w:val="none"/>
        </w:rPr>
        <w:t>：</w:t>
      </w:r>
      <w:r>
        <w:rPr>
          <w:rFonts w:ascii="Times New Roman" w:hAnsi="Times New Roman" w:eastAsia="仿宋_GB2312"/>
          <w:color w:val="auto"/>
          <w:sz w:val="21"/>
          <w:szCs w:val="21"/>
          <w:highlight w:val="none"/>
          <w:u w:val="single"/>
        </w:rPr>
        <w:t></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 xml:space="preserve"> 法定代表人</w:t>
      </w:r>
      <w:r>
        <w:rPr>
          <w:rFonts w:hint="eastAsia" w:eastAsia="仿宋_GB2312"/>
          <w:color w:val="auto"/>
          <w:sz w:val="21"/>
          <w:szCs w:val="21"/>
          <w:highlight w:val="none"/>
          <w:lang w:eastAsia="zh-CN"/>
        </w:rPr>
        <w:t>（</w:t>
      </w:r>
      <w:r>
        <w:rPr>
          <w:rFonts w:ascii="Times New Roman" w:hAnsi="Times New Roman" w:eastAsia="仿宋_GB2312"/>
          <w:color w:val="auto"/>
          <w:sz w:val="21"/>
          <w:szCs w:val="21"/>
          <w:highlight w:val="none"/>
        </w:rPr>
        <w:t>签字</w:t>
      </w:r>
      <w:r>
        <w:rPr>
          <w:rFonts w:hint="eastAsia" w:eastAsia="仿宋_GB2312"/>
          <w:color w:val="auto"/>
          <w:sz w:val="21"/>
          <w:szCs w:val="21"/>
          <w:highlight w:val="none"/>
          <w:lang w:eastAsia="zh-CN"/>
        </w:rPr>
        <w:t>）</w:t>
      </w:r>
      <w:r>
        <w:rPr>
          <w:rFonts w:ascii="Times New Roman" w:hAnsi="Times New Roman" w:eastAsia="仿宋_GB2312"/>
          <w:color w:val="auto"/>
          <w:sz w:val="21"/>
          <w:szCs w:val="21"/>
          <w:highlight w:val="none"/>
        </w:rPr>
        <w:t>：</w:t>
      </w:r>
      <w:r>
        <w:rPr>
          <w:rFonts w:ascii="Times New Roman" w:hAnsi="Times New Roman" w:eastAsia="仿宋_GB2312"/>
          <w:color w:val="auto"/>
          <w:sz w:val="21"/>
          <w:szCs w:val="21"/>
          <w:highlight w:val="none"/>
          <w:u w:val="single"/>
        </w:rPr>
        <w:t></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p>
    <w:p w14:paraId="253CDD5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委托代理人</w:t>
      </w:r>
      <w:r>
        <w:rPr>
          <w:rFonts w:hint="eastAsia" w:eastAsia="仿宋_GB2312"/>
          <w:color w:val="auto"/>
          <w:sz w:val="21"/>
          <w:szCs w:val="21"/>
          <w:highlight w:val="none"/>
          <w:lang w:eastAsia="zh-CN"/>
        </w:rPr>
        <w:t>（</w:t>
      </w:r>
      <w:r>
        <w:rPr>
          <w:rFonts w:ascii="Times New Roman" w:hAnsi="Times New Roman" w:eastAsia="仿宋_GB2312"/>
          <w:color w:val="auto"/>
          <w:sz w:val="21"/>
          <w:szCs w:val="21"/>
          <w:highlight w:val="none"/>
        </w:rPr>
        <w:t>签字</w:t>
      </w:r>
      <w:r>
        <w:rPr>
          <w:rFonts w:hint="eastAsia" w:eastAsia="仿宋_GB2312"/>
          <w:color w:val="auto"/>
          <w:sz w:val="21"/>
          <w:szCs w:val="21"/>
          <w:highlight w:val="none"/>
          <w:lang w:eastAsia="zh-CN"/>
        </w:rPr>
        <w:t>）</w:t>
      </w:r>
      <w:r>
        <w:rPr>
          <w:rFonts w:ascii="Times New Roman" w:hAnsi="Times New Roman" w:eastAsia="仿宋_GB2312"/>
          <w:color w:val="auto"/>
          <w:sz w:val="21"/>
          <w:szCs w:val="21"/>
          <w:highlight w:val="none"/>
        </w:rPr>
        <w:t>：</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 xml:space="preserve"> 委托代理人</w:t>
      </w:r>
      <w:r>
        <w:rPr>
          <w:rFonts w:hint="eastAsia" w:eastAsia="仿宋_GB2312"/>
          <w:color w:val="auto"/>
          <w:sz w:val="21"/>
          <w:szCs w:val="21"/>
          <w:highlight w:val="none"/>
          <w:lang w:eastAsia="zh-CN"/>
        </w:rPr>
        <w:t>（</w:t>
      </w:r>
      <w:r>
        <w:rPr>
          <w:rFonts w:ascii="Times New Roman" w:hAnsi="Times New Roman" w:eastAsia="仿宋_GB2312"/>
          <w:color w:val="auto"/>
          <w:sz w:val="21"/>
          <w:szCs w:val="21"/>
          <w:highlight w:val="none"/>
        </w:rPr>
        <w:t>签字</w:t>
      </w:r>
      <w:r>
        <w:rPr>
          <w:rFonts w:hint="eastAsia" w:eastAsia="仿宋_GB2312"/>
          <w:color w:val="auto"/>
          <w:sz w:val="21"/>
          <w:szCs w:val="21"/>
          <w:highlight w:val="none"/>
          <w:lang w:eastAsia="zh-CN"/>
        </w:rPr>
        <w:t>）</w:t>
      </w:r>
      <w:r>
        <w:rPr>
          <w:rFonts w:ascii="Times New Roman" w:hAnsi="Times New Roman" w:eastAsia="仿宋_GB2312"/>
          <w:color w:val="auto"/>
          <w:sz w:val="21"/>
          <w:szCs w:val="21"/>
          <w:highlight w:val="none"/>
        </w:rPr>
        <w:t>：</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p>
    <w:p w14:paraId="59464A0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电  话：</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 xml:space="preserve"> 电  话：</w:t>
      </w:r>
      <w:r>
        <w:rPr>
          <w:rFonts w:ascii="Times New Roman" w:hAnsi="Times New Roman" w:eastAsia="仿宋_GB2312"/>
          <w:color w:val="auto"/>
          <w:sz w:val="21"/>
          <w:szCs w:val="21"/>
          <w:highlight w:val="none"/>
          <w:u w:val="single"/>
        </w:rPr>
        <w:t></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p>
    <w:p w14:paraId="534601B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传  真：</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 xml:space="preserve"> 传  真：</w:t>
      </w:r>
      <w:r>
        <w:rPr>
          <w:rFonts w:ascii="Times New Roman" w:hAnsi="Times New Roman" w:eastAsia="仿宋_GB2312"/>
          <w:color w:val="auto"/>
          <w:sz w:val="21"/>
          <w:szCs w:val="21"/>
          <w:highlight w:val="none"/>
          <w:u w:val="single"/>
        </w:rPr>
        <w:t></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p>
    <w:p w14:paraId="10434F1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开户银行：</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 xml:space="preserve"> 开户银行：</w:t>
      </w:r>
      <w:r>
        <w:rPr>
          <w:rFonts w:ascii="Times New Roman" w:hAnsi="Times New Roman" w:eastAsia="仿宋_GB2312"/>
          <w:color w:val="auto"/>
          <w:sz w:val="21"/>
          <w:szCs w:val="21"/>
          <w:highlight w:val="none"/>
          <w:u w:val="single"/>
        </w:rPr>
        <w:t xml:space="preserve">   </w:t>
      </w:r>
    </w:p>
    <w:p w14:paraId="4FC1664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账  号：</w:t>
      </w:r>
      <w:r>
        <w:rPr>
          <w:rFonts w:ascii="Times New Roman" w:hAnsi="Times New Roman" w:eastAsia="仿宋_GB2312"/>
          <w:color w:val="auto"/>
          <w:sz w:val="21"/>
          <w:szCs w:val="21"/>
          <w:highlight w:val="none"/>
          <w:u w:val="single"/>
        </w:rPr>
        <w:t xml:space="preserve">       </w:t>
      </w:r>
      <w:r>
        <w:rPr>
          <w:rFonts w:hint="eastAsia" w:ascii="Times New Roman" w:hAnsi="Times New Roman" w:eastAsia="仿宋_GB2312"/>
          <w:color w:val="auto"/>
          <w:sz w:val="21"/>
          <w:szCs w:val="21"/>
          <w:highlight w:val="none"/>
        </w:rPr>
        <w:t xml:space="preserve">  </w:t>
      </w:r>
      <w:r>
        <w:rPr>
          <w:rFonts w:ascii="Times New Roman" w:hAnsi="Times New Roman" w:eastAsia="仿宋_GB2312"/>
          <w:color w:val="auto"/>
          <w:sz w:val="21"/>
          <w:szCs w:val="21"/>
          <w:highlight w:val="none"/>
        </w:rPr>
        <w:t>账</w:t>
      </w:r>
      <w:r>
        <w:rPr>
          <w:rFonts w:hint="eastAsia" w:ascii="Times New Roman" w:hAnsi="Times New Roman" w:eastAsia="仿宋_GB2312"/>
          <w:color w:val="auto"/>
          <w:sz w:val="21"/>
          <w:szCs w:val="21"/>
          <w:highlight w:val="none"/>
        </w:rPr>
        <w:t xml:space="preserve"> </w:t>
      </w:r>
      <w:r>
        <w:rPr>
          <w:rFonts w:ascii="Times New Roman" w:hAnsi="Times New Roman" w:eastAsia="仿宋_GB2312"/>
          <w:color w:val="auto"/>
          <w:sz w:val="21"/>
          <w:szCs w:val="21"/>
          <w:highlight w:val="none"/>
        </w:rPr>
        <w:t xml:space="preserve"> 号：</w:t>
      </w:r>
      <w:r>
        <w:rPr>
          <w:rFonts w:ascii="Times New Roman" w:hAnsi="Times New Roman" w:eastAsia="仿宋_GB2312"/>
          <w:color w:val="auto"/>
          <w:sz w:val="21"/>
          <w:szCs w:val="21"/>
          <w:highlight w:val="none"/>
          <w:u w:val="single"/>
        </w:rPr>
        <w:t></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p>
    <w:p w14:paraId="7CEA863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仿宋_GB2312"/>
          <w:color w:val="auto"/>
          <w:sz w:val="30"/>
          <w:szCs w:val="30"/>
          <w:highlight w:val="none"/>
        </w:rPr>
      </w:pPr>
      <w:r>
        <w:rPr>
          <w:rFonts w:ascii="Times New Roman" w:hAnsi="Times New Roman" w:eastAsia="仿宋_GB2312"/>
          <w:color w:val="auto"/>
          <w:sz w:val="21"/>
          <w:szCs w:val="21"/>
          <w:highlight w:val="none"/>
        </w:rPr>
        <w:t>邮政编码：</w:t>
      </w:r>
      <w:r>
        <w:rPr>
          <w:rFonts w:ascii="Times New Roman" w:hAnsi="Times New Roman" w:eastAsia="仿宋_GB2312"/>
          <w:color w:val="auto"/>
          <w:sz w:val="21"/>
          <w:szCs w:val="21"/>
          <w:highlight w:val="none"/>
          <w:u w:val="single"/>
        </w:rPr>
        <w:t xml:space="preserve">     </w:t>
      </w:r>
      <w:r>
        <w:rPr>
          <w:rFonts w:ascii="Times New Roman" w:hAnsi="Times New Roman" w:eastAsia="仿宋_GB2312"/>
          <w:color w:val="auto"/>
          <w:sz w:val="21"/>
          <w:szCs w:val="21"/>
          <w:highlight w:val="none"/>
        </w:rPr>
        <w:t xml:space="preserve"> 邮政编码：</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30"/>
          <w:szCs w:val="30"/>
          <w:highlight w:val="none"/>
          <w:u w:val="single"/>
        </w:rPr>
        <w:t xml:space="preserve"> </w:t>
      </w:r>
    </w:p>
    <w:p w14:paraId="7B61F980">
      <w:pPr>
        <w:spacing w:line="440" w:lineRule="exact"/>
        <w:outlineLvl w:val="3"/>
        <w:rPr>
          <w:rFonts w:ascii="Times New Roman" w:hAnsi="Times New Roman" w:eastAsia="黑体"/>
          <w:color w:val="auto"/>
          <w:sz w:val="30"/>
          <w:szCs w:val="30"/>
          <w:highlight w:val="none"/>
        </w:rPr>
      </w:pPr>
      <w:r>
        <w:rPr>
          <w:rFonts w:ascii="Times New Roman" w:hAnsi="Times New Roman" w:eastAsia="仿宋_GB2312"/>
          <w:b/>
          <w:color w:val="auto"/>
          <w:sz w:val="30"/>
          <w:szCs w:val="30"/>
          <w:highlight w:val="none"/>
        </w:rPr>
        <w:br w:type="page"/>
      </w:r>
      <w:bookmarkStart w:id="1878" w:name="_Toc12010"/>
      <w:bookmarkStart w:id="1879" w:name="_Toc15867"/>
      <w:r>
        <w:rPr>
          <w:rFonts w:ascii="Times New Roman" w:hAnsi="Times New Roman" w:eastAsia="仿宋_GB2312"/>
          <w:color w:val="auto"/>
          <w:sz w:val="30"/>
          <w:szCs w:val="30"/>
          <w:highlight w:val="none"/>
        </w:rPr>
        <w:t>附件4：</w:t>
      </w:r>
      <w:bookmarkEnd w:id="1878"/>
      <w:bookmarkEnd w:id="1879"/>
    </w:p>
    <w:p w14:paraId="20FA8417">
      <w:pPr>
        <w:spacing w:before="156" w:beforeLines="50" w:after="156" w:afterLines="50" w:line="440" w:lineRule="exact"/>
        <w:jc w:val="center"/>
        <w:outlineLvl w:val="3"/>
        <w:rPr>
          <w:rFonts w:ascii="Times New Roman" w:hAnsi="Times New Roman" w:eastAsia="黑体"/>
          <w:color w:val="auto"/>
          <w:sz w:val="30"/>
          <w:szCs w:val="30"/>
          <w:highlight w:val="none"/>
        </w:rPr>
      </w:pPr>
      <w:bookmarkStart w:id="1880" w:name="_Toc14068"/>
      <w:bookmarkStart w:id="1881" w:name="_Toc26080"/>
      <w:r>
        <w:rPr>
          <w:rFonts w:ascii="Times New Roman" w:hAnsi="Times New Roman" w:eastAsia="黑体"/>
          <w:color w:val="auto"/>
          <w:sz w:val="30"/>
          <w:szCs w:val="30"/>
          <w:highlight w:val="none"/>
        </w:rPr>
        <w:t>主要建设工程文件目录</w:t>
      </w:r>
      <w:bookmarkEnd w:id="1880"/>
      <w:bookmarkEnd w:id="1881"/>
    </w:p>
    <w:tbl>
      <w:tblPr>
        <w:tblStyle w:val="18"/>
        <w:tblW w:w="90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462419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noWrap w:val="0"/>
            <w:vAlign w:val="center"/>
          </w:tcPr>
          <w:p w14:paraId="3077DBA1">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r>
              <w:rPr>
                <w:rFonts w:eastAsia="仿宋_GB2312"/>
                <w:color w:val="auto"/>
                <w:sz w:val="21"/>
                <w:szCs w:val="21"/>
                <w:highlight w:val="none"/>
              </w:rPr>
              <w:t>文件名称</w:t>
            </w:r>
          </w:p>
        </w:tc>
        <w:tc>
          <w:tcPr>
            <w:tcW w:w="1276" w:type="dxa"/>
            <w:tcBorders>
              <w:top w:val="single" w:color="auto" w:sz="12" w:space="0"/>
              <w:bottom w:val="double" w:color="auto" w:sz="6" w:space="0"/>
            </w:tcBorders>
            <w:noWrap w:val="0"/>
            <w:vAlign w:val="center"/>
          </w:tcPr>
          <w:p w14:paraId="47D00CD0">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r>
              <w:rPr>
                <w:rFonts w:eastAsia="仿宋_GB2312"/>
                <w:color w:val="auto"/>
                <w:sz w:val="21"/>
                <w:szCs w:val="21"/>
                <w:highlight w:val="none"/>
              </w:rPr>
              <w:t>套数</w:t>
            </w:r>
          </w:p>
        </w:tc>
        <w:tc>
          <w:tcPr>
            <w:tcW w:w="1450" w:type="dxa"/>
            <w:tcBorders>
              <w:top w:val="single" w:color="auto" w:sz="12" w:space="0"/>
              <w:bottom w:val="double" w:color="auto" w:sz="6" w:space="0"/>
            </w:tcBorders>
            <w:noWrap w:val="0"/>
            <w:vAlign w:val="center"/>
          </w:tcPr>
          <w:p w14:paraId="005AB4A8">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r>
              <w:rPr>
                <w:rFonts w:eastAsia="仿宋_GB2312"/>
                <w:color w:val="auto"/>
                <w:sz w:val="21"/>
                <w:szCs w:val="21"/>
                <w:highlight w:val="none"/>
              </w:rPr>
              <w:t>费用</w:t>
            </w:r>
            <w:r>
              <w:rPr>
                <w:rFonts w:hint="eastAsia" w:eastAsia="仿宋_GB2312"/>
                <w:color w:val="auto"/>
                <w:sz w:val="21"/>
                <w:szCs w:val="21"/>
                <w:highlight w:val="none"/>
              </w:rPr>
              <w:t>（元）</w:t>
            </w:r>
          </w:p>
        </w:tc>
        <w:tc>
          <w:tcPr>
            <w:tcW w:w="1243" w:type="dxa"/>
            <w:tcBorders>
              <w:top w:val="single" w:color="auto" w:sz="12" w:space="0"/>
              <w:bottom w:val="double" w:color="auto" w:sz="6" w:space="0"/>
            </w:tcBorders>
            <w:noWrap w:val="0"/>
            <w:vAlign w:val="center"/>
          </w:tcPr>
          <w:p w14:paraId="0BC934EA">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r>
              <w:rPr>
                <w:rFonts w:eastAsia="仿宋_GB2312"/>
                <w:color w:val="auto"/>
                <w:sz w:val="21"/>
                <w:szCs w:val="21"/>
                <w:highlight w:val="none"/>
              </w:rPr>
              <w:t>质量</w:t>
            </w:r>
          </w:p>
        </w:tc>
        <w:tc>
          <w:tcPr>
            <w:tcW w:w="1450" w:type="dxa"/>
            <w:tcBorders>
              <w:top w:val="single" w:color="auto" w:sz="12" w:space="0"/>
              <w:bottom w:val="double" w:color="auto" w:sz="6" w:space="0"/>
            </w:tcBorders>
            <w:noWrap w:val="0"/>
            <w:vAlign w:val="top"/>
          </w:tcPr>
          <w:p w14:paraId="1456CD21">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移交时间</w:t>
            </w:r>
          </w:p>
        </w:tc>
        <w:tc>
          <w:tcPr>
            <w:tcW w:w="1667" w:type="dxa"/>
            <w:tcBorders>
              <w:top w:val="single" w:color="auto" w:sz="12" w:space="0"/>
              <w:bottom w:val="double" w:color="auto" w:sz="6" w:space="0"/>
            </w:tcBorders>
            <w:noWrap w:val="0"/>
            <w:vAlign w:val="top"/>
          </w:tcPr>
          <w:p w14:paraId="08A59A3A">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责任人</w:t>
            </w:r>
          </w:p>
        </w:tc>
      </w:tr>
      <w:tr w14:paraId="14E362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noWrap w:val="0"/>
            <w:vAlign w:val="center"/>
          </w:tcPr>
          <w:p w14:paraId="0D09F1FB">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c>
          <w:tcPr>
            <w:tcW w:w="1276" w:type="dxa"/>
            <w:tcBorders>
              <w:top w:val="double" w:color="auto" w:sz="6" w:space="0"/>
              <w:bottom w:val="single" w:color="auto" w:sz="6" w:space="0"/>
            </w:tcBorders>
            <w:noWrap w:val="0"/>
            <w:vAlign w:val="center"/>
          </w:tcPr>
          <w:p w14:paraId="09302A25">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c>
          <w:tcPr>
            <w:tcW w:w="1450" w:type="dxa"/>
            <w:tcBorders>
              <w:top w:val="double" w:color="auto" w:sz="6" w:space="0"/>
              <w:bottom w:val="single" w:color="auto" w:sz="6" w:space="0"/>
            </w:tcBorders>
            <w:noWrap w:val="0"/>
            <w:vAlign w:val="center"/>
          </w:tcPr>
          <w:p w14:paraId="4E8B2F00">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c>
          <w:tcPr>
            <w:tcW w:w="1243" w:type="dxa"/>
            <w:tcBorders>
              <w:top w:val="double" w:color="auto" w:sz="6" w:space="0"/>
              <w:bottom w:val="single" w:color="auto" w:sz="6" w:space="0"/>
            </w:tcBorders>
            <w:noWrap w:val="0"/>
            <w:vAlign w:val="center"/>
          </w:tcPr>
          <w:p w14:paraId="5FA31F75">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c>
          <w:tcPr>
            <w:tcW w:w="1450" w:type="dxa"/>
            <w:tcBorders>
              <w:top w:val="double" w:color="auto" w:sz="6" w:space="0"/>
              <w:bottom w:val="single" w:color="auto" w:sz="6" w:space="0"/>
            </w:tcBorders>
            <w:noWrap w:val="0"/>
            <w:vAlign w:val="center"/>
          </w:tcPr>
          <w:p w14:paraId="0DB4D041">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c>
          <w:tcPr>
            <w:tcW w:w="1667" w:type="dxa"/>
            <w:tcBorders>
              <w:top w:val="double" w:color="auto" w:sz="6" w:space="0"/>
              <w:bottom w:val="single" w:color="auto" w:sz="6" w:space="0"/>
            </w:tcBorders>
            <w:noWrap w:val="0"/>
            <w:vAlign w:val="center"/>
          </w:tcPr>
          <w:p w14:paraId="18FE12D2">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r>
      <w:tr w14:paraId="7031E9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noWrap w:val="0"/>
            <w:vAlign w:val="center"/>
          </w:tcPr>
          <w:p w14:paraId="28D9398A">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c>
          <w:tcPr>
            <w:tcW w:w="1276" w:type="dxa"/>
            <w:tcBorders>
              <w:top w:val="nil"/>
            </w:tcBorders>
            <w:noWrap w:val="0"/>
            <w:vAlign w:val="center"/>
          </w:tcPr>
          <w:p w14:paraId="5DD528F2">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c>
          <w:tcPr>
            <w:tcW w:w="1450" w:type="dxa"/>
            <w:tcBorders>
              <w:top w:val="nil"/>
            </w:tcBorders>
            <w:noWrap w:val="0"/>
            <w:vAlign w:val="center"/>
          </w:tcPr>
          <w:p w14:paraId="3EC2BC79">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c>
          <w:tcPr>
            <w:tcW w:w="1243" w:type="dxa"/>
            <w:tcBorders>
              <w:top w:val="nil"/>
            </w:tcBorders>
            <w:noWrap w:val="0"/>
            <w:vAlign w:val="center"/>
          </w:tcPr>
          <w:p w14:paraId="768ECD09">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c>
          <w:tcPr>
            <w:tcW w:w="1450" w:type="dxa"/>
            <w:tcBorders>
              <w:top w:val="nil"/>
            </w:tcBorders>
            <w:noWrap w:val="0"/>
            <w:vAlign w:val="center"/>
          </w:tcPr>
          <w:p w14:paraId="68060324">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c>
          <w:tcPr>
            <w:tcW w:w="1667" w:type="dxa"/>
            <w:tcBorders>
              <w:top w:val="nil"/>
            </w:tcBorders>
            <w:noWrap w:val="0"/>
            <w:vAlign w:val="center"/>
          </w:tcPr>
          <w:p w14:paraId="5FB3993D">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r>
      <w:tr w14:paraId="511BD4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4EEDA40D">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c>
          <w:tcPr>
            <w:tcW w:w="1276" w:type="dxa"/>
            <w:noWrap w:val="0"/>
            <w:vAlign w:val="center"/>
          </w:tcPr>
          <w:p w14:paraId="5930DC8C">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c>
          <w:tcPr>
            <w:tcW w:w="1450" w:type="dxa"/>
            <w:noWrap w:val="0"/>
            <w:vAlign w:val="center"/>
          </w:tcPr>
          <w:p w14:paraId="29A4824A">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c>
          <w:tcPr>
            <w:tcW w:w="1243" w:type="dxa"/>
            <w:noWrap w:val="0"/>
            <w:vAlign w:val="center"/>
          </w:tcPr>
          <w:p w14:paraId="6DA1B434">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c>
          <w:tcPr>
            <w:tcW w:w="1450" w:type="dxa"/>
            <w:noWrap w:val="0"/>
            <w:vAlign w:val="center"/>
          </w:tcPr>
          <w:p w14:paraId="519FEDB5">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c>
          <w:tcPr>
            <w:tcW w:w="1667" w:type="dxa"/>
            <w:noWrap w:val="0"/>
            <w:vAlign w:val="center"/>
          </w:tcPr>
          <w:p w14:paraId="0BD54102">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r>
      <w:tr w14:paraId="04EF28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6E76141D">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c>
          <w:tcPr>
            <w:tcW w:w="1276" w:type="dxa"/>
            <w:noWrap w:val="0"/>
            <w:vAlign w:val="center"/>
          </w:tcPr>
          <w:p w14:paraId="7EA8FF4B">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c>
          <w:tcPr>
            <w:tcW w:w="1450" w:type="dxa"/>
            <w:noWrap w:val="0"/>
            <w:vAlign w:val="center"/>
          </w:tcPr>
          <w:p w14:paraId="62C7FE87">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c>
          <w:tcPr>
            <w:tcW w:w="1243" w:type="dxa"/>
            <w:noWrap w:val="0"/>
            <w:vAlign w:val="center"/>
          </w:tcPr>
          <w:p w14:paraId="78B02312">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c>
          <w:tcPr>
            <w:tcW w:w="1450" w:type="dxa"/>
            <w:noWrap w:val="0"/>
            <w:vAlign w:val="center"/>
          </w:tcPr>
          <w:p w14:paraId="4FC4AFA8">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c>
          <w:tcPr>
            <w:tcW w:w="1667" w:type="dxa"/>
            <w:noWrap w:val="0"/>
            <w:vAlign w:val="center"/>
          </w:tcPr>
          <w:p w14:paraId="684007E9">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r>
      <w:tr w14:paraId="2E303A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4B189D16">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c>
          <w:tcPr>
            <w:tcW w:w="1276" w:type="dxa"/>
            <w:noWrap w:val="0"/>
            <w:vAlign w:val="center"/>
          </w:tcPr>
          <w:p w14:paraId="1DB824B9">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c>
          <w:tcPr>
            <w:tcW w:w="1450" w:type="dxa"/>
            <w:noWrap w:val="0"/>
            <w:vAlign w:val="center"/>
          </w:tcPr>
          <w:p w14:paraId="13AAF27B">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c>
          <w:tcPr>
            <w:tcW w:w="1243" w:type="dxa"/>
            <w:noWrap w:val="0"/>
            <w:vAlign w:val="center"/>
          </w:tcPr>
          <w:p w14:paraId="14E83CE0">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c>
          <w:tcPr>
            <w:tcW w:w="1450" w:type="dxa"/>
            <w:noWrap w:val="0"/>
            <w:vAlign w:val="center"/>
          </w:tcPr>
          <w:p w14:paraId="5501662C">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c>
          <w:tcPr>
            <w:tcW w:w="1667" w:type="dxa"/>
            <w:noWrap w:val="0"/>
            <w:vAlign w:val="center"/>
          </w:tcPr>
          <w:p w14:paraId="4D02119B">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r>
      <w:tr w14:paraId="095B30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696B6735">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c>
          <w:tcPr>
            <w:tcW w:w="1276" w:type="dxa"/>
            <w:noWrap w:val="0"/>
            <w:vAlign w:val="center"/>
          </w:tcPr>
          <w:p w14:paraId="69C4AB89">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c>
          <w:tcPr>
            <w:tcW w:w="1450" w:type="dxa"/>
            <w:noWrap w:val="0"/>
            <w:vAlign w:val="center"/>
          </w:tcPr>
          <w:p w14:paraId="4E7D8A99">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c>
          <w:tcPr>
            <w:tcW w:w="1243" w:type="dxa"/>
            <w:noWrap w:val="0"/>
            <w:vAlign w:val="center"/>
          </w:tcPr>
          <w:p w14:paraId="6D329567">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c>
          <w:tcPr>
            <w:tcW w:w="1450" w:type="dxa"/>
            <w:noWrap w:val="0"/>
            <w:vAlign w:val="center"/>
          </w:tcPr>
          <w:p w14:paraId="0676BE4B">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c>
          <w:tcPr>
            <w:tcW w:w="1667" w:type="dxa"/>
            <w:noWrap w:val="0"/>
            <w:vAlign w:val="center"/>
          </w:tcPr>
          <w:p w14:paraId="6BEA21C5">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r>
      <w:tr w14:paraId="041CA0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6C66FF3A">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c>
          <w:tcPr>
            <w:tcW w:w="1276" w:type="dxa"/>
            <w:noWrap w:val="0"/>
            <w:vAlign w:val="center"/>
          </w:tcPr>
          <w:p w14:paraId="2F096D4C">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c>
          <w:tcPr>
            <w:tcW w:w="1450" w:type="dxa"/>
            <w:noWrap w:val="0"/>
            <w:vAlign w:val="center"/>
          </w:tcPr>
          <w:p w14:paraId="02B06016">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c>
          <w:tcPr>
            <w:tcW w:w="1243" w:type="dxa"/>
            <w:noWrap w:val="0"/>
            <w:vAlign w:val="center"/>
          </w:tcPr>
          <w:p w14:paraId="4D2A4CEB">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c>
          <w:tcPr>
            <w:tcW w:w="1450" w:type="dxa"/>
            <w:noWrap w:val="0"/>
            <w:vAlign w:val="center"/>
          </w:tcPr>
          <w:p w14:paraId="2765657C">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c>
          <w:tcPr>
            <w:tcW w:w="1667" w:type="dxa"/>
            <w:noWrap w:val="0"/>
            <w:vAlign w:val="center"/>
          </w:tcPr>
          <w:p w14:paraId="195147FE">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r>
      <w:tr w14:paraId="7D605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0D439FD9">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c>
          <w:tcPr>
            <w:tcW w:w="1276" w:type="dxa"/>
            <w:noWrap w:val="0"/>
            <w:vAlign w:val="center"/>
          </w:tcPr>
          <w:p w14:paraId="71FC8EC3">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c>
          <w:tcPr>
            <w:tcW w:w="1450" w:type="dxa"/>
            <w:noWrap w:val="0"/>
            <w:vAlign w:val="center"/>
          </w:tcPr>
          <w:p w14:paraId="26B8E7F2">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c>
          <w:tcPr>
            <w:tcW w:w="1243" w:type="dxa"/>
            <w:noWrap w:val="0"/>
            <w:vAlign w:val="center"/>
          </w:tcPr>
          <w:p w14:paraId="527F3E96">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c>
          <w:tcPr>
            <w:tcW w:w="1450" w:type="dxa"/>
            <w:noWrap w:val="0"/>
            <w:vAlign w:val="center"/>
          </w:tcPr>
          <w:p w14:paraId="5A04B457">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c>
          <w:tcPr>
            <w:tcW w:w="1667" w:type="dxa"/>
            <w:noWrap w:val="0"/>
            <w:vAlign w:val="center"/>
          </w:tcPr>
          <w:p w14:paraId="7362F571">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r>
      <w:tr w14:paraId="058C02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5063C424">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c>
          <w:tcPr>
            <w:tcW w:w="1276" w:type="dxa"/>
            <w:noWrap w:val="0"/>
            <w:vAlign w:val="top"/>
          </w:tcPr>
          <w:p w14:paraId="5BBF366A">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c>
          <w:tcPr>
            <w:tcW w:w="1450" w:type="dxa"/>
            <w:noWrap w:val="0"/>
            <w:vAlign w:val="top"/>
          </w:tcPr>
          <w:p w14:paraId="51668223">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c>
          <w:tcPr>
            <w:tcW w:w="1243" w:type="dxa"/>
            <w:noWrap w:val="0"/>
            <w:vAlign w:val="top"/>
          </w:tcPr>
          <w:p w14:paraId="1DAC0BEC">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c>
          <w:tcPr>
            <w:tcW w:w="1450" w:type="dxa"/>
            <w:noWrap w:val="0"/>
            <w:vAlign w:val="top"/>
          </w:tcPr>
          <w:p w14:paraId="73B000EC">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c>
          <w:tcPr>
            <w:tcW w:w="1667" w:type="dxa"/>
            <w:noWrap w:val="0"/>
            <w:vAlign w:val="top"/>
          </w:tcPr>
          <w:p w14:paraId="14BC44EB">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r>
      <w:tr w14:paraId="04BF06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2B516199">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c>
          <w:tcPr>
            <w:tcW w:w="1276" w:type="dxa"/>
            <w:noWrap w:val="0"/>
            <w:vAlign w:val="center"/>
          </w:tcPr>
          <w:p w14:paraId="785B3BB8">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c>
          <w:tcPr>
            <w:tcW w:w="1450" w:type="dxa"/>
            <w:noWrap w:val="0"/>
            <w:vAlign w:val="center"/>
          </w:tcPr>
          <w:p w14:paraId="75CBA424">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c>
          <w:tcPr>
            <w:tcW w:w="1243" w:type="dxa"/>
            <w:noWrap w:val="0"/>
            <w:vAlign w:val="center"/>
          </w:tcPr>
          <w:p w14:paraId="685B4DA9">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c>
          <w:tcPr>
            <w:tcW w:w="1450" w:type="dxa"/>
            <w:noWrap w:val="0"/>
            <w:vAlign w:val="center"/>
          </w:tcPr>
          <w:p w14:paraId="2B1F798C">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c>
          <w:tcPr>
            <w:tcW w:w="1667" w:type="dxa"/>
            <w:noWrap w:val="0"/>
            <w:vAlign w:val="center"/>
          </w:tcPr>
          <w:p w14:paraId="3E5AC5C7">
            <w:pPr>
              <w:pStyle w:val="8"/>
              <w:keepNext/>
              <w:keepLines w:val="0"/>
              <w:pageBreakBefore w:val="0"/>
              <w:widowControl w:val="0"/>
              <w:kinsoku/>
              <w:wordWrap/>
              <w:overflowPunct/>
              <w:topLinePunct w:val="0"/>
              <w:autoSpaceDE/>
              <w:autoSpaceDN/>
              <w:bidi w:val="0"/>
              <w:adjustRightInd w:val="0"/>
              <w:snapToGrid w:val="0"/>
              <w:spacing w:after="0" w:line="240" w:lineRule="auto"/>
              <w:ind w:left="63" w:right="63"/>
              <w:textAlignment w:val="auto"/>
              <w:rPr>
                <w:rFonts w:eastAsia="仿宋_GB2312"/>
                <w:color w:val="auto"/>
                <w:sz w:val="21"/>
                <w:szCs w:val="21"/>
                <w:highlight w:val="none"/>
              </w:rPr>
            </w:pPr>
          </w:p>
        </w:tc>
      </w:tr>
      <w:tr w14:paraId="611C85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33CDEAA8">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c>
          <w:tcPr>
            <w:tcW w:w="1276" w:type="dxa"/>
            <w:noWrap w:val="0"/>
            <w:vAlign w:val="top"/>
          </w:tcPr>
          <w:p w14:paraId="5933A237">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c>
          <w:tcPr>
            <w:tcW w:w="1450" w:type="dxa"/>
            <w:noWrap w:val="0"/>
            <w:vAlign w:val="top"/>
          </w:tcPr>
          <w:p w14:paraId="5CC21DFE">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c>
          <w:tcPr>
            <w:tcW w:w="1243" w:type="dxa"/>
            <w:noWrap w:val="0"/>
            <w:vAlign w:val="top"/>
          </w:tcPr>
          <w:p w14:paraId="5A315955">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c>
          <w:tcPr>
            <w:tcW w:w="1450" w:type="dxa"/>
            <w:noWrap w:val="0"/>
            <w:vAlign w:val="top"/>
          </w:tcPr>
          <w:p w14:paraId="6CC96348">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c>
          <w:tcPr>
            <w:tcW w:w="1667" w:type="dxa"/>
            <w:noWrap w:val="0"/>
            <w:vAlign w:val="top"/>
          </w:tcPr>
          <w:p w14:paraId="2168B952">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r>
      <w:tr w14:paraId="13EA01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493E5CCE">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c>
          <w:tcPr>
            <w:tcW w:w="1276" w:type="dxa"/>
            <w:noWrap w:val="0"/>
            <w:vAlign w:val="top"/>
          </w:tcPr>
          <w:p w14:paraId="7E191CF7">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c>
          <w:tcPr>
            <w:tcW w:w="1450" w:type="dxa"/>
            <w:noWrap w:val="0"/>
            <w:vAlign w:val="top"/>
          </w:tcPr>
          <w:p w14:paraId="18AB5738">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c>
          <w:tcPr>
            <w:tcW w:w="1243" w:type="dxa"/>
            <w:noWrap w:val="0"/>
            <w:vAlign w:val="top"/>
          </w:tcPr>
          <w:p w14:paraId="3D20D112">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c>
          <w:tcPr>
            <w:tcW w:w="1450" w:type="dxa"/>
            <w:noWrap w:val="0"/>
            <w:vAlign w:val="top"/>
          </w:tcPr>
          <w:p w14:paraId="3CB39E72">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c>
          <w:tcPr>
            <w:tcW w:w="1667" w:type="dxa"/>
            <w:noWrap w:val="0"/>
            <w:vAlign w:val="top"/>
          </w:tcPr>
          <w:p w14:paraId="14FEB500">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r>
      <w:tr w14:paraId="247970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1D1DB9EF">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c>
          <w:tcPr>
            <w:tcW w:w="1276" w:type="dxa"/>
            <w:noWrap w:val="0"/>
            <w:vAlign w:val="top"/>
          </w:tcPr>
          <w:p w14:paraId="372F3671">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c>
          <w:tcPr>
            <w:tcW w:w="1450" w:type="dxa"/>
            <w:noWrap w:val="0"/>
            <w:vAlign w:val="top"/>
          </w:tcPr>
          <w:p w14:paraId="67D9ACB8">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c>
          <w:tcPr>
            <w:tcW w:w="1243" w:type="dxa"/>
            <w:noWrap w:val="0"/>
            <w:vAlign w:val="top"/>
          </w:tcPr>
          <w:p w14:paraId="6448BB47">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c>
          <w:tcPr>
            <w:tcW w:w="1450" w:type="dxa"/>
            <w:noWrap w:val="0"/>
            <w:vAlign w:val="top"/>
          </w:tcPr>
          <w:p w14:paraId="675C2D58">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c>
          <w:tcPr>
            <w:tcW w:w="1667" w:type="dxa"/>
            <w:noWrap w:val="0"/>
            <w:vAlign w:val="top"/>
          </w:tcPr>
          <w:p w14:paraId="49E68B5B">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r>
      <w:tr w14:paraId="18FCB9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46D79ABD">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c>
          <w:tcPr>
            <w:tcW w:w="1276" w:type="dxa"/>
            <w:noWrap w:val="0"/>
            <w:vAlign w:val="top"/>
          </w:tcPr>
          <w:p w14:paraId="0F903DA9">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c>
          <w:tcPr>
            <w:tcW w:w="1450" w:type="dxa"/>
            <w:noWrap w:val="0"/>
            <w:vAlign w:val="top"/>
          </w:tcPr>
          <w:p w14:paraId="044CB24B">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c>
          <w:tcPr>
            <w:tcW w:w="1243" w:type="dxa"/>
            <w:noWrap w:val="0"/>
            <w:vAlign w:val="top"/>
          </w:tcPr>
          <w:p w14:paraId="51122E53">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c>
          <w:tcPr>
            <w:tcW w:w="1450" w:type="dxa"/>
            <w:noWrap w:val="0"/>
            <w:vAlign w:val="top"/>
          </w:tcPr>
          <w:p w14:paraId="50117FE0">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c>
          <w:tcPr>
            <w:tcW w:w="1667" w:type="dxa"/>
            <w:noWrap w:val="0"/>
            <w:vAlign w:val="top"/>
          </w:tcPr>
          <w:p w14:paraId="6B62185F">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r>
      <w:tr w14:paraId="099010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25568DD3">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c>
          <w:tcPr>
            <w:tcW w:w="1276" w:type="dxa"/>
            <w:noWrap w:val="0"/>
            <w:vAlign w:val="top"/>
          </w:tcPr>
          <w:p w14:paraId="38B23695">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c>
          <w:tcPr>
            <w:tcW w:w="1450" w:type="dxa"/>
            <w:noWrap w:val="0"/>
            <w:vAlign w:val="top"/>
          </w:tcPr>
          <w:p w14:paraId="69E9DEE1">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c>
          <w:tcPr>
            <w:tcW w:w="1243" w:type="dxa"/>
            <w:noWrap w:val="0"/>
            <w:vAlign w:val="top"/>
          </w:tcPr>
          <w:p w14:paraId="78159306">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c>
          <w:tcPr>
            <w:tcW w:w="1450" w:type="dxa"/>
            <w:noWrap w:val="0"/>
            <w:vAlign w:val="top"/>
          </w:tcPr>
          <w:p w14:paraId="7CD6E8A2">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c>
          <w:tcPr>
            <w:tcW w:w="1667" w:type="dxa"/>
            <w:noWrap w:val="0"/>
            <w:vAlign w:val="top"/>
          </w:tcPr>
          <w:p w14:paraId="2A95C1B8">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r>
      <w:tr w14:paraId="1E79A6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2B79C76C">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c>
          <w:tcPr>
            <w:tcW w:w="1276" w:type="dxa"/>
            <w:noWrap w:val="0"/>
            <w:vAlign w:val="top"/>
          </w:tcPr>
          <w:p w14:paraId="204BF4E9">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c>
          <w:tcPr>
            <w:tcW w:w="1450" w:type="dxa"/>
            <w:noWrap w:val="0"/>
            <w:vAlign w:val="top"/>
          </w:tcPr>
          <w:p w14:paraId="3CAAD9A5">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c>
          <w:tcPr>
            <w:tcW w:w="1243" w:type="dxa"/>
            <w:noWrap w:val="0"/>
            <w:vAlign w:val="top"/>
          </w:tcPr>
          <w:p w14:paraId="51D8D630">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c>
          <w:tcPr>
            <w:tcW w:w="1450" w:type="dxa"/>
            <w:noWrap w:val="0"/>
            <w:vAlign w:val="top"/>
          </w:tcPr>
          <w:p w14:paraId="324B7C57">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c>
          <w:tcPr>
            <w:tcW w:w="1667" w:type="dxa"/>
            <w:noWrap w:val="0"/>
            <w:vAlign w:val="top"/>
          </w:tcPr>
          <w:p w14:paraId="6DC96708">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r>
      <w:tr w14:paraId="409773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242B4717">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c>
          <w:tcPr>
            <w:tcW w:w="1276" w:type="dxa"/>
            <w:noWrap w:val="0"/>
            <w:vAlign w:val="top"/>
          </w:tcPr>
          <w:p w14:paraId="127DC34F">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c>
          <w:tcPr>
            <w:tcW w:w="1450" w:type="dxa"/>
            <w:noWrap w:val="0"/>
            <w:vAlign w:val="top"/>
          </w:tcPr>
          <w:p w14:paraId="56833DAF">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c>
          <w:tcPr>
            <w:tcW w:w="1243" w:type="dxa"/>
            <w:noWrap w:val="0"/>
            <w:vAlign w:val="top"/>
          </w:tcPr>
          <w:p w14:paraId="4D409842">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c>
          <w:tcPr>
            <w:tcW w:w="1450" w:type="dxa"/>
            <w:noWrap w:val="0"/>
            <w:vAlign w:val="top"/>
          </w:tcPr>
          <w:p w14:paraId="55373B95">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c>
          <w:tcPr>
            <w:tcW w:w="1667" w:type="dxa"/>
            <w:noWrap w:val="0"/>
            <w:vAlign w:val="top"/>
          </w:tcPr>
          <w:p w14:paraId="37581542">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r>
      <w:tr w14:paraId="7FC9D1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2B5A2D44">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c>
          <w:tcPr>
            <w:tcW w:w="1276" w:type="dxa"/>
            <w:noWrap w:val="0"/>
            <w:vAlign w:val="top"/>
          </w:tcPr>
          <w:p w14:paraId="17E6920C">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c>
          <w:tcPr>
            <w:tcW w:w="1450" w:type="dxa"/>
            <w:noWrap w:val="0"/>
            <w:vAlign w:val="top"/>
          </w:tcPr>
          <w:p w14:paraId="02793D32">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c>
          <w:tcPr>
            <w:tcW w:w="1243" w:type="dxa"/>
            <w:noWrap w:val="0"/>
            <w:vAlign w:val="top"/>
          </w:tcPr>
          <w:p w14:paraId="33A13EDA">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c>
          <w:tcPr>
            <w:tcW w:w="1450" w:type="dxa"/>
            <w:noWrap w:val="0"/>
            <w:vAlign w:val="top"/>
          </w:tcPr>
          <w:p w14:paraId="244D74A8">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c>
          <w:tcPr>
            <w:tcW w:w="1667" w:type="dxa"/>
            <w:noWrap w:val="0"/>
            <w:vAlign w:val="top"/>
          </w:tcPr>
          <w:p w14:paraId="6F336A82">
            <w:pPr>
              <w:keepLines w:val="0"/>
              <w:pageBreakBefore w:val="0"/>
              <w:widowControl w:val="0"/>
              <w:kinsoku/>
              <w:wordWrap/>
              <w:overflowPunct/>
              <w:topLinePunct w:val="0"/>
              <w:autoSpaceDE/>
              <w:autoSpaceDN/>
              <w:bidi w:val="0"/>
              <w:adjustRightInd w:val="0"/>
              <w:snapToGrid w:val="0"/>
              <w:spacing w:line="240" w:lineRule="auto"/>
              <w:textAlignment w:val="auto"/>
              <w:rPr>
                <w:rFonts w:eastAsia="仿宋_GB2312"/>
                <w:color w:val="auto"/>
                <w:sz w:val="21"/>
                <w:szCs w:val="21"/>
                <w:highlight w:val="none"/>
              </w:rPr>
            </w:pPr>
          </w:p>
        </w:tc>
      </w:tr>
    </w:tbl>
    <w:p w14:paraId="32CCC294">
      <w:pPr>
        <w:spacing w:line="440" w:lineRule="exact"/>
        <w:rPr>
          <w:rFonts w:hint="eastAsia" w:ascii="Times New Roman" w:hAnsi="Times New Roman" w:eastAsia="仿宋_GB2312"/>
          <w:color w:val="auto"/>
          <w:sz w:val="30"/>
          <w:szCs w:val="30"/>
          <w:highlight w:val="none"/>
        </w:rPr>
      </w:pPr>
    </w:p>
    <w:p w14:paraId="4AD29570">
      <w:pPr>
        <w:spacing w:line="440" w:lineRule="exact"/>
        <w:outlineLvl w:val="3"/>
        <w:rPr>
          <w:rFonts w:ascii="Times New Roman" w:hAnsi="Times New Roman" w:eastAsia="仿宋_GB2312"/>
          <w:color w:val="auto"/>
          <w:sz w:val="30"/>
          <w:szCs w:val="30"/>
          <w:highlight w:val="none"/>
        </w:rPr>
      </w:pPr>
      <w:r>
        <w:rPr>
          <w:rFonts w:ascii="Times New Roman" w:hAnsi="Times New Roman" w:eastAsia="仿宋_GB2312"/>
          <w:color w:val="auto"/>
          <w:sz w:val="30"/>
          <w:szCs w:val="30"/>
          <w:highlight w:val="none"/>
        </w:rPr>
        <w:br w:type="page"/>
      </w:r>
      <w:bookmarkStart w:id="1882" w:name="_Toc23714"/>
      <w:bookmarkStart w:id="1883" w:name="_Toc17218"/>
      <w:r>
        <w:rPr>
          <w:rFonts w:ascii="Times New Roman" w:hAnsi="Times New Roman" w:eastAsia="仿宋_GB2312"/>
          <w:color w:val="auto"/>
          <w:sz w:val="30"/>
          <w:szCs w:val="30"/>
          <w:highlight w:val="none"/>
        </w:rPr>
        <w:t>附</w:t>
      </w:r>
      <w:bookmarkStart w:id="1884" w:name="_Toc296944566"/>
      <w:bookmarkStart w:id="1885" w:name="_Toc296347226"/>
      <w:bookmarkStart w:id="1886" w:name="_Toc296503227"/>
      <w:bookmarkStart w:id="1887" w:name="_Toc267261698"/>
      <w:bookmarkStart w:id="1888" w:name="_Toc296346728"/>
      <w:bookmarkStart w:id="1889" w:name="_Toc296891055"/>
      <w:bookmarkStart w:id="1890" w:name="_Toc296891267"/>
      <w:r>
        <w:rPr>
          <w:rFonts w:ascii="Times New Roman" w:hAnsi="Times New Roman" w:eastAsia="仿宋_GB2312"/>
          <w:color w:val="auto"/>
          <w:sz w:val="30"/>
          <w:szCs w:val="30"/>
          <w:highlight w:val="none"/>
        </w:rPr>
        <w:t>件5：</w:t>
      </w:r>
      <w:bookmarkEnd w:id="1882"/>
      <w:bookmarkEnd w:id="1883"/>
    </w:p>
    <w:bookmarkEnd w:id="1884"/>
    <w:bookmarkEnd w:id="1885"/>
    <w:bookmarkEnd w:id="1886"/>
    <w:bookmarkEnd w:id="1887"/>
    <w:bookmarkEnd w:id="1888"/>
    <w:bookmarkEnd w:id="1889"/>
    <w:bookmarkEnd w:id="1890"/>
    <w:p w14:paraId="1949AA56">
      <w:pPr>
        <w:spacing w:before="156" w:beforeLines="50" w:after="156" w:afterLines="50" w:line="440" w:lineRule="exact"/>
        <w:jc w:val="center"/>
        <w:outlineLvl w:val="3"/>
        <w:rPr>
          <w:rFonts w:ascii="Times New Roman" w:hAnsi="Times New Roman" w:eastAsia="黑体"/>
          <w:color w:val="auto"/>
          <w:sz w:val="30"/>
          <w:szCs w:val="30"/>
          <w:highlight w:val="none"/>
        </w:rPr>
      </w:pPr>
      <w:bookmarkStart w:id="1891" w:name="_Toc9764"/>
      <w:bookmarkStart w:id="1892" w:name="_Toc218"/>
      <w:r>
        <w:rPr>
          <w:rFonts w:ascii="Times New Roman" w:hAnsi="Times New Roman" w:eastAsia="黑体"/>
          <w:color w:val="auto"/>
          <w:sz w:val="30"/>
          <w:szCs w:val="30"/>
          <w:highlight w:val="none"/>
        </w:rPr>
        <w:t>承包人用于本工程施工的机械设备表</w:t>
      </w:r>
      <w:bookmarkEnd w:id="1891"/>
      <w:bookmarkEnd w:id="1892"/>
    </w:p>
    <w:tbl>
      <w:tblPr>
        <w:tblStyle w:val="18"/>
        <w:tblW w:w="980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09EEED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162" w:type="dxa"/>
            <w:tcBorders>
              <w:top w:val="single" w:color="auto" w:sz="12" w:space="0"/>
              <w:bottom w:val="double" w:color="auto" w:sz="6" w:space="0"/>
            </w:tcBorders>
            <w:noWrap w:val="0"/>
            <w:vAlign w:val="center"/>
          </w:tcPr>
          <w:p w14:paraId="02966FCB">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r>
              <w:rPr>
                <w:rFonts w:eastAsia="仿宋_GB2312"/>
                <w:color w:val="auto"/>
                <w:sz w:val="21"/>
                <w:szCs w:val="21"/>
                <w:highlight w:val="none"/>
              </w:rPr>
              <w:t>序号</w:t>
            </w:r>
          </w:p>
        </w:tc>
        <w:tc>
          <w:tcPr>
            <w:tcW w:w="1418" w:type="dxa"/>
            <w:tcBorders>
              <w:top w:val="single" w:color="auto" w:sz="12" w:space="0"/>
              <w:bottom w:val="double" w:color="auto" w:sz="6" w:space="0"/>
            </w:tcBorders>
            <w:noWrap w:val="0"/>
            <w:vAlign w:val="center"/>
          </w:tcPr>
          <w:p w14:paraId="18CB4677">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r>
              <w:rPr>
                <w:rFonts w:eastAsia="仿宋_GB2312"/>
                <w:color w:val="auto"/>
                <w:sz w:val="21"/>
                <w:szCs w:val="21"/>
                <w:highlight w:val="none"/>
              </w:rPr>
              <w:t>机械或设备名称</w:t>
            </w:r>
          </w:p>
        </w:tc>
        <w:tc>
          <w:tcPr>
            <w:tcW w:w="850" w:type="dxa"/>
            <w:tcBorders>
              <w:top w:val="single" w:color="auto" w:sz="12" w:space="0"/>
              <w:bottom w:val="double" w:color="auto" w:sz="6" w:space="0"/>
            </w:tcBorders>
            <w:noWrap w:val="0"/>
            <w:vAlign w:val="center"/>
          </w:tcPr>
          <w:p w14:paraId="29614186">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r>
              <w:rPr>
                <w:rFonts w:eastAsia="仿宋_GB2312"/>
                <w:color w:val="auto"/>
                <w:sz w:val="21"/>
                <w:szCs w:val="21"/>
                <w:highlight w:val="none"/>
              </w:rPr>
              <w:t>规格型号</w:t>
            </w:r>
          </w:p>
        </w:tc>
        <w:tc>
          <w:tcPr>
            <w:tcW w:w="1058" w:type="dxa"/>
            <w:tcBorders>
              <w:top w:val="single" w:color="auto" w:sz="12" w:space="0"/>
              <w:bottom w:val="double" w:color="auto" w:sz="6" w:space="0"/>
            </w:tcBorders>
            <w:noWrap w:val="0"/>
            <w:vAlign w:val="center"/>
          </w:tcPr>
          <w:p w14:paraId="666DA8DB">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r>
              <w:rPr>
                <w:rFonts w:eastAsia="仿宋_GB2312"/>
                <w:color w:val="auto"/>
                <w:sz w:val="21"/>
                <w:szCs w:val="21"/>
                <w:highlight w:val="none"/>
              </w:rPr>
              <w:t>数量</w:t>
            </w:r>
          </w:p>
        </w:tc>
        <w:tc>
          <w:tcPr>
            <w:tcW w:w="880" w:type="dxa"/>
            <w:tcBorders>
              <w:top w:val="single" w:color="auto" w:sz="12" w:space="0"/>
              <w:bottom w:val="double" w:color="auto" w:sz="6" w:space="0"/>
            </w:tcBorders>
            <w:noWrap w:val="0"/>
            <w:vAlign w:val="center"/>
          </w:tcPr>
          <w:p w14:paraId="24E5A14D">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r>
              <w:rPr>
                <w:rFonts w:eastAsia="仿宋_GB2312"/>
                <w:color w:val="auto"/>
                <w:sz w:val="21"/>
                <w:szCs w:val="21"/>
                <w:highlight w:val="none"/>
              </w:rPr>
              <w:t>产地</w:t>
            </w:r>
          </w:p>
        </w:tc>
        <w:tc>
          <w:tcPr>
            <w:tcW w:w="1020" w:type="dxa"/>
            <w:tcBorders>
              <w:top w:val="single" w:color="auto" w:sz="12" w:space="0"/>
              <w:bottom w:val="double" w:color="auto" w:sz="6" w:space="0"/>
            </w:tcBorders>
            <w:noWrap w:val="0"/>
            <w:vAlign w:val="center"/>
          </w:tcPr>
          <w:p w14:paraId="1D076513">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r>
              <w:rPr>
                <w:rFonts w:eastAsia="仿宋_GB2312"/>
                <w:color w:val="auto"/>
                <w:sz w:val="21"/>
                <w:szCs w:val="21"/>
                <w:highlight w:val="none"/>
              </w:rPr>
              <w:t>制造年份</w:t>
            </w:r>
          </w:p>
        </w:tc>
        <w:tc>
          <w:tcPr>
            <w:tcW w:w="1480" w:type="dxa"/>
            <w:tcBorders>
              <w:top w:val="single" w:color="auto" w:sz="12" w:space="0"/>
              <w:bottom w:val="double" w:color="auto" w:sz="6" w:space="0"/>
            </w:tcBorders>
            <w:noWrap w:val="0"/>
            <w:vAlign w:val="center"/>
          </w:tcPr>
          <w:p w14:paraId="2912D8C1">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r>
              <w:rPr>
                <w:rFonts w:eastAsia="仿宋_GB2312"/>
                <w:color w:val="auto"/>
                <w:sz w:val="21"/>
                <w:szCs w:val="21"/>
                <w:highlight w:val="none"/>
              </w:rPr>
              <w:t>额定功率</w:t>
            </w:r>
            <w:r>
              <w:rPr>
                <w:rFonts w:hint="eastAsia" w:eastAsia="仿宋_GB2312"/>
                <w:color w:val="auto"/>
                <w:sz w:val="21"/>
                <w:szCs w:val="21"/>
                <w:highlight w:val="none"/>
                <w:lang w:eastAsia="zh-CN"/>
              </w:rPr>
              <w:t>（</w:t>
            </w:r>
            <w:r>
              <w:rPr>
                <w:rFonts w:eastAsia="仿宋_GB2312"/>
                <w:color w:val="auto"/>
                <w:sz w:val="21"/>
                <w:szCs w:val="21"/>
                <w:highlight w:val="none"/>
              </w:rPr>
              <w:t>kW</w:t>
            </w:r>
            <w:r>
              <w:rPr>
                <w:rFonts w:hint="eastAsia" w:eastAsia="仿宋_GB2312"/>
                <w:color w:val="auto"/>
                <w:sz w:val="21"/>
                <w:szCs w:val="21"/>
                <w:highlight w:val="none"/>
                <w:lang w:eastAsia="zh-CN"/>
              </w:rPr>
              <w:t>）</w:t>
            </w:r>
          </w:p>
        </w:tc>
        <w:tc>
          <w:tcPr>
            <w:tcW w:w="1020" w:type="dxa"/>
            <w:tcBorders>
              <w:top w:val="single" w:color="auto" w:sz="12" w:space="0"/>
              <w:bottom w:val="double" w:color="auto" w:sz="6" w:space="0"/>
            </w:tcBorders>
            <w:noWrap w:val="0"/>
            <w:vAlign w:val="center"/>
          </w:tcPr>
          <w:p w14:paraId="341FED94">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r>
              <w:rPr>
                <w:rFonts w:eastAsia="仿宋_GB2312"/>
                <w:color w:val="auto"/>
                <w:sz w:val="21"/>
                <w:szCs w:val="21"/>
                <w:highlight w:val="none"/>
              </w:rPr>
              <w:t>生产能力</w:t>
            </w:r>
          </w:p>
        </w:tc>
        <w:tc>
          <w:tcPr>
            <w:tcW w:w="921" w:type="dxa"/>
            <w:tcBorders>
              <w:top w:val="single" w:color="auto" w:sz="12" w:space="0"/>
              <w:bottom w:val="double" w:color="auto" w:sz="6" w:space="0"/>
            </w:tcBorders>
            <w:noWrap w:val="0"/>
            <w:vAlign w:val="center"/>
          </w:tcPr>
          <w:p w14:paraId="32E75740">
            <w:pPr>
              <w:pStyle w:val="8"/>
              <w:keepNext/>
              <w:keepLines w:val="0"/>
              <w:pageBreakBefore w:val="0"/>
              <w:widowControl w:val="0"/>
              <w:kinsoku/>
              <w:wordWrap/>
              <w:overflowPunct/>
              <w:topLinePunct w:val="0"/>
              <w:autoSpaceDE/>
              <w:autoSpaceDN/>
              <w:bidi w:val="0"/>
              <w:adjustRightInd w:val="0"/>
              <w:snapToGrid w:val="0"/>
              <w:spacing w:after="0" w:line="240" w:lineRule="auto"/>
              <w:ind w:left="62" w:right="62"/>
              <w:jc w:val="center"/>
              <w:textAlignment w:val="auto"/>
              <w:rPr>
                <w:rFonts w:eastAsia="仿宋_GB2312"/>
                <w:color w:val="auto"/>
                <w:sz w:val="21"/>
                <w:szCs w:val="21"/>
                <w:highlight w:val="none"/>
              </w:rPr>
            </w:pPr>
            <w:r>
              <w:rPr>
                <w:rFonts w:eastAsia="仿宋_GB2312"/>
                <w:color w:val="auto"/>
                <w:sz w:val="21"/>
                <w:szCs w:val="21"/>
                <w:highlight w:val="none"/>
              </w:rPr>
              <w:t>备注</w:t>
            </w:r>
          </w:p>
        </w:tc>
      </w:tr>
      <w:tr w14:paraId="169FE8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double" w:color="auto" w:sz="6" w:space="0"/>
              <w:bottom w:val="single" w:color="auto" w:sz="6" w:space="0"/>
            </w:tcBorders>
            <w:noWrap w:val="0"/>
            <w:vAlign w:val="center"/>
          </w:tcPr>
          <w:p w14:paraId="2C849212">
            <w:pPr>
              <w:pStyle w:val="8"/>
              <w:keepNext/>
              <w:spacing w:after="0" w:line="440" w:lineRule="exact"/>
              <w:ind w:left="63" w:right="63"/>
              <w:rPr>
                <w:rFonts w:eastAsia="仿宋_GB2312"/>
                <w:color w:val="auto"/>
                <w:sz w:val="30"/>
                <w:szCs w:val="30"/>
                <w:highlight w:val="none"/>
              </w:rPr>
            </w:pPr>
          </w:p>
        </w:tc>
        <w:tc>
          <w:tcPr>
            <w:tcW w:w="1418" w:type="dxa"/>
            <w:tcBorders>
              <w:top w:val="double" w:color="auto" w:sz="6" w:space="0"/>
              <w:bottom w:val="single" w:color="auto" w:sz="6" w:space="0"/>
            </w:tcBorders>
            <w:noWrap w:val="0"/>
            <w:vAlign w:val="center"/>
          </w:tcPr>
          <w:p w14:paraId="28BFA62B">
            <w:pPr>
              <w:pStyle w:val="8"/>
              <w:keepNext/>
              <w:spacing w:after="0" w:line="440" w:lineRule="exact"/>
              <w:ind w:left="63" w:right="63"/>
              <w:rPr>
                <w:rFonts w:eastAsia="仿宋_GB2312"/>
                <w:color w:val="auto"/>
                <w:sz w:val="30"/>
                <w:szCs w:val="30"/>
                <w:highlight w:val="none"/>
              </w:rPr>
            </w:pPr>
          </w:p>
        </w:tc>
        <w:tc>
          <w:tcPr>
            <w:tcW w:w="850" w:type="dxa"/>
            <w:tcBorders>
              <w:top w:val="double" w:color="auto" w:sz="6" w:space="0"/>
              <w:bottom w:val="single" w:color="auto" w:sz="6" w:space="0"/>
            </w:tcBorders>
            <w:noWrap w:val="0"/>
            <w:vAlign w:val="center"/>
          </w:tcPr>
          <w:p w14:paraId="5BDA28B0">
            <w:pPr>
              <w:pStyle w:val="8"/>
              <w:keepNext/>
              <w:spacing w:after="0" w:line="440" w:lineRule="exact"/>
              <w:ind w:left="63" w:right="63"/>
              <w:rPr>
                <w:rFonts w:eastAsia="仿宋_GB2312"/>
                <w:color w:val="auto"/>
                <w:sz w:val="30"/>
                <w:szCs w:val="30"/>
                <w:highlight w:val="none"/>
              </w:rPr>
            </w:pPr>
          </w:p>
        </w:tc>
        <w:tc>
          <w:tcPr>
            <w:tcW w:w="1058" w:type="dxa"/>
            <w:tcBorders>
              <w:top w:val="double" w:color="auto" w:sz="6" w:space="0"/>
              <w:bottom w:val="single" w:color="auto" w:sz="6" w:space="0"/>
            </w:tcBorders>
            <w:noWrap w:val="0"/>
            <w:vAlign w:val="center"/>
          </w:tcPr>
          <w:p w14:paraId="1598C4BA">
            <w:pPr>
              <w:pStyle w:val="8"/>
              <w:keepNext/>
              <w:spacing w:after="0" w:line="440" w:lineRule="exact"/>
              <w:ind w:left="63" w:right="63"/>
              <w:rPr>
                <w:rFonts w:eastAsia="仿宋_GB2312"/>
                <w:color w:val="auto"/>
                <w:sz w:val="30"/>
                <w:szCs w:val="30"/>
                <w:highlight w:val="none"/>
              </w:rPr>
            </w:pPr>
          </w:p>
        </w:tc>
        <w:tc>
          <w:tcPr>
            <w:tcW w:w="880" w:type="dxa"/>
            <w:tcBorders>
              <w:top w:val="double" w:color="auto" w:sz="6" w:space="0"/>
              <w:bottom w:val="single" w:color="auto" w:sz="6" w:space="0"/>
            </w:tcBorders>
            <w:noWrap w:val="0"/>
            <w:vAlign w:val="center"/>
          </w:tcPr>
          <w:p w14:paraId="54B9EE2F">
            <w:pPr>
              <w:pStyle w:val="8"/>
              <w:keepNext/>
              <w:spacing w:after="0" w:line="440" w:lineRule="exact"/>
              <w:ind w:left="63" w:right="63"/>
              <w:rPr>
                <w:rFonts w:eastAsia="仿宋_GB2312"/>
                <w:color w:val="auto"/>
                <w:sz w:val="30"/>
                <w:szCs w:val="30"/>
                <w:highlight w:val="none"/>
              </w:rPr>
            </w:pPr>
          </w:p>
        </w:tc>
        <w:tc>
          <w:tcPr>
            <w:tcW w:w="1020" w:type="dxa"/>
            <w:tcBorders>
              <w:top w:val="double" w:color="auto" w:sz="6" w:space="0"/>
              <w:bottom w:val="single" w:color="auto" w:sz="6" w:space="0"/>
            </w:tcBorders>
            <w:noWrap w:val="0"/>
            <w:vAlign w:val="center"/>
          </w:tcPr>
          <w:p w14:paraId="5294D5CA">
            <w:pPr>
              <w:pStyle w:val="8"/>
              <w:keepNext/>
              <w:spacing w:after="0" w:line="440" w:lineRule="exact"/>
              <w:ind w:left="63" w:right="63"/>
              <w:rPr>
                <w:rFonts w:eastAsia="仿宋_GB2312"/>
                <w:color w:val="auto"/>
                <w:sz w:val="30"/>
                <w:szCs w:val="30"/>
                <w:highlight w:val="none"/>
              </w:rPr>
            </w:pPr>
          </w:p>
        </w:tc>
        <w:tc>
          <w:tcPr>
            <w:tcW w:w="1480" w:type="dxa"/>
            <w:tcBorders>
              <w:top w:val="double" w:color="auto" w:sz="6" w:space="0"/>
              <w:bottom w:val="single" w:color="auto" w:sz="6" w:space="0"/>
            </w:tcBorders>
            <w:noWrap w:val="0"/>
            <w:vAlign w:val="center"/>
          </w:tcPr>
          <w:p w14:paraId="4AE75B04">
            <w:pPr>
              <w:pStyle w:val="8"/>
              <w:keepNext/>
              <w:spacing w:after="0" w:line="440" w:lineRule="exact"/>
              <w:ind w:left="63" w:right="63"/>
              <w:rPr>
                <w:rFonts w:eastAsia="仿宋_GB2312"/>
                <w:color w:val="auto"/>
                <w:sz w:val="30"/>
                <w:szCs w:val="30"/>
                <w:highlight w:val="none"/>
              </w:rPr>
            </w:pPr>
          </w:p>
        </w:tc>
        <w:tc>
          <w:tcPr>
            <w:tcW w:w="1020" w:type="dxa"/>
            <w:tcBorders>
              <w:top w:val="double" w:color="auto" w:sz="6" w:space="0"/>
              <w:bottom w:val="single" w:color="auto" w:sz="6" w:space="0"/>
            </w:tcBorders>
            <w:noWrap w:val="0"/>
            <w:vAlign w:val="center"/>
          </w:tcPr>
          <w:p w14:paraId="2ADD6004">
            <w:pPr>
              <w:pStyle w:val="8"/>
              <w:keepNext/>
              <w:spacing w:after="0" w:line="440" w:lineRule="exact"/>
              <w:ind w:left="63" w:right="63"/>
              <w:rPr>
                <w:rFonts w:eastAsia="仿宋_GB2312"/>
                <w:color w:val="auto"/>
                <w:sz w:val="30"/>
                <w:szCs w:val="30"/>
                <w:highlight w:val="none"/>
              </w:rPr>
            </w:pPr>
          </w:p>
        </w:tc>
        <w:tc>
          <w:tcPr>
            <w:tcW w:w="921" w:type="dxa"/>
            <w:tcBorders>
              <w:top w:val="double" w:color="auto" w:sz="6" w:space="0"/>
              <w:bottom w:val="single" w:color="auto" w:sz="6" w:space="0"/>
            </w:tcBorders>
            <w:noWrap w:val="0"/>
            <w:vAlign w:val="center"/>
          </w:tcPr>
          <w:p w14:paraId="6DCDA032">
            <w:pPr>
              <w:pStyle w:val="8"/>
              <w:keepNext/>
              <w:spacing w:after="0" w:line="440" w:lineRule="exact"/>
              <w:ind w:left="63" w:right="63"/>
              <w:rPr>
                <w:rFonts w:eastAsia="仿宋_GB2312"/>
                <w:color w:val="auto"/>
                <w:sz w:val="30"/>
                <w:szCs w:val="30"/>
                <w:highlight w:val="none"/>
              </w:rPr>
            </w:pPr>
          </w:p>
        </w:tc>
      </w:tr>
      <w:tr w14:paraId="64B6F9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nil"/>
            </w:tcBorders>
            <w:noWrap w:val="0"/>
            <w:vAlign w:val="center"/>
          </w:tcPr>
          <w:p w14:paraId="5F8C75D9">
            <w:pPr>
              <w:pStyle w:val="8"/>
              <w:keepNext/>
              <w:spacing w:after="0" w:line="440" w:lineRule="exact"/>
              <w:ind w:left="63" w:right="63"/>
              <w:rPr>
                <w:rFonts w:eastAsia="仿宋_GB2312"/>
                <w:color w:val="auto"/>
                <w:sz w:val="30"/>
                <w:szCs w:val="30"/>
                <w:highlight w:val="none"/>
              </w:rPr>
            </w:pPr>
          </w:p>
        </w:tc>
        <w:tc>
          <w:tcPr>
            <w:tcW w:w="1418" w:type="dxa"/>
            <w:tcBorders>
              <w:top w:val="nil"/>
            </w:tcBorders>
            <w:noWrap w:val="0"/>
            <w:vAlign w:val="center"/>
          </w:tcPr>
          <w:p w14:paraId="68BF67E4">
            <w:pPr>
              <w:pStyle w:val="8"/>
              <w:keepNext/>
              <w:spacing w:after="0" w:line="440" w:lineRule="exact"/>
              <w:ind w:left="63" w:right="63"/>
              <w:rPr>
                <w:rFonts w:eastAsia="仿宋_GB2312"/>
                <w:color w:val="auto"/>
                <w:sz w:val="30"/>
                <w:szCs w:val="30"/>
                <w:highlight w:val="none"/>
              </w:rPr>
            </w:pPr>
          </w:p>
        </w:tc>
        <w:tc>
          <w:tcPr>
            <w:tcW w:w="850" w:type="dxa"/>
            <w:tcBorders>
              <w:top w:val="nil"/>
            </w:tcBorders>
            <w:noWrap w:val="0"/>
            <w:vAlign w:val="center"/>
          </w:tcPr>
          <w:p w14:paraId="6ADA5505">
            <w:pPr>
              <w:pStyle w:val="8"/>
              <w:keepNext/>
              <w:spacing w:after="0" w:line="440" w:lineRule="exact"/>
              <w:ind w:left="63" w:right="63"/>
              <w:rPr>
                <w:rFonts w:eastAsia="仿宋_GB2312"/>
                <w:color w:val="auto"/>
                <w:sz w:val="30"/>
                <w:szCs w:val="30"/>
                <w:highlight w:val="none"/>
              </w:rPr>
            </w:pPr>
          </w:p>
        </w:tc>
        <w:tc>
          <w:tcPr>
            <w:tcW w:w="1058" w:type="dxa"/>
            <w:tcBorders>
              <w:top w:val="nil"/>
            </w:tcBorders>
            <w:noWrap w:val="0"/>
            <w:vAlign w:val="center"/>
          </w:tcPr>
          <w:p w14:paraId="5C0BCE0E">
            <w:pPr>
              <w:pStyle w:val="8"/>
              <w:keepNext/>
              <w:spacing w:after="0" w:line="440" w:lineRule="exact"/>
              <w:ind w:left="63" w:right="63"/>
              <w:rPr>
                <w:rFonts w:eastAsia="仿宋_GB2312"/>
                <w:color w:val="auto"/>
                <w:sz w:val="30"/>
                <w:szCs w:val="30"/>
                <w:highlight w:val="none"/>
              </w:rPr>
            </w:pPr>
          </w:p>
        </w:tc>
        <w:tc>
          <w:tcPr>
            <w:tcW w:w="880" w:type="dxa"/>
            <w:tcBorders>
              <w:top w:val="nil"/>
            </w:tcBorders>
            <w:noWrap w:val="0"/>
            <w:vAlign w:val="center"/>
          </w:tcPr>
          <w:p w14:paraId="3729A96A">
            <w:pPr>
              <w:pStyle w:val="8"/>
              <w:keepNext/>
              <w:spacing w:after="0" w:line="440" w:lineRule="exact"/>
              <w:ind w:left="63" w:right="63"/>
              <w:rPr>
                <w:rFonts w:eastAsia="仿宋_GB2312"/>
                <w:color w:val="auto"/>
                <w:sz w:val="30"/>
                <w:szCs w:val="30"/>
                <w:highlight w:val="none"/>
              </w:rPr>
            </w:pPr>
          </w:p>
        </w:tc>
        <w:tc>
          <w:tcPr>
            <w:tcW w:w="1020" w:type="dxa"/>
            <w:tcBorders>
              <w:top w:val="nil"/>
            </w:tcBorders>
            <w:noWrap w:val="0"/>
            <w:vAlign w:val="center"/>
          </w:tcPr>
          <w:p w14:paraId="1A91EF07">
            <w:pPr>
              <w:pStyle w:val="8"/>
              <w:keepNext/>
              <w:spacing w:after="0" w:line="440" w:lineRule="exact"/>
              <w:ind w:left="63" w:right="63"/>
              <w:rPr>
                <w:rFonts w:eastAsia="仿宋_GB2312"/>
                <w:color w:val="auto"/>
                <w:sz w:val="30"/>
                <w:szCs w:val="30"/>
                <w:highlight w:val="none"/>
              </w:rPr>
            </w:pPr>
          </w:p>
        </w:tc>
        <w:tc>
          <w:tcPr>
            <w:tcW w:w="1480" w:type="dxa"/>
            <w:tcBorders>
              <w:top w:val="nil"/>
            </w:tcBorders>
            <w:noWrap w:val="0"/>
            <w:vAlign w:val="center"/>
          </w:tcPr>
          <w:p w14:paraId="2AEBC60B">
            <w:pPr>
              <w:pStyle w:val="8"/>
              <w:keepNext/>
              <w:spacing w:after="0" w:line="440" w:lineRule="exact"/>
              <w:ind w:left="63" w:right="63"/>
              <w:rPr>
                <w:rFonts w:eastAsia="仿宋_GB2312"/>
                <w:color w:val="auto"/>
                <w:sz w:val="30"/>
                <w:szCs w:val="30"/>
                <w:highlight w:val="none"/>
              </w:rPr>
            </w:pPr>
          </w:p>
        </w:tc>
        <w:tc>
          <w:tcPr>
            <w:tcW w:w="1020" w:type="dxa"/>
            <w:tcBorders>
              <w:top w:val="nil"/>
            </w:tcBorders>
            <w:noWrap w:val="0"/>
            <w:vAlign w:val="center"/>
          </w:tcPr>
          <w:p w14:paraId="1CD5AA7F">
            <w:pPr>
              <w:pStyle w:val="8"/>
              <w:keepNext/>
              <w:spacing w:after="0" w:line="440" w:lineRule="exact"/>
              <w:ind w:left="63" w:right="63"/>
              <w:rPr>
                <w:rFonts w:eastAsia="仿宋_GB2312"/>
                <w:color w:val="auto"/>
                <w:sz w:val="30"/>
                <w:szCs w:val="30"/>
                <w:highlight w:val="none"/>
              </w:rPr>
            </w:pPr>
          </w:p>
        </w:tc>
        <w:tc>
          <w:tcPr>
            <w:tcW w:w="921" w:type="dxa"/>
            <w:tcBorders>
              <w:top w:val="nil"/>
            </w:tcBorders>
            <w:noWrap w:val="0"/>
            <w:vAlign w:val="center"/>
          </w:tcPr>
          <w:p w14:paraId="74BBB125">
            <w:pPr>
              <w:pStyle w:val="8"/>
              <w:keepNext/>
              <w:spacing w:after="0" w:line="440" w:lineRule="exact"/>
              <w:ind w:left="63" w:right="63"/>
              <w:rPr>
                <w:rFonts w:eastAsia="仿宋_GB2312"/>
                <w:color w:val="auto"/>
                <w:sz w:val="30"/>
                <w:szCs w:val="30"/>
                <w:highlight w:val="none"/>
              </w:rPr>
            </w:pPr>
          </w:p>
        </w:tc>
      </w:tr>
      <w:tr w14:paraId="4442A0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64C5DBA5">
            <w:pPr>
              <w:pStyle w:val="8"/>
              <w:keepNext/>
              <w:spacing w:after="0" w:line="440" w:lineRule="exact"/>
              <w:ind w:left="63" w:right="63"/>
              <w:rPr>
                <w:rFonts w:eastAsia="仿宋_GB2312"/>
                <w:color w:val="auto"/>
                <w:sz w:val="30"/>
                <w:szCs w:val="30"/>
                <w:highlight w:val="none"/>
              </w:rPr>
            </w:pPr>
          </w:p>
        </w:tc>
        <w:tc>
          <w:tcPr>
            <w:tcW w:w="1418" w:type="dxa"/>
            <w:noWrap w:val="0"/>
            <w:vAlign w:val="center"/>
          </w:tcPr>
          <w:p w14:paraId="703CD0E6">
            <w:pPr>
              <w:pStyle w:val="8"/>
              <w:keepNext/>
              <w:spacing w:after="0" w:line="440" w:lineRule="exact"/>
              <w:ind w:left="63" w:right="63"/>
              <w:rPr>
                <w:rFonts w:eastAsia="仿宋_GB2312"/>
                <w:color w:val="auto"/>
                <w:sz w:val="30"/>
                <w:szCs w:val="30"/>
                <w:highlight w:val="none"/>
              </w:rPr>
            </w:pPr>
          </w:p>
        </w:tc>
        <w:tc>
          <w:tcPr>
            <w:tcW w:w="850" w:type="dxa"/>
            <w:noWrap w:val="0"/>
            <w:vAlign w:val="center"/>
          </w:tcPr>
          <w:p w14:paraId="222DD1EF">
            <w:pPr>
              <w:pStyle w:val="8"/>
              <w:keepNext/>
              <w:spacing w:after="0" w:line="440" w:lineRule="exact"/>
              <w:ind w:left="63" w:right="63"/>
              <w:rPr>
                <w:rFonts w:eastAsia="仿宋_GB2312"/>
                <w:color w:val="auto"/>
                <w:sz w:val="30"/>
                <w:szCs w:val="30"/>
                <w:highlight w:val="none"/>
              </w:rPr>
            </w:pPr>
          </w:p>
        </w:tc>
        <w:tc>
          <w:tcPr>
            <w:tcW w:w="1058" w:type="dxa"/>
            <w:noWrap w:val="0"/>
            <w:vAlign w:val="center"/>
          </w:tcPr>
          <w:p w14:paraId="5C0B4AB5">
            <w:pPr>
              <w:pStyle w:val="8"/>
              <w:keepNext/>
              <w:spacing w:after="0" w:line="440" w:lineRule="exact"/>
              <w:ind w:left="63" w:right="63"/>
              <w:rPr>
                <w:rFonts w:eastAsia="仿宋_GB2312"/>
                <w:color w:val="auto"/>
                <w:sz w:val="30"/>
                <w:szCs w:val="30"/>
                <w:highlight w:val="none"/>
              </w:rPr>
            </w:pPr>
          </w:p>
        </w:tc>
        <w:tc>
          <w:tcPr>
            <w:tcW w:w="880" w:type="dxa"/>
            <w:noWrap w:val="0"/>
            <w:vAlign w:val="center"/>
          </w:tcPr>
          <w:p w14:paraId="0E628255">
            <w:pPr>
              <w:pStyle w:val="8"/>
              <w:keepNext/>
              <w:spacing w:after="0" w:line="440" w:lineRule="exact"/>
              <w:ind w:left="63" w:right="63"/>
              <w:rPr>
                <w:rFonts w:eastAsia="仿宋_GB2312"/>
                <w:color w:val="auto"/>
                <w:sz w:val="30"/>
                <w:szCs w:val="30"/>
                <w:highlight w:val="none"/>
              </w:rPr>
            </w:pPr>
          </w:p>
        </w:tc>
        <w:tc>
          <w:tcPr>
            <w:tcW w:w="1020" w:type="dxa"/>
            <w:noWrap w:val="0"/>
            <w:vAlign w:val="center"/>
          </w:tcPr>
          <w:p w14:paraId="6FD59FB6">
            <w:pPr>
              <w:pStyle w:val="8"/>
              <w:keepNext/>
              <w:spacing w:after="0" w:line="440" w:lineRule="exact"/>
              <w:ind w:left="63" w:right="63"/>
              <w:rPr>
                <w:rFonts w:eastAsia="仿宋_GB2312"/>
                <w:color w:val="auto"/>
                <w:sz w:val="30"/>
                <w:szCs w:val="30"/>
                <w:highlight w:val="none"/>
              </w:rPr>
            </w:pPr>
          </w:p>
        </w:tc>
        <w:tc>
          <w:tcPr>
            <w:tcW w:w="1480" w:type="dxa"/>
            <w:noWrap w:val="0"/>
            <w:vAlign w:val="center"/>
          </w:tcPr>
          <w:p w14:paraId="1B0D0AD6">
            <w:pPr>
              <w:pStyle w:val="8"/>
              <w:keepNext/>
              <w:spacing w:after="0" w:line="440" w:lineRule="exact"/>
              <w:ind w:left="63" w:right="63"/>
              <w:rPr>
                <w:rFonts w:eastAsia="仿宋_GB2312"/>
                <w:color w:val="auto"/>
                <w:sz w:val="30"/>
                <w:szCs w:val="30"/>
                <w:highlight w:val="none"/>
              </w:rPr>
            </w:pPr>
          </w:p>
        </w:tc>
        <w:tc>
          <w:tcPr>
            <w:tcW w:w="1020" w:type="dxa"/>
            <w:noWrap w:val="0"/>
            <w:vAlign w:val="center"/>
          </w:tcPr>
          <w:p w14:paraId="54AA72A0">
            <w:pPr>
              <w:pStyle w:val="8"/>
              <w:keepNext/>
              <w:spacing w:after="0" w:line="440" w:lineRule="exact"/>
              <w:ind w:left="63" w:right="63"/>
              <w:rPr>
                <w:rFonts w:eastAsia="仿宋_GB2312"/>
                <w:color w:val="auto"/>
                <w:sz w:val="30"/>
                <w:szCs w:val="30"/>
                <w:highlight w:val="none"/>
              </w:rPr>
            </w:pPr>
          </w:p>
        </w:tc>
        <w:tc>
          <w:tcPr>
            <w:tcW w:w="921" w:type="dxa"/>
            <w:noWrap w:val="0"/>
            <w:vAlign w:val="center"/>
          </w:tcPr>
          <w:p w14:paraId="10A1D3E9">
            <w:pPr>
              <w:pStyle w:val="8"/>
              <w:keepNext/>
              <w:spacing w:after="0" w:line="440" w:lineRule="exact"/>
              <w:ind w:left="63" w:right="63"/>
              <w:rPr>
                <w:rFonts w:eastAsia="仿宋_GB2312"/>
                <w:color w:val="auto"/>
                <w:sz w:val="30"/>
                <w:szCs w:val="30"/>
                <w:highlight w:val="none"/>
              </w:rPr>
            </w:pPr>
          </w:p>
        </w:tc>
      </w:tr>
      <w:tr w14:paraId="46022A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7E7AA399">
            <w:pPr>
              <w:pStyle w:val="8"/>
              <w:keepNext/>
              <w:spacing w:after="0" w:line="440" w:lineRule="exact"/>
              <w:ind w:left="63" w:right="63"/>
              <w:rPr>
                <w:rFonts w:eastAsia="仿宋_GB2312"/>
                <w:color w:val="auto"/>
                <w:sz w:val="30"/>
                <w:szCs w:val="30"/>
                <w:highlight w:val="none"/>
              </w:rPr>
            </w:pPr>
          </w:p>
        </w:tc>
        <w:tc>
          <w:tcPr>
            <w:tcW w:w="1418" w:type="dxa"/>
            <w:noWrap w:val="0"/>
            <w:vAlign w:val="center"/>
          </w:tcPr>
          <w:p w14:paraId="6B1BFAC2">
            <w:pPr>
              <w:pStyle w:val="8"/>
              <w:keepNext/>
              <w:spacing w:after="0" w:line="440" w:lineRule="exact"/>
              <w:ind w:left="63" w:right="63"/>
              <w:rPr>
                <w:rFonts w:eastAsia="仿宋_GB2312"/>
                <w:color w:val="auto"/>
                <w:sz w:val="30"/>
                <w:szCs w:val="30"/>
                <w:highlight w:val="none"/>
              </w:rPr>
            </w:pPr>
          </w:p>
        </w:tc>
        <w:tc>
          <w:tcPr>
            <w:tcW w:w="850" w:type="dxa"/>
            <w:noWrap w:val="0"/>
            <w:vAlign w:val="center"/>
          </w:tcPr>
          <w:p w14:paraId="370A5656">
            <w:pPr>
              <w:pStyle w:val="8"/>
              <w:keepNext/>
              <w:spacing w:after="0" w:line="440" w:lineRule="exact"/>
              <w:ind w:left="63" w:right="63"/>
              <w:rPr>
                <w:rFonts w:eastAsia="仿宋_GB2312"/>
                <w:color w:val="auto"/>
                <w:sz w:val="30"/>
                <w:szCs w:val="30"/>
                <w:highlight w:val="none"/>
              </w:rPr>
            </w:pPr>
          </w:p>
        </w:tc>
        <w:tc>
          <w:tcPr>
            <w:tcW w:w="1058" w:type="dxa"/>
            <w:noWrap w:val="0"/>
            <w:vAlign w:val="center"/>
          </w:tcPr>
          <w:p w14:paraId="64F36DE0">
            <w:pPr>
              <w:pStyle w:val="8"/>
              <w:keepNext/>
              <w:spacing w:after="0" w:line="440" w:lineRule="exact"/>
              <w:ind w:left="63" w:right="63"/>
              <w:rPr>
                <w:rFonts w:eastAsia="仿宋_GB2312"/>
                <w:color w:val="auto"/>
                <w:sz w:val="30"/>
                <w:szCs w:val="30"/>
                <w:highlight w:val="none"/>
              </w:rPr>
            </w:pPr>
          </w:p>
        </w:tc>
        <w:tc>
          <w:tcPr>
            <w:tcW w:w="880" w:type="dxa"/>
            <w:noWrap w:val="0"/>
            <w:vAlign w:val="center"/>
          </w:tcPr>
          <w:p w14:paraId="28BFBED5">
            <w:pPr>
              <w:pStyle w:val="8"/>
              <w:keepNext/>
              <w:spacing w:after="0" w:line="440" w:lineRule="exact"/>
              <w:ind w:left="63" w:right="63"/>
              <w:rPr>
                <w:rFonts w:eastAsia="仿宋_GB2312"/>
                <w:color w:val="auto"/>
                <w:sz w:val="30"/>
                <w:szCs w:val="30"/>
                <w:highlight w:val="none"/>
              </w:rPr>
            </w:pPr>
          </w:p>
        </w:tc>
        <w:tc>
          <w:tcPr>
            <w:tcW w:w="1020" w:type="dxa"/>
            <w:noWrap w:val="0"/>
            <w:vAlign w:val="center"/>
          </w:tcPr>
          <w:p w14:paraId="0CD3F637">
            <w:pPr>
              <w:pStyle w:val="8"/>
              <w:keepNext/>
              <w:spacing w:after="0" w:line="440" w:lineRule="exact"/>
              <w:ind w:left="63" w:right="63"/>
              <w:rPr>
                <w:rFonts w:eastAsia="仿宋_GB2312"/>
                <w:color w:val="auto"/>
                <w:sz w:val="30"/>
                <w:szCs w:val="30"/>
                <w:highlight w:val="none"/>
              </w:rPr>
            </w:pPr>
          </w:p>
        </w:tc>
        <w:tc>
          <w:tcPr>
            <w:tcW w:w="1480" w:type="dxa"/>
            <w:noWrap w:val="0"/>
            <w:vAlign w:val="center"/>
          </w:tcPr>
          <w:p w14:paraId="014A0F9D">
            <w:pPr>
              <w:pStyle w:val="8"/>
              <w:keepNext/>
              <w:spacing w:after="0" w:line="440" w:lineRule="exact"/>
              <w:ind w:left="63" w:right="63"/>
              <w:rPr>
                <w:rFonts w:eastAsia="仿宋_GB2312"/>
                <w:color w:val="auto"/>
                <w:sz w:val="30"/>
                <w:szCs w:val="30"/>
                <w:highlight w:val="none"/>
              </w:rPr>
            </w:pPr>
          </w:p>
        </w:tc>
        <w:tc>
          <w:tcPr>
            <w:tcW w:w="1020" w:type="dxa"/>
            <w:noWrap w:val="0"/>
            <w:vAlign w:val="center"/>
          </w:tcPr>
          <w:p w14:paraId="4FAF1B6B">
            <w:pPr>
              <w:pStyle w:val="8"/>
              <w:keepNext/>
              <w:spacing w:after="0" w:line="440" w:lineRule="exact"/>
              <w:ind w:left="63" w:right="63"/>
              <w:rPr>
                <w:rFonts w:eastAsia="仿宋_GB2312"/>
                <w:color w:val="auto"/>
                <w:sz w:val="30"/>
                <w:szCs w:val="30"/>
                <w:highlight w:val="none"/>
              </w:rPr>
            </w:pPr>
          </w:p>
        </w:tc>
        <w:tc>
          <w:tcPr>
            <w:tcW w:w="921" w:type="dxa"/>
            <w:noWrap w:val="0"/>
            <w:vAlign w:val="center"/>
          </w:tcPr>
          <w:p w14:paraId="24DB304F">
            <w:pPr>
              <w:pStyle w:val="8"/>
              <w:keepNext/>
              <w:spacing w:after="0" w:line="440" w:lineRule="exact"/>
              <w:ind w:left="63" w:right="63"/>
              <w:rPr>
                <w:rFonts w:eastAsia="仿宋_GB2312"/>
                <w:color w:val="auto"/>
                <w:sz w:val="30"/>
                <w:szCs w:val="30"/>
                <w:highlight w:val="none"/>
              </w:rPr>
            </w:pPr>
          </w:p>
        </w:tc>
      </w:tr>
      <w:tr w14:paraId="71FABF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58BFF718">
            <w:pPr>
              <w:pStyle w:val="8"/>
              <w:keepNext/>
              <w:spacing w:after="0" w:line="440" w:lineRule="exact"/>
              <w:ind w:left="63" w:right="63"/>
              <w:rPr>
                <w:rFonts w:eastAsia="仿宋_GB2312"/>
                <w:color w:val="auto"/>
                <w:sz w:val="30"/>
                <w:szCs w:val="30"/>
                <w:highlight w:val="none"/>
              </w:rPr>
            </w:pPr>
          </w:p>
        </w:tc>
        <w:tc>
          <w:tcPr>
            <w:tcW w:w="1418" w:type="dxa"/>
            <w:noWrap w:val="0"/>
            <w:vAlign w:val="center"/>
          </w:tcPr>
          <w:p w14:paraId="0D08C2B8">
            <w:pPr>
              <w:pStyle w:val="8"/>
              <w:keepNext/>
              <w:spacing w:after="0" w:line="440" w:lineRule="exact"/>
              <w:ind w:left="63" w:right="63"/>
              <w:rPr>
                <w:rFonts w:eastAsia="仿宋_GB2312"/>
                <w:color w:val="auto"/>
                <w:sz w:val="30"/>
                <w:szCs w:val="30"/>
                <w:highlight w:val="none"/>
              </w:rPr>
            </w:pPr>
          </w:p>
        </w:tc>
        <w:tc>
          <w:tcPr>
            <w:tcW w:w="850" w:type="dxa"/>
            <w:noWrap w:val="0"/>
            <w:vAlign w:val="center"/>
          </w:tcPr>
          <w:p w14:paraId="0E38890F">
            <w:pPr>
              <w:pStyle w:val="8"/>
              <w:keepNext/>
              <w:spacing w:after="0" w:line="440" w:lineRule="exact"/>
              <w:ind w:left="63" w:right="63"/>
              <w:rPr>
                <w:rFonts w:eastAsia="仿宋_GB2312"/>
                <w:color w:val="auto"/>
                <w:sz w:val="30"/>
                <w:szCs w:val="30"/>
                <w:highlight w:val="none"/>
              </w:rPr>
            </w:pPr>
          </w:p>
        </w:tc>
        <w:tc>
          <w:tcPr>
            <w:tcW w:w="1058" w:type="dxa"/>
            <w:noWrap w:val="0"/>
            <w:vAlign w:val="center"/>
          </w:tcPr>
          <w:p w14:paraId="39FBBC8E">
            <w:pPr>
              <w:pStyle w:val="8"/>
              <w:keepNext/>
              <w:spacing w:after="0" w:line="440" w:lineRule="exact"/>
              <w:ind w:left="63" w:right="63"/>
              <w:rPr>
                <w:rFonts w:eastAsia="仿宋_GB2312"/>
                <w:color w:val="auto"/>
                <w:sz w:val="30"/>
                <w:szCs w:val="30"/>
                <w:highlight w:val="none"/>
              </w:rPr>
            </w:pPr>
          </w:p>
        </w:tc>
        <w:tc>
          <w:tcPr>
            <w:tcW w:w="880" w:type="dxa"/>
            <w:noWrap w:val="0"/>
            <w:vAlign w:val="center"/>
          </w:tcPr>
          <w:p w14:paraId="55E62D12">
            <w:pPr>
              <w:pStyle w:val="8"/>
              <w:keepNext/>
              <w:spacing w:after="0" w:line="440" w:lineRule="exact"/>
              <w:ind w:left="63" w:right="63"/>
              <w:rPr>
                <w:rFonts w:eastAsia="仿宋_GB2312"/>
                <w:color w:val="auto"/>
                <w:sz w:val="30"/>
                <w:szCs w:val="30"/>
                <w:highlight w:val="none"/>
              </w:rPr>
            </w:pPr>
          </w:p>
        </w:tc>
        <w:tc>
          <w:tcPr>
            <w:tcW w:w="1020" w:type="dxa"/>
            <w:noWrap w:val="0"/>
            <w:vAlign w:val="center"/>
          </w:tcPr>
          <w:p w14:paraId="7863A7EE">
            <w:pPr>
              <w:pStyle w:val="8"/>
              <w:keepNext/>
              <w:spacing w:after="0" w:line="440" w:lineRule="exact"/>
              <w:ind w:left="63" w:right="63"/>
              <w:rPr>
                <w:rFonts w:eastAsia="仿宋_GB2312"/>
                <w:color w:val="auto"/>
                <w:sz w:val="30"/>
                <w:szCs w:val="30"/>
                <w:highlight w:val="none"/>
              </w:rPr>
            </w:pPr>
          </w:p>
        </w:tc>
        <w:tc>
          <w:tcPr>
            <w:tcW w:w="1480" w:type="dxa"/>
            <w:noWrap w:val="0"/>
            <w:vAlign w:val="center"/>
          </w:tcPr>
          <w:p w14:paraId="3CD24B96">
            <w:pPr>
              <w:pStyle w:val="8"/>
              <w:keepNext/>
              <w:spacing w:after="0" w:line="440" w:lineRule="exact"/>
              <w:ind w:left="63" w:right="63"/>
              <w:rPr>
                <w:rFonts w:eastAsia="仿宋_GB2312"/>
                <w:color w:val="auto"/>
                <w:sz w:val="30"/>
                <w:szCs w:val="30"/>
                <w:highlight w:val="none"/>
              </w:rPr>
            </w:pPr>
          </w:p>
        </w:tc>
        <w:tc>
          <w:tcPr>
            <w:tcW w:w="1020" w:type="dxa"/>
            <w:noWrap w:val="0"/>
            <w:vAlign w:val="center"/>
          </w:tcPr>
          <w:p w14:paraId="10B2238F">
            <w:pPr>
              <w:pStyle w:val="8"/>
              <w:keepNext/>
              <w:spacing w:after="0" w:line="440" w:lineRule="exact"/>
              <w:ind w:left="63" w:right="63"/>
              <w:rPr>
                <w:rFonts w:eastAsia="仿宋_GB2312"/>
                <w:color w:val="auto"/>
                <w:sz w:val="30"/>
                <w:szCs w:val="30"/>
                <w:highlight w:val="none"/>
              </w:rPr>
            </w:pPr>
          </w:p>
        </w:tc>
        <w:tc>
          <w:tcPr>
            <w:tcW w:w="921" w:type="dxa"/>
            <w:noWrap w:val="0"/>
            <w:vAlign w:val="center"/>
          </w:tcPr>
          <w:p w14:paraId="486177B7">
            <w:pPr>
              <w:pStyle w:val="8"/>
              <w:keepNext/>
              <w:spacing w:after="0" w:line="440" w:lineRule="exact"/>
              <w:ind w:left="63" w:right="63"/>
              <w:rPr>
                <w:rFonts w:eastAsia="仿宋_GB2312"/>
                <w:color w:val="auto"/>
                <w:sz w:val="30"/>
                <w:szCs w:val="30"/>
                <w:highlight w:val="none"/>
              </w:rPr>
            </w:pPr>
          </w:p>
        </w:tc>
      </w:tr>
      <w:tr w14:paraId="5C6D86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7047268C">
            <w:pPr>
              <w:pStyle w:val="8"/>
              <w:keepNext/>
              <w:spacing w:after="0" w:line="440" w:lineRule="exact"/>
              <w:ind w:left="63" w:right="63"/>
              <w:rPr>
                <w:rFonts w:eastAsia="仿宋_GB2312"/>
                <w:color w:val="auto"/>
                <w:sz w:val="30"/>
                <w:szCs w:val="30"/>
                <w:highlight w:val="none"/>
              </w:rPr>
            </w:pPr>
          </w:p>
        </w:tc>
        <w:tc>
          <w:tcPr>
            <w:tcW w:w="1418" w:type="dxa"/>
            <w:noWrap w:val="0"/>
            <w:vAlign w:val="center"/>
          </w:tcPr>
          <w:p w14:paraId="7D996C3E">
            <w:pPr>
              <w:pStyle w:val="8"/>
              <w:keepNext/>
              <w:spacing w:after="0" w:line="440" w:lineRule="exact"/>
              <w:ind w:left="63" w:right="63"/>
              <w:rPr>
                <w:rFonts w:eastAsia="仿宋_GB2312"/>
                <w:color w:val="auto"/>
                <w:sz w:val="30"/>
                <w:szCs w:val="30"/>
                <w:highlight w:val="none"/>
              </w:rPr>
            </w:pPr>
          </w:p>
        </w:tc>
        <w:tc>
          <w:tcPr>
            <w:tcW w:w="850" w:type="dxa"/>
            <w:noWrap w:val="0"/>
            <w:vAlign w:val="center"/>
          </w:tcPr>
          <w:p w14:paraId="67C12E06">
            <w:pPr>
              <w:pStyle w:val="8"/>
              <w:keepNext/>
              <w:spacing w:after="0" w:line="440" w:lineRule="exact"/>
              <w:ind w:left="63" w:right="63"/>
              <w:rPr>
                <w:rFonts w:eastAsia="仿宋_GB2312"/>
                <w:color w:val="auto"/>
                <w:sz w:val="30"/>
                <w:szCs w:val="30"/>
                <w:highlight w:val="none"/>
              </w:rPr>
            </w:pPr>
          </w:p>
        </w:tc>
        <w:tc>
          <w:tcPr>
            <w:tcW w:w="1058" w:type="dxa"/>
            <w:noWrap w:val="0"/>
            <w:vAlign w:val="center"/>
          </w:tcPr>
          <w:p w14:paraId="26F52409">
            <w:pPr>
              <w:pStyle w:val="8"/>
              <w:keepNext/>
              <w:spacing w:after="0" w:line="440" w:lineRule="exact"/>
              <w:ind w:left="63" w:right="63"/>
              <w:rPr>
                <w:rFonts w:eastAsia="仿宋_GB2312"/>
                <w:color w:val="auto"/>
                <w:sz w:val="30"/>
                <w:szCs w:val="30"/>
                <w:highlight w:val="none"/>
              </w:rPr>
            </w:pPr>
          </w:p>
        </w:tc>
        <w:tc>
          <w:tcPr>
            <w:tcW w:w="880" w:type="dxa"/>
            <w:noWrap w:val="0"/>
            <w:vAlign w:val="center"/>
          </w:tcPr>
          <w:p w14:paraId="0FBBA12B">
            <w:pPr>
              <w:pStyle w:val="8"/>
              <w:keepNext/>
              <w:spacing w:after="0" w:line="440" w:lineRule="exact"/>
              <w:ind w:left="63" w:right="63"/>
              <w:rPr>
                <w:rFonts w:eastAsia="仿宋_GB2312"/>
                <w:color w:val="auto"/>
                <w:sz w:val="30"/>
                <w:szCs w:val="30"/>
                <w:highlight w:val="none"/>
              </w:rPr>
            </w:pPr>
          </w:p>
        </w:tc>
        <w:tc>
          <w:tcPr>
            <w:tcW w:w="1020" w:type="dxa"/>
            <w:noWrap w:val="0"/>
            <w:vAlign w:val="center"/>
          </w:tcPr>
          <w:p w14:paraId="11DF5E5D">
            <w:pPr>
              <w:pStyle w:val="8"/>
              <w:keepNext/>
              <w:spacing w:after="0" w:line="440" w:lineRule="exact"/>
              <w:ind w:left="63" w:right="63"/>
              <w:rPr>
                <w:rFonts w:eastAsia="仿宋_GB2312"/>
                <w:color w:val="auto"/>
                <w:sz w:val="30"/>
                <w:szCs w:val="30"/>
                <w:highlight w:val="none"/>
              </w:rPr>
            </w:pPr>
          </w:p>
        </w:tc>
        <w:tc>
          <w:tcPr>
            <w:tcW w:w="1480" w:type="dxa"/>
            <w:noWrap w:val="0"/>
            <w:vAlign w:val="center"/>
          </w:tcPr>
          <w:p w14:paraId="7A5BA22E">
            <w:pPr>
              <w:pStyle w:val="8"/>
              <w:keepNext/>
              <w:spacing w:after="0" w:line="440" w:lineRule="exact"/>
              <w:ind w:left="63" w:right="63"/>
              <w:rPr>
                <w:rFonts w:eastAsia="仿宋_GB2312"/>
                <w:color w:val="auto"/>
                <w:sz w:val="30"/>
                <w:szCs w:val="30"/>
                <w:highlight w:val="none"/>
              </w:rPr>
            </w:pPr>
          </w:p>
        </w:tc>
        <w:tc>
          <w:tcPr>
            <w:tcW w:w="1020" w:type="dxa"/>
            <w:noWrap w:val="0"/>
            <w:vAlign w:val="center"/>
          </w:tcPr>
          <w:p w14:paraId="54ED4960">
            <w:pPr>
              <w:pStyle w:val="8"/>
              <w:keepNext/>
              <w:spacing w:after="0" w:line="440" w:lineRule="exact"/>
              <w:ind w:left="63" w:right="63"/>
              <w:rPr>
                <w:rFonts w:eastAsia="仿宋_GB2312"/>
                <w:color w:val="auto"/>
                <w:sz w:val="30"/>
                <w:szCs w:val="30"/>
                <w:highlight w:val="none"/>
              </w:rPr>
            </w:pPr>
          </w:p>
        </w:tc>
        <w:tc>
          <w:tcPr>
            <w:tcW w:w="921" w:type="dxa"/>
            <w:noWrap w:val="0"/>
            <w:vAlign w:val="center"/>
          </w:tcPr>
          <w:p w14:paraId="16FCC11A">
            <w:pPr>
              <w:pStyle w:val="8"/>
              <w:keepNext/>
              <w:spacing w:after="0" w:line="440" w:lineRule="exact"/>
              <w:ind w:left="63" w:right="63"/>
              <w:rPr>
                <w:rFonts w:eastAsia="仿宋_GB2312"/>
                <w:color w:val="auto"/>
                <w:sz w:val="30"/>
                <w:szCs w:val="30"/>
                <w:highlight w:val="none"/>
              </w:rPr>
            </w:pPr>
          </w:p>
        </w:tc>
      </w:tr>
      <w:tr w14:paraId="2F3FBE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1FE02756">
            <w:pPr>
              <w:pStyle w:val="8"/>
              <w:keepNext/>
              <w:spacing w:after="0" w:line="440" w:lineRule="exact"/>
              <w:ind w:left="63" w:right="63"/>
              <w:rPr>
                <w:rFonts w:eastAsia="仿宋_GB2312"/>
                <w:color w:val="auto"/>
                <w:sz w:val="30"/>
                <w:szCs w:val="30"/>
                <w:highlight w:val="none"/>
              </w:rPr>
            </w:pPr>
          </w:p>
        </w:tc>
        <w:tc>
          <w:tcPr>
            <w:tcW w:w="1418" w:type="dxa"/>
            <w:noWrap w:val="0"/>
            <w:vAlign w:val="center"/>
          </w:tcPr>
          <w:p w14:paraId="5971DB38">
            <w:pPr>
              <w:pStyle w:val="8"/>
              <w:keepNext/>
              <w:spacing w:after="0" w:line="440" w:lineRule="exact"/>
              <w:ind w:left="63" w:right="63"/>
              <w:rPr>
                <w:rFonts w:eastAsia="仿宋_GB2312"/>
                <w:color w:val="auto"/>
                <w:sz w:val="30"/>
                <w:szCs w:val="30"/>
                <w:highlight w:val="none"/>
              </w:rPr>
            </w:pPr>
          </w:p>
        </w:tc>
        <w:tc>
          <w:tcPr>
            <w:tcW w:w="850" w:type="dxa"/>
            <w:noWrap w:val="0"/>
            <w:vAlign w:val="center"/>
          </w:tcPr>
          <w:p w14:paraId="4CD36A80">
            <w:pPr>
              <w:pStyle w:val="8"/>
              <w:keepNext/>
              <w:spacing w:after="0" w:line="440" w:lineRule="exact"/>
              <w:ind w:left="63" w:right="63"/>
              <w:rPr>
                <w:rFonts w:eastAsia="仿宋_GB2312"/>
                <w:color w:val="auto"/>
                <w:sz w:val="30"/>
                <w:szCs w:val="30"/>
                <w:highlight w:val="none"/>
              </w:rPr>
            </w:pPr>
          </w:p>
        </w:tc>
        <w:tc>
          <w:tcPr>
            <w:tcW w:w="1058" w:type="dxa"/>
            <w:noWrap w:val="0"/>
            <w:vAlign w:val="center"/>
          </w:tcPr>
          <w:p w14:paraId="331D7606">
            <w:pPr>
              <w:pStyle w:val="8"/>
              <w:keepNext/>
              <w:spacing w:after="0" w:line="440" w:lineRule="exact"/>
              <w:ind w:left="63" w:right="63"/>
              <w:rPr>
                <w:rFonts w:eastAsia="仿宋_GB2312"/>
                <w:color w:val="auto"/>
                <w:sz w:val="30"/>
                <w:szCs w:val="30"/>
                <w:highlight w:val="none"/>
              </w:rPr>
            </w:pPr>
          </w:p>
        </w:tc>
        <w:tc>
          <w:tcPr>
            <w:tcW w:w="880" w:type="dxa"/>
            <w:noWrap w:val="0"/>
            <w:vAlign w:val="center"/>
          </w:tcPr>
          <w:p w14:paraId="5D036912">
            <w:pPr>
              <w:pStyle w:val="8"/>
              <w:keepNext/>
              <w:spacing w:after="0" w:line="440" w:lineRule="exact"/>
              <w:ind w:left="63" w:right="63"/>
              <w:rPr>
                <w:rFonts w:eastAsia="仿宋_GB2312"/>
                <w:color w:val="auto"/>
                <w:sz w:val="30"/>
                <w:szCs w:val="30"/>
                <w:highlight w:val="none"/>
              </w:rPr>
            </w:pPr>
          </w:p>
        </w:tc>
        <w:tc>
          <w:tcPr>
            <w:tcW w:w="1020" w:type="dxa"/>
            <w:noWrap w:val="0"/>
            <w:vAlign w:val="center"/>
          </w:tcPr>
          <w:p w14:paraId="37CAF333">
            <w:pPr>
              <w:pStyle w:val="8"/>
              <w:keepNext/>
              <w:spacing w:after="0" w:line="440" w:lineRule="exact"/>
              <w:ind w:left="63" w:right="63"/>
              <w:rPr>
                <w:rFonts w:eastAsia="仿宋_GB2312"/>
                <w:color w:val="auto"/>
                <w:sz w:val="30"/>
                <w:szCs w:val="30"/>
                <w:highlight w:val="none"/>
              </w:rPr>
            </w:pPr>
          </w:p>
        </w:tc>
        <w:tc>
          <w:tcPr>
            <w:tcW w:w="1480" w:type="dxa"/>
            <w:noWrap w:val="0"/>
            <w:vAlign w:val="center"/>
          </w:tcPr>
          <w:p w14:paraId="1ED1678B">
            <w:pPr>
              <w:pStyle w:val="8"/>
              <w:keepNext/>
              <w:spacing w:after="0" w:line="440" w:lineRule="exact"/>
              <w:ind w:left="63" w:right="63"/>
              <w:rPr>
                <w:rFonts w:eastAsia="仿宋_GB2312"/>
                <w:color w:val="auto"/>
                <w:sz w:val="30"/>
                <w:szCs w:val="30"/>
                <w:highlight w:val="none"/>
              </w:rPr>
            </w:pPr>
          </w:p>
        </w:tc>
        <w:tc>
          <w:tcPr>
            <w:tcW w:w="1020" w:type="dxa"/>
            <w:noWrap w:val="0"/>
            <w:vAlign w:val="center"/>
          </w:tcPr>
          <w:p w14:paraId="3C591BE9">
            <w:pPr>
              <w:pStyle w:val="8"/>
              <w:keepNext/>
              <w:spacing w:after="0" w:line="440" w:lineRule="exact"/>
              <w:ind w:left="63" w:right="63"/>
              <w:rPr>
                <w:rFonts w:eastAsia="仿宋_GB2312"/>
                <w:color w:val="auto"/>
                <w:sz w:val="30"/>
                <w:szCs w:val="30"/>
                <w:highlight w:val="none"/>
              </w:rPr>
            </w:pPr>
          </w:p>
        </w:tc>
        <w:tc>
          <w:tcPr>
            <w:tcW w:w="921" w:type="dxa"/>
            <w:noWrap w:val="0"/>
            <w:vAlign w:val="center"/>
          </w:tcPr>
          <w:p w14:paraId="65E41804">
            <w:pPr>
              <w:pStyle w:val="8"/>
              <w:keepNext/>
              <w:spacing w:after="0" w:line="440" w:lineRule="exact"/>
              <w:ind w:left="63" w:right="63"/>
              <w:rPr>
                <w:rFonts w:eastAsia="仿宋_GB2312"/>
                <w:color w:val="auto"/>
                <w:sz w:val="30"/>
                <w:szCs w:val="30"/>
                <w:highlight w:val="none"/>
              </w:rPr>
            </w:pPr>
          </w:p>
        </w:tc>
      </w:tr>
      <w:tr w14:paraId="481493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7295AB77">
            <w:pPr>
              <w:pStyle w:val="8"/>
              <w:keepNext/>
              <w:spacing w:after="0" w:line="440" w:lineRule="exact"/>
              <w:ind w:left="63" w:right="63"/>
              <w:rPr>
                <w:rFonts w:eastAsia="仿宋_GB2312"/>
                <w:color w:val="auto"/>
                <w:sz w:val="30"/>
                <w:szCs w:val="30"/>
                <w:highlight w:val="none"/>
              </w:rPr>
            </w:pPr>
          </w:p>
        </w:tc>
        <w:tc>
          <w:tcPr>
            <w:tcW w:w="1418" w:type="dxa"/>
            <w:noWrap w:val="0"/>
            <w:vAlign w:val="center"/>
          </w:tcPr>
          <w:p w14:paraId="49D7C0A7">
            <w:pPr>
              <w:pStyle w:val="8"/>
              <w:keepNext/>
              <w:spacing w:after="0" w:line="440" w:lineRule="exact"/>
              <w:ind w:left="63" w:right="63"/>
              <w:rPr>
                <w:rFonts w:eastAsia="仿宋_GB2312"/>
                <w:color w:val="auto"/>
                <w:sz w:val="30"/>
                <w:szCs w:val="30"/>
                <w:highlight w:val="none"/>
              </w:rPr>
            </w:pPr>
          </w:p>
        </w:tc>
        <w:tc>
          <w:tcPr>
            <w:tcW w:w="850" w:type="dxa"/>
            <w:noWrap w:val="0"/>
            <w:vAlign w:val="center"/>
          </w:tcPr>
          <w:p w14:paraId="2FC06C05">
            <w:pPr>
              <w:pStyle w:val="8"/>
              <w:keepNext/>
              <w:spacing w:after="0" w:line="440" w:lineRule="exact"/>
              <w:ind w:left="63" w:right="63"/>
              <w:rPr>
                <w:rFonts w:eastAsia="仿宋_GB2312"/>
                <w:color w:val="auto"/>
                <w:sz w:val="30"/>
                <w:szCs w:val="30"/>
                <w:highlight w:val="none"/>
              </w:rPr>
            </w:pPr>
          </w:p>
        </w:tc>
        <w:tc>
          <w:tcPr>
            <w:tcW w:w="1058" w:type="dxa"/>
            <w:noWrap w:val="0"/>
            <w:vAlign w:val="center"/>
          </w:tcPr>
          <w:p w14:paraId="169642B0">
            <w:pPr>
              <w:pStyle w:val="8"/>
              <w:keepNext/>
              <w:spacing w:after="0" w:line="440" w:lineRule="exact"/>
              <w:ind w:left="63" w:right="63"/>
              <w:rPr>
                <w:rFonts w:eastAsia="仿宋_GB2312"/>
                <w:color w:val="auto"/>
                <w:sz w:val="30"/>
                <w:szCs w:val="30"/>
                <w:highlight w:val="none"/>
              </w:rPr>
            </w:pPr>
          </w:p>
        </w:tc>
        <w:tc>
          <w:tcPr>
            <w:tcW w:w="880" w:type="dxa"/>
            <w:noWrap w:val="0"/>
            <w:vAlign w:val="center"/>
          </w:tcPr>
          <w:p w14:paraId="40832415">
            <w:pPr>
              <w:pStyle w:val="8"/>
              <w:keepNext/>
              <w:spacing w:after="0" w:line="440" w:lineRule="exact"/>
              <w:ind w:left="63" w:right="63"/>
              <w:rPr>
                <w:rFonts w:eastAsia="仿宋_GB2312"/>
                <w:color w:val="auto"/>
                <w:sz w:val="30"/>
                <w:szCs w:val="30"/>
                <w:highlight w:val="none"/>
              </w:rPr>
            </w:pPr>
          </w:p>
        </w:tc>
        <w:tc>
          <w:tcPr>
            <w:tcW w:w="1020" w:type="dxa"/>
            <w:noWrap w:val="0"/>
            <w:vAlign w:val="center"/>
          </w:tcPr>
          <w:p w14:paraId="6967DF03">
            <w:pPr>
              <w:pStyle w:val="8"/>
              <w:keepNext/>
              <w:spacing w:after="0" w:line="440" w:lineRule="exact"/>
              <w:ind w:left="63" w:right="63"/>
              <w:rPr>
                <w:rFonts w:eastAsia="仿宋_GB2312"/>
                <w:color w:val="auto"/>
                <w:sz w:val="30"/>
                <w:szCs w:val="30"/>
                <w:highlight w:val="none"/>
              </w:rPr>
            </w:pPr>
          </w:p>
        </w:tc>
        <w:tc>
          <w:tcPr>
            <w:tcW w:w="1480" w:type="dxa"/>
            <w:noWrap w:val="0"/>
            <w:vAlign w:val="center"/>
          </w:tcPr>
          <w:p w14:paraId="410BB10A">
            <w:pPr>
              <w:pStyle w:val="8"/>
              <w:keepNext/>
              <w:spacing w:after="0" w:line="440" w:lineRule="exact"/>
              <w:ind w:left="63" w:right="63"/>
              <w:rPr>
                <w:rFonts w:eastAsia="仿宋_GB2312"/>
                <w:color w:val="auto"/>
                <w:sz w:val="30"/>
                <w:szCs w:val="30"/>
                <w:highlight w:val="none"/>
              </w:rPr>
            </w:pPr>
          </w:p>
        </w:tc>
        <w:tc>
          <w:tcPr>
            <w:tcW w:w="1020" w:type="dxa"/>
            <w:noWrap w:val="0"/>
            <w:vAlign w:val="center"/>
          </w:tcPr>
          <w:p w14:paraId="718D2EFD">
            <w:pPr>
              <w:pStyle w:val="8"/>
              <w:keepNext/>
              <w:spacing w:after="0" w:line="440" w:lineRule="exact"/>
              <w:ind w:left="63" w:right="63"/>
              <w:rPr>
                <w:rFonts w:eastAsia="仿宋_GB2312"/>
                <w:color w:val="auto"/>
                <w:sz w:val="30"/>
                <w:szCs w:val="30"/>
                <w:highlight w:val="none"/>
              </w:rPr>
            </w:pPr>
          </w:p>
        </w:tc>
        <w:tc>
          <w:tcPr>
            <w:tcW w:w="921" w:type="dxa"/>
            <w:noWrap w:val="0"/>
            <w:vAlign w:val="center"/>
          </w:tcPr>
          <w:p w14:paraId="72B60649">
            <w:pPr>
              <w:pStyle w:val="8"/>
              <w:keepNext/>
              <w:spacing w:after="0" w:line="440" w:lineRule="exact"/>
              <w:ind w:left="63" w:right="63"/>
              <w:rPr>
                <w:rFonts w:eastAsia="仿宋_GB2312"/>
                <w:color w:val="auto"/>
                <w:sz w:val="30"/>
                <w:szCs w:val="30"/>
                <w:highlight w:val="none"/>
              </w:rPr>
            </w:pPr>
          </w:p>
        </w:tc>
      </w:tr>
      <w:tr w14:paraId="2EC5AC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6BAADD63">
            <w:pPr>
              <w:rPr>
                <w:rFonts w:eastAsia="仿宋_GB2312"/>
                <w:color w:val="auto"/>
                <w:sz w:val="30"/>
                <w:szCs w:val="30"/>
                <w:highlight w:val="none"/>
              </w:rPr>
            </w:pPr>
          </w:p>
        </w:tc>
        <w:tc>
          <w:tcPr>
            <w:tcW w:w="1418" w:type="dxa"/>
            <w:noWrap w:val="0"/>
            <w:vAlign w:val="top"/>
          </w:tcPr>
          <w:p w14:paraId="3A255970">
            <w:pPr>
              <w:rPr>
                <w:rFonts w:eastAsia="仿宋_GB2312"/>
                <w:color w:val="auto"/>
                <w:sz w:val="30"/>
                <w:szCs w:val="30"/>
                <w:highlight w:val="none"/>
              </w:rPr>
            </w:pPr>
          </w:p>
        </w:tc>
        <w:tc>
          <w:tcPr>
            <w:tcW w:w="850" w:type="dxa"/>
            <w:noWrap w:val="0"/>
            <w:vAlign w:val="top"/>
          </w:tcPr>
          <w:p w14:paraId="5C7A0567">
            <w:pPr>
              <w:rPr>
                <w:rFonts w:eastAsia="仿宋_GB2312"/>
                <w:color w:val="auto"/>
                <w:sz w:val="30"/>
                <w:szCs w:val="30"/>
                <w:highlight w:val="none"/>
              </w:rPr>
            </w:pPr>
          </w:p>
        </w:tc>
        <w:tc>
          <w:tcPr>
            <w:tcW w:w="1058" w:type="dxa"/>
            <w:noWrap w:val="0"/>
            <w:vAlign w:val="top"/>
          </w:tcPr>
          <w:p w14:paraId="0E6E008A">
            <w:pPr>
              <w:rPr>
                <w:rFonts w:eastAsia="仿宋_GB2312"/>
                <w:color w:val="auto"/>
                <w:sz w:val="30"/>
                <w:szCs w:val="30"/>
                <w:highlight w:val="none"/>
              </w:rPr>
            </w:pPr>
          </w:p>
        </w:tc>
        <w:tc>
          <w:tcPr>
            <w:tcW w:w="880" w:type="dxa"/>
            <w:noWrap w:val="0"/>
            <w:vAlign w:val="top"/>
          </w:tcPr>
          <w:p w14:paraId="72A411E1">
            <w:pPr>
              <w:rPr>
                <w:rFonts w:eastAsia="仿宋_GB2312"/>
                <w:color w:val="auto"/>
                <w:sz w:val="30"/>
                <w:szCs w:val="30"/>
                <w:highlight w:val="none"/>
              </w:rPr>
            </w:pPr>
          </w:p>
        </w:tc>
        <w:tc>
          <w:tcPr>
            <w:tcW w:w="1020" w:type="dxa"/>
            <w:noWrap w:val="0"/>
            <w:vAlign w:val="top"/>
          </w:tcPr>
          <w:p w14:paraId="34EB3989">
            <w:pPr>
              <w:rPr>
                <w:rFonts w:eastAsia="仿宋_GB2312"/>
                <w:color w:val="auto"/>
                <w:sz w:val="30"/>
                <w:szCs w:val="30"/>
                <w:highlight w:val="none"/>
              </w:rPr>
            </w:pPr>
          </w:p>
        </w:tc>
        <w:tc>
          <w:tcPr>
            <w:tcW w:w="1480" w:type="dxa"/>
            <w:noWrap w:val="0"/>
            <w:vAlign w:val="top"/>
          </w:tcPr>
          <w:p w14:paraId="01E3068D">
            <w:pPr>
              <w:rPr>
                <w:rFonts w:eastAsia="仿宋_GB2312"/>
                <w:color w:val="auto"/>
                <w:sz w:val="30"/>
                <w:szCs w:val="30"/>
                <w:highlight w:val="none"/>
              </w:rPr>
            </w:pPr>
          </w:p>
        </w:tc>
        <w:tc>
          <w:tcPr>
            <w:tcW w:w="1020" w:type="dxa"/>
            <w:noWrap w:val="0"/>
            <w:vAlign w:val="top"/>
          </w:tcPr>
          <w:p w14:paraId="1ACAC2F2">
            <w:pPr>
              <w:rPr>
                <w:rFonts w:eastAsia="仿宋_GB2312"/>
                <w:color w:val="auto"/>
                <w:sz w:val="30"/>
                <w:szCs w:val="30"/>
                <w:highlight w:val="none"/>
              </w:rPr>
            </w:pPr>
          </w:p>
        </w:tc>
        <w:tc>
          <w:tcPr>
            <w:tcW w:w="921" w:type="dxa"/>
            <w:noWrap w:val="0"/>
            <w:vAlign w:val="top"/>
          </w:tcPr>
          <w:p w14:paraId="4BAF896C">
            <w:pPr>
              <w:rPr>
                <w:rFonts w:eastAsia="仿宋_GB2312"/>
                <w:color w:val="auto"/>
                <w:sz w:val="30"/>
                <w:szCs w:val="30"/>
                <w:highlight w:val="none"/>
              </w:rPr>
            </w:pPr>
          </w:p>
        </w:tc>
      </w:tr>
      <w:tr w14:paraId="792989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0EB0672B">
            <w:pPr>
              <w:pStyle w:val="8"/>
              <w:keepNext/>
              <w:spacing w:after="0" w:line="440" w:lineRule="exact"/>
              <w:ind w:left="63" w:right="63"/>
              <w:rPr>
                <w:rFonts w:eastAsia="仿宋_GB2312"/>
                <w:color w:val="auto"/>
                <w:sz w:val="30"/>
                <w:szCs w:val="30"/>
                <w:highlight w:val="none"/>
              </w:rPr>
            </w:pPr>
          </w:p>
        </w:tc>
        <w:tc>
          <w:tcPr>
            <w:tcW w:w="1418" w:type="dxa"/>
            <w:noWrap w:val="0"/>
            <w:vAlign w:val="center"/>
          </w:tcPr>
          <w:p w14:paraId="3CCBB5D7">
            <w:pPr>
              <w:pStyle w:val="8"/>
              <w:keepNext/>
              <w:spacing w:after="0" w:line="440" w:lineRule="exact"/>
              <w:ind w:left="63" w:right="63"/>
              <w:rPr>
                <w:rFonts w:eastAsia="仿宋_GB2312"/>
                <w:color w:val="auto"/>
                <w:sz w:val="30"/>
                <w:szCs w:val="30"/>
                <w:highlight w:val="none"/>
              </w:rPr>
            </w:pPr>
          </w:p>
        </w:tc>
        <w:tc>
          <w:tcPr>
            <w:tcW w:w="850" w:type="dxa"/>
            <w:noWrap w:val="0"/>
            <w:vAlign w:val="center"/>
          </w:tcPr>
          <w:p w14:paraId="1DA0EC52">
            <w:pPr>
              <w:pStyle w:val="8"/>
              <w:keepNext/>
              <w:spacing w:after="0" w:line="440" w:lineRule="exact"/>
              <w:ind w:left="63" w:right="63"/>
              <w:rPr>
                <w:rFonts w:eastAsia="仿宋_GB2312"/>
                <w:color w:val="auto"/>
                <w:sz w:val="30"/>
                <w:szCs w:val="30"/>
                <w:highlight w:val="none"/>
              </w:rPr>
            </w:pPr>
          </w:p>
        </w:tc>
        <w:tc>
          <w:tcPr>
            <w:tcW w:w="1058" w:type="dxa"/>
            <w:noWrap w:val="0"/>
            <w:vAlign w:val="center"/>
          </w:tcPr>
          <w:p w14:paraId="18E3D21E">
            <w:pPr>
              <w:pStyle w:val="8"/>
              <w:keepNext/>
              <w:spacing w:after="0" w:line="440" w:lineRule="exact"/>
              <w:ind w:left="63" w:right="63"/>
              <w:rPr>
                <w:rFonts w:eastAsia="仿宋_GB2312"/>
                <w:color w:val="auto"/>
                <w:sz w:val="30"/>
                <w:szCs w:val="30"/>
                <w:highlight w:val="none"/>
              </w:rPr>
            </w:pPr>
          </w:p>
        </w:tc>
        <w:tc>
          <w:tcPr>
            <w:tcW w:w="880" w:type="dxa"/>
            <w:noWrap w:val="0"/>
            <w:vAlign w:val="center"/>
          </w:tcPr>
          <w:p w14:paraId="5D0D8934">
            <w:pPr>
              <w:pStyle w:val="8"/>
              <w:keepNext/>
              <w:spacing w:after="0" w:line="440" w:lineRule="exact"/>
              <w:ind w:left="63" w:right="63"/>
              <w:rPr>
                <w:rFonts w:eastAsia="仿宋_GB2312"/>
                <w:color w:val="auto"/>
                <w:sz w:val="30"/>
                <w:szCs w:val="30"/>
                <w:highlight w:val="none"/>
              </w:rPr>
            </w:pPr>
          </w:p>
        </w:tc>
        <w:tc>
          <w:tcPr>
            <w:tcW w:w="1020" w:type="dxa"/>
            <w:noWrap w:val="0"/>
            <w:vAlign w:val="center"/>
          </w:tcPr>
          <w:p w14:paraId="12B114DA">
            <w:pPr>
              <w:pStyle w:val="8"/>
              <w:keepNext/>
              <w:spacing w:after="0" w:line="440" w:lineRule="exact"/>
              <w:ind w:left="63" w:right="63"/>
              <w:rPr>
                <w:rFonts w:eastAsia="仿宋_GB2312"/>
                <w:color w:val="auto"/>
                <w:sz w:val="30"/>
                <w:szCs w:val="30"/>
                <w:highlight w:val="none"/>
              </w:rPr>
            </w:pPr>
          </w:p>
        </w:tc>
        <w:tc>
          <w:tcPr>
            <w:tcW w:w="1480" w:type="dxa"/>
            <w:noWrap w:val="0"/>
            <w:vAlign w:val="center"/>
          </w:tcPr>
          <w:p w14:paraId="0CD53018">
            <w:pPr>
              <w:pStyle w:val="8"/>
              <w:keepNext/>
              <w:spacing w:after="0" w:line="440" w:lineRule="exact"/>
              <w:ind w:left="63" w:right="63"/>
              <w:rPr>
                <w:rFonts w:eastAsia="仿宋_GB2312"/>
                <w:color w:val="auto"/>
                <w:sz w:val="30"/>
                <w:szCs w:val="30"/>
                <w:highlight w:val="none"/>
              </w:rPr>
            </w:pPr>
          </w:p>
        </w:tc>
        <w:tc>
          <w:tcPr>
            <w:tcW w:w="1020" w:type="dxa"/>
            <w:noWrap w:val="0"/>
            <w:vAlign w:val="center"/>
          </w:tcPr>
          <w:p w14:paraId="537ED5EB">
            <w:pPr>
              <w:pStyle w:val="8"/>
              <w:keepNext/>
              <w:spacing w:after="0" w:line="440" w:lineRule="exact"/>
              <w:ind w:left="63" w:right="63"/>
              <w:rPr>
                <w:rFonts w:eastAsia="仿宋_GB2312"/>
                <w:color w:val="auto"/>
                <w:sz w:val="30"/>
                <w:szCs w:val="30"/>
                <w:highlight w:val="none"/>
              </w:rPr>
            </w:pPr>
          </w:p>
        </w:tc>
        <w:tc>
          <w:tcPr>
            <w:tcW w:w="921" w:type="dxa"/>
            <w:noWrap w:val="0"/>
            <w:vAlign w:val="center"/>
          </w:tcPr>
          <w:p w14:paraId="51355EDF">
            <w:pPr>
              <w:pStyle w:val="8"/>
              <w:keepNext/>
              <w:spacing w:after="0" w:line="440" w:lineRule="exact"/>
              <w:ind w:left="63" w:right="63"/>
              <w:rPr>
                <w:rFonts w:eastAsia="仿宋_GB2312"/>
                <w:color w:val="auto"/>
                <w:sz w:val="30"/>
                <w:szCs w:val="30"/>
                <w:highlight w:val="none"/>
              </w:rPr>
            </w:pPr>
          </w:p>
        </w:tc>
      </w:tr>
      <w:tr w14:paraId="7DA004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5CA82CE0">
            <w:pPr>
              <w:rPr>
                <w:rFonts w:eastAsia="仿宋_GB2312"/>
                <w:color w:val="auto"/>
                <w:sz w:val="30"/>
                <w:szCs w:val="30"/>
                <w:highlight w:val="none"/>
              </w:rPr>
            </w:pPr>
          </w:p>
        </w:tc>
        <w:tc>
          <w:tcPr>
            <w:tcW w:w="1418" w:type="dxa"/>
            <w:noWrap w:val="0"/>
            <w:vAlign w:val="top"/>
          </w:tcPr>
          <w:p w14:paraId="7552E6D3">
            <w:pPr>
              <w:rPr>
                <w:rFonts w:eastAsia="仿宋_GB2312"/>
                <w:color w:val="auto"/>
                <w:sz w:val="30"/>
                <w:szCs w:val="30"/>
                <w:highlight w:val="none"/>
              </w:rPr>
            </w:pPr>
          </w:p>
        </w:tc>
        <w:tc>
          <w:tcPr>
            <w:tcW w:w="850" w:type="dxa"/>
            <w:noWrap w:val="0"/>
            <w:vAlign w:val="top"/>
          </w:tcPr>
          <w:p w14:paraId="161E3386">
            <w:pPr>
              <w:rPr>
                <w:rFonts w:eastAsia="仿宋_GB2312"/>
                <w:color w:val="auto"/>
                <w:sz w:val="30"/>
                <w:szCs w:val="30"/>
                <w:highlight w:val="none"/>
              </w:rPr>
            </w:pPr>
          </w:p>
        </w:tc>
        <w:tc>
          <w:tcPr>
            <w:tcW w:w="1058" w:type="dxa"/>
            <w:noWrap w:val="0"/>
            <w:vAlign w:val="top"/>
          </w:tcPr>
          <w:p w14:paraId="0B8509F4">
            <w:pPr>
              <w:rPr>
                <w:rFonts w:eastAsia="仿宋_GB2312"/>
                <w:color w:val="auto"/>
                <w:sz w:val="30"/>
                <w:szCs w:val="30"/>
                <w:highlight w:val="none"/>
              </w:rPr>
            </w:pPr>
          </w:p>
        </w:tc>
        <w:tc>
          <w:tcPr>
            <w:tcW w:w="880" w:type="dxa"/>
            <w:noWrap w:val="0"/>
            <w:vAlign w:val="top"/>
          </w:tcPr>
          <w:p w14:paraId="76C1241C">
            <w:pPr>
              <w:rPr>
                <w:rFonts w:eastAsia="仿宋_GB2312"/>
                <w:color w:val="auto"/>
                <w:sz w:val="30"/>
                <w:szCs w:val="30"/>
                <w:highlight w:val="none"/>
              </w:rPr>
            </w:pPr>
          </w:p>
        </w:tc>
        <w:tc>
          <w:tcPr>
            <w:tcW w:w="1020" w:type="dxa"/>
            <w:noWrap w:val="0"/>
            <w:vAlign w:val="top"/>
          </w:tcPr>
          <w:p w14:paraId="2E803336">
            <w:pPr>
              <w:rPr>
                <w:rFonts w:eastAsia="仿宋_GB2312"/>
                <w:color w:val="auto"/>
                <w:sz w:val="30"/>
                <w:szCs w:val="30"/>
                <w:highlight w:val="none"/>
              </w:rPr>
            </w:pPr>
          </w:p>
        </w:tc>
        <w:tc>
          <w:tcPr>
            <w:tcW w:w="1480" w:type="dxa"/>
            <w:noWrap w:val="0"/>
            <w:vAlign w:val="top"/>
          </w:tcPr>
          <w:p w14:paraId="5EB064D5">
            <w:pPr>
              <w:rPr>
                <w:rFonts w:eastAsia="仿宋_GB2312"/>
                <w:color w:val="auto"/>
                <w:sz w:val="30"/>
                <w:szCs w:val="30"/>
                <w:highlight w:val="none"/>
              </w:rPr>
            </w:pPr>
          </w:p>
        </w:tc>
        <w:tc>
          <w:tcPr>
            <w:tcW w:w="1020" w:type="dxa"/>
            <w:noWrap w:val="0"/>
            <w:vAlign w:val="top"/>
          </w:tcPr>
          <w:p w14:paraId="140E37CC">
            <w:pPr>
              <w:rPr>
                <w:rFonts w:eastAsia="仿宋_GB2312"/>
                <w:color w:val="auto"/>
                <w:sz w:val="30"/>
                <w:szCs w:val="30"/>
                <w:highlight w:val="none"/>
              </w:rPr>
            </w:pPr>
          </w:p>
        </w:tc>
        <w:tc>
          <w:tcPr>
            <w:tcW w:w="921" w:type="dxa"/>
            <w:noWrap w:val="0"/>
            <w:vAlign w:val="top"/>
          </w:tcPr>
          <w:p w14:paraId="6C6FE029">
            <w:pPr>
              <w:rPr>
                <w:rFonts w:eastAsia="仿宋_GB2312"/>
                <w:color w:val="auto"/>
                <w:sz w:val="30"/>
                <w:szCs w:val="30"/>
                <w:highlight w:val="none"/>
              </w:rPr>
            </w:pPr>
          </w:p>
        </w:tc>
      </w:tr>
      <w:tr w14:paraId="746209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35CC2B42">
            <w:pPr>
              <w:rPr>
                <w:rFonts w:eastAsia="仿宋_GB2312"/>
                <w:color w:val="auto"/>
                <w:sz w:val="30"/>
                <w:szCs w:val="30"/>
                <w:highlight w:val="none"/>
              </w:rPr>
            </w:pPr>
          </w:p>
        </w:tc>
        <w:tc>
          <w:tcPr>
            <w:tcW w:w="1418" w:type="dxa"/>
            <w:noWrap w:val="0"/>
            <w:vAlign w:val="top"/>
          </w:tcPr>
          <w:p w14:paraId="41091C8F">
            <w:pPr>
              <w:rPr>
                <w:rFonts w:eastAsia="仿宋_GB2312"/>
                <w:color w:val="auto"/>
                <w:sz w:val="30"/>
                <w:szCs w:val="30"/>
                <w:highlight w:val="none"/>
              </w:rPr>
            </w:pPr>
          </w:p>
        </w:tc>
        <w:tc>
          <w:tcPr>
            <w:tcW w:w="850" w:type="dxa"/>
            <w:noWrap w:val="0"/>
            <w:vAlign w:val="top"/>
          </w:tcPr>
          <w:p w14:paraId="37F981F8">
            <w:pPr>
              <w:rPr>
                <w:rFonts w:eastAsia="仿宋_GB2312"/>
                <w:color w:val="auto"/>
                <w:sz w:val="30"/>
                <w:szCs w:val="30"/>
                <w:highlight w:val="none"/>
              </w:rPr>
            </w:pPr>
          </w:p>
        </w:tc>
        <w:tc>
          <w:tcPr>
            <w:tcW w:w="1058" w:type="dxa"/>
            <w:noWrap w:val="0"/>
            <w:vAlign w:val="top"/>
          </w:tcPr>
          <w:p w14:paraId="48D1EE9D">
            <w:pPr>
              <w:rPr>
                <w:rFonts w:eastAsia="仿宋_GB2312"/>
                <w:color w:val="auto"/>
                <w:sz w:val="30"/>
                <w:szCs w:val="30"/>
                <w:highlight w:val="none"/>
              </w:rPr>
            </w:pPr>
          </w:p>
        </w:tc>
        <w:tc>
          <w:tcPr>
            <w:tcW w:w="880" w:type="dxa"/>
            <w:noWrap w:val="0"/>
            <w:vAlign w:val="top"/>
          </w:tcPr>
          <w:p w14:paraId="4CEC9F26">
            <w:pPr>
              <w:rPr>
                <w:rFonts w:eastAsia="仿宋_GB2312"/>
                <w:color w:val="auto"/>
                <w:sz w:val="30"/>
                <w:szCs w:val="30"/>
                <w:highlight w:val="none"/>
              </w:rPr>
            </w:pPr>
          </w:p>
        </w:tc>
        <w:tc>
          <w:tcPr>
            <w:tcW w:w="1020" w:type="dxa"/>
            <w:noWrap w:val="0"/>
            <w:vAlign w:val="top"/>
          </w:tcPr>
          <w:p w14:paraId="5761D029">
            <w:pPr>
              <w:rPr>
                <w:rFonts w:eastAsia="仿宋_GB2312"/>
                <w:color w:val="auto"/>
                <w:sz w:val="30"/>
                <w:szCs w:val="30"/>
                <w:highlight w:val="none"/>
              </w:rPr>
            </w:pPr>
          </w:p>
        </w:tc>
        <w:tc>
          <w:tcPr>
            <w:tcW w:w="1480" w:type="dxa"/>
            <w:noWrap w:val="0"/>
            <w:vAlign w:val="top"/>
          </w:tcPr>
          <w:p w14:paraId="3DE26C45">
            <w:pPr>
              <w:rPr>
                <w:rFonts w:eastAsia="仿宋_GB2312"/>
                <w:color w:val="auto"/>
                <w:sz w:val="30"/>
                <w:szCs w:val="30"/>
                <w:highlight w:val="none"/>
              </w:rPr>
            </w:pPr>
          </w:p>
        </w:tc>
        <w:tc>
          <w:tcPr>
            <w:tcW w:w="1020" w:type="dxa"/>
            <w:noWrap w:val="0"/>
            <w:vAlign w:val="top"/>
          </w:tcPr>
          <w:p w14:paraId="6FE10CA7">
            <w:pPr>
              <w:rPr>
                <w:rFonts w:eastAsia="仿宋_GB2312"/>
                <w:color w:val="auto"/>
                <w:sz w:val="30"/>
                <w:szCs w:val="30"/>
                <w:highlight w:val="none"/>
              </w:rPr>
            </w:pPr>
          </w:p>
        </w:tc>
        <w:tc>
          <w:tcPr>
            <w:tcW w:w="921" w:type="dxa"/>
            <w:noWrap w:val="0"/>
            <w:vAlign w:val="top"/>
          </w:tcPr>
          <w:p w14:paraId="521D86A3">
            <w:pPr>
              <w:rPr>
                <w:rFonts w:eastAsia="仿宋_GB2312"/>
                <w:color w:val="auto"/>
                <w:sz w:val="30"/>
                <w:szCs w:val="30"/>
                <w:highlight w:val="none"/>
              </w:rPr>
            </w:pPr>
          </w:p>
        </w:tc>
      </w:tr>
      <w:tr w14:paraId="17A1D3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080FDE20">
            <w:pPr>
              <w:rPr>
                <w:rFonts w:eastAsia="仿宋_GB2312"/>
                <w:color w:val="auto"/>
                <w:sz w:val="30"/>
                <w:szCs w:val="30"/>
                <w:highlight w:val="none"/>
              </w:rPr>
            </w:pPr>
          </w:p>
        </w:tc>
        <w:tc>
          <w:tcPr>
            <w:tcW w:w="1418" w:type="dxa"/>
            <w:noWrap w:val="0"/>
            <w:vAlign w:val="top"/>
          </w:tcPr>
          <w:p w14:paraId="508CD7A4">
            <w:pPr>
              <w:rPr>
                <w:rFonts w:eastAsia="仿宋_GB2312"/>
                <w:color w:val="auto"/>
                <w:sz w:val="30"/>
                <w:szCs w:val="30"/>
                <w:highlight w:val="none"/>
              </w:rPr>
            </w:pPr>
          </w:p>
        </w:tc>
        <w:tc>
          <w:tcPr>
            <w:tcW w:w="850" w:type="dxa"/>
            <w:noWrap w:val="0"/>
            <w:vAlign w:val="top"/>
          </w:tcPr>
          <w:p w14:paraId="2373CEF3">
            <w:pPr>
              <w:rPr>
                <w:rFonts w:eastAsia="仿宋_GB2312"/>
                <w:color w:val="auto"/>
                <w:sz w:val="30"/>
                <w:szCs w:val="30"/>
                <w:highlight w:val="none"/>
              </w:rPr>
            </w:pPr>
          </w:p>
        </w:tc>
        <w:tc>
          <w:tcPr>
            <w:tcW w:w="1058" w:type="dxa"/>
            <w:noWrap w:val="0"/>
            <w:vAlign w:val="top"/>
          </w:tcPr>
          <w:p w14:paraId="7C2601F0">
            <w:pPr>
              <w:rPr>
                <w:rFonts w:eastAsia="仿宋_GB2312"/>
                <w:color w:val="auto"/>
                <w:sz w:val="30"/>
                <w:szCs w:val="30"/>
                <w:highlight w:val="none"/>
              </w:rPr>
            </w:pPr>
          </w:p>
        </w:tc>
        <w:tc>
          <w:tcPr>
            <w:tcW w:w="880" w:type="dxa"/>
            <w:noWrap w:val="0"/>
            <w:vAlign w:val="top"/>
          </w:tcPr>
          <w:p w14:paraId="7BAAF0D5">
            <w:pPr>
              <w:rPr>
                <w:rFonts w:eastAsia="仿宋_GB2312"/>
                <w:color w:val="auto"/>
                <w:sz w:val="30"/>
                <w:szCs w:val="30"/>
                <w:highlight w:val="none"/>
              </w:rPr>
            </w:pPr>
          </w:p>
        </w:tc>
        <w:tc>
          <w:tcPr>
            <w:tcW w:w="1020" w:type="dxa"/>
            <w:noWrap w:val="0"/>
            <w:vAlign w:val="top"/>
          </w:tcPr>
          <w:p w14:paraId="0CA9C77C">
            <w:pPr>
              <w:rPr>
                <w:rFonts w:eastAsia="仿宋_GB2312"/>
                <w:color w:val="auto"/>
                <w:sz w:val="30"/>
                <w:szCs w:val="30"/>
                <w:highlight w:val="none"/>
              </w:rPr>
            </w:pPr>
          </w:p>
        </w:tc>
        <w:tc>
          <w:tcPr>
            <w:tcW w:w="1480" w:type="dxa"/>
            <w:noWrap w:val="0"/>
            <w:vAlign w:val="top"/>
          </w:tcPr>
          <w:p w14:paraId="7A30B355">
            <w:pPr>
              <w:rPr>
                <w:rFonts w:eastAsia="仿宋_GB2312"/>
                <w:color w:val="auto"/>
                <w:sz w:val="30"/>
                <w:szCs w:val="30"/>
                <w:highlight w:val="none"/>
              </w:rPr>
            </w:pPr>
          </w:p>
        </w:tc>
        <w:tc>
          <w:tcPr>
            <w:tcW w:w="1020" w:type="dxa"/>
            <w:noWrap w:val="0"/>
            <w:vAlign w:val="top"/>
          </w:tcPr>
          <w:p w14:paraId="61612831">
            <w:pPr>
              <w:rPr>
                <w:rFonts w:eastAsia="仿宋_GB2312"/>
                <w:color w:val="auto"/>
                <w:sz w:val="30"/>
                <w:szCs w:val="30"/>
                <w:highlight w:val="none"/>
              </w:rPr>
            </w:pPr>
          </w:p>
        </w:tc>
        <w:tc>
          <w:tcPr>
            <w:tcW w:w="921" w:type="dxa"/>
            <w:noWrap w:val="0"/>
            <w:vAlign w:val="top"/>
          </w:tcPr>
          <w:p w14:paraId="13815D7E">
            <w:pPr>
              <w:rPr>
                <w:rFonts w:eastAsia="仿宋_GB2312"/>
                <w:color w:val="auto"/>
                <w:sz w:val="30"/>
                <w:szCs w:val="30"/>
                <w:highlight w:val="none"/>
              </w:rPr>
            </w:pPr>
          </w:p>
        </w:tc>
      </w:tr>
      <w:tr w14:paraId="419F03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07A1F4ED">
            <w:pPr>
              <w:rPr>
                <w:rFonts w:eastAsia="仿宋_GB2312"/>
                <w:color w:val="auto"/>
                <w:sz w:val="30"/>
                <w:szCs w:val="30"/>
                <w:highlight w:val="none"/>
              </w:rPr>
            </w:pPr>
          </w:p>
        </w:tc>
        <w:tc>
          <w:tcPr>
            <w:tcW w:w="1418" w:type="dxa"/>
            <w:noWrap w:val="0"/>
            <w:vAlign w:val="top"/>
          </w:tcPr>
          <w:p w14:paraId="27C2EE8D">
            <w:pPr>
              <w:rPr>
                <w:rFonts w:eastAsia="仿宋_GB2312"/>
                <w:color w:val="auto"/>
                <w:sz w:val="30"/>
                <w:szCs w:val="30"/>
                <w:highlight w:val="none"/>
              </w:rPr>
            </w:pPr>
          </w:p>
        </w:tc>
        <w:tc>
          <w:tcPr>
            <w:tcW w:w="850" w:type="dxa"/>
            <w:noWrap w:val="0"/>
            <w:vAlign w:val="top"/>
          </w:tcPr>
          <w:p w14:paraId="58F48671">
            <w:pPr>
              <w:rPr>
                <w:rFonts w:eastAsia="仿宋_GB2312"/>
                <w:color w:val="auto"/>
                <w:sz w:val="30"/>
                <w:szCs w:val="30"/>
                <w:highlight w:val="none"/>
              </w:rPr>
            </w:pPr>
          </w:p>
        </w:tc>
        <w:tc>
          <w:tcPr>
            <w:tcW w:w="1058" w:type="dxa"/>
            <w:noWrap w:val="0"/>
            <w:vAlign w:val="top"/>
          </w:tcPr>
          <w:p w14:paraId="28DC68F3">
            <w:pPr>
              <w:rPr>
                <w:rFonts w:eastAsia="仿宋_GB2312"/>
                <w:color w:val="auto"/>
                <w:sz w:val="30"/>
                <w:szCs w:val="30"/>
                <w:highlight w:val="none"/>
              </w:rPr>
            </w:pPr>
          </w:p>
        </w:tc>
        <w:tc>
          <w:tcPr>
            <w:tcW w:w="880" w:type="dxa"/>
            <w:noWrap w:val="0"/>
            <w:vAlign w:val="top"/>
          </w:tcPr>
          <w:p w14:paraId="141F06AE">
            <w:pPr>
              <w:rPr>
                <w:rFonts w:eastAsia="仿宋_GB2312"/>
                <w:color w:val="auto"/>
                <w:sz w:val="30"/>
                <w:szCs w:val="30"/>
                <w:highlight w:val="none"/>
              </w:rPr>
            </w:pPr>
          </w:p>
        </w:tc>
        <w:tc>
          <w:tcPr>
            <w:tcW w:w="1020" w:type="dxa"/>
            <w:noWrap w:val="0"/>
            <w:vAlign w:val="top"/>
          </w:tcPr>
          <w:p w14:paraId="6AE7D7EC">
            <w:pPr>
              <w:rPr>
                <w:rFonts w:eastAsia="仿宋_GB2312"/>
                <w:color w:val="auto"/>
                <w:sz w:val="30"/>
                <w:szCs w:val="30"/>
                <w:highlight w:val="none"/>
              </w:rPr>
            </w:pPr>
          </w:p>
        </w:tc>
        <w:tc>
          <w:tcPr>
            <w:tcW w:w="1480" w:type="dxa"/>
            <w:noWrap w:val="0"/>
            <w:vAlign w:val="top"/>
          </w:tcPr>
          <w:p w14:paraId="352CCBF2">
            <w:pPr>
              <w:rPr>
                <w:rFonts w:eastAsia="仿宋_GB2312"/>
                <w:color w:val="auto"/>
                <w:sz w:val="30"/>
                <w:szCs w:val="30"/>
                <w:highlight w:val="none"/>
              </w:rPr>
            </w:pPr>
          </w:p>
        </w:tc>
        <w:tc>
          <w:tcPr>
            <w:tcW w:w="1020" w:type="dxa"/>
            <w:noWrap w:val="0"/>
            <w:vAlign w:val="top"/>
          </w:tcPr>
          <w:p w14:paraId="62F0285E">
            <w:pPr>
              <w:rPr>
                <w:rFonts w:eastAsia="仿宋_GB2312"/>
                <w:color w:val="auto"/>
                <w:sz w:val="30"/>
                <w:szCs w:val="30"/>
                <w:highlight w:val="none"/>
              </w:rPr>
            </w:pPr>
          </w:p>
        </w:tc>
        <w:tc>
          <w:tcPr>
            <w:tcW w:w="921" w:type="dxa"/>
            <w:noWrap w:val="0"/>
            <w:vAlign w:val="top"/>
          </w:tcPr>
          <w:p w14:paraId="5F505DD2">
            <w:pPr>
              <w:rPr>
                <w:rFonts w:eastAsia="仿宋_GB2312"/>
                <w:color w:val="auto"/>
                <w:sz w:val="30"/>
                <w:szCs w:val="30"/>
                <w:highlight w:val="none"/>
              </w:rPr>
            </w:pPr>
          </w:p>
        </w:tc>
      </w:tr>
      <w:tr w14:paraId="086409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4680C321">
            <w:pPr>
              <w:rPr>
                <w:rFonts w:eastAsia="仿宋_GB2312"/>
                <w:color w:val="auto"/>
                <w:sz w:val="30"/>
                <w:szCs w:val="30"/>
                <w:highlight w:val="none"/>
              </w:rPr>
            </w:pPr>
          </w:p>
        </w:tc>
        <w:tc>
          <w:tcPr>
            <w:tcW w:w="1418" w:type="dxa"/>
            <w:noWrap w:val="0"/>
            <w:vAlign w:val="top"/>
          </w:tcPr>
          <w:p w14:paraId="1468B8BD">
            <w:pPr>
              <w:rPr>
                <w:rFonts w:eastAsia="仿宋_GB2312"/>
                <w:color w:val="auto"/>
                <w:sz w:val="30"/>
                <w:szCs w:val="30"/>
                <w:highlight w:val="none"/>
              </w:rPr>
            </w:pPr>
          </w:p>
        </w:tc>
        <w:tc>
          <w:tcPr>
            <w:tcW w:w="850" w:type="dxa"/>
            <w:noWrap w:val="0"/>
            <w:vAlign w:val="top"/>
          </w:tcPr>
          <w:p w14:paraId="61A5E55E">
            <w:pPr>
              <w:rPr>
                <w:rFonts w:eastAsia="仿宋_GB2312"/>
                <w:color w:val="auto"/>
                <w:sz w:val="30"/>
                <w:szCs w:val="30"/>
                <w:highlight w:val="none"/>
              </w:rPr>
            </w:pPr>
          </w:p>
        </w:tc>
        <w:tc>
          <w:tcPr>
            <w:tcW w:w="1058" w:type="dxa"/>
            <w:noWrap w:val="0"/>
            <w:vAlign w:val="top"/>
          </w:tcPr>
          <w:p w14:paraId="5F33AA95">
            <w:pPr>
              <w:rPr>
                <w:rFonts w:eastAsia="仿宋_GB2312"/>
                <w:color w:val="auto"/>
                <w:sz w:val="30"/>
                <w:szCs w:val="30"/>
                <w:highlight w:val="none"/>
              </w:rPr>
            </w:pPr>
          </w:p>
        </w:tc>
        <w:tc>
          <w:tcPr>
            <w:tcW w:w="880" w:type="dxa"/>
            <w:noWrap w:val="0"/>
            <w:vAlign w:val="top"/>
          </w:tcPr>
          <w:p w14:paraId="44E8D518">
            <w:pPr>
              <w:rPr>
                <w:rFonts w:eastAsia="仿宋_GB2312"/>
                <w:color w:val="auto"/>
                <w:sz w:val="30"/>
                <w:szCs w:val="30"/>
                <w:highlight w:val="none"/>
              </w:rPr>
            </w:pPr>
          </w:p>
        </w:tc>
        <w:tc>
          <w:tcPr>
            <w:tcW w:w="1020" w:type="dxa"/>
            <w:noWrap w:val="0"/>
            <w:vAlign w:val="top"/>
          </w:tcPr>
          <w:p w14:paraId="1AF6199A">
            <w:pPr>
              <w:rPr>
                <w:rFonts w:eastAsia="仿宋_GB2312"/>
                <w:color w:val="auto"/>
                <w:sz w:val="30"/>
                <w:szCs w:val="30"/>
                <w:highlight w:val="none"/>
              </w:rPr>
            </w:pPr>
          </w:p>
        </w:tc>
        <w:tc>
          <w:tcPr>
            <w:tcW w:w="1480" w:type="dxa"/>
            <w:noWrap w:val="0"/>
            <w:vAlign w:val="top"/>
          </w:tcPr>
          <w:p w14:paraId="6333AD8F">
            <w:pPr>
              <w:rPr>
                <w:rFonts w:eastAsia="仿宋_GB2312"/>
                <w:color w:val="auto"/>
                <w:sz w:val="30"/>
                <w:szCs w:val="30"/>
                <w:highlight w:val="none"/>
              </w:rPr>
            </w:pPr>
          </w:p>
        </w:tc>
        <w:tc>
          <w:tcPr>
            <w:tcW w:w="1020" w:type="dxa"/>
            <w:noWrap w:val="0"/>
            <w:vAlign w:val="top"/>
          </w:tcPr>
          <w:p w14:paraId="46FB1CF2">
            <w:pPr>
              <w:rPr>
                <w:rFonts w:eastAsia="仿宋_GB2312"/>
                <w:color w:val="auto"/>
                <w:sz w:val="30"/>
                <w:szCs w:val="30"/>
                <w:highlight w:val="none"/>
              </w:rPr>
            </w:pPr>
          </w:p>
        </w:tc>
        <w:tc>
          <w:tcPr>
            <w:tcW w:w="921" w:type="dxa"/>
            <w:noWrap w:val="0"/>
            <w:vAlign w:val="top"/>
          </w:tcPr>
          <w:p w14:paraId="3A9D4B65">
            <w:pPr>
              <w:rPr>
                <w:rFonts w:eastAsia="仿宋_GB2312"/>
                <w:color w:val="auto"/>
                <w:sz w:val="30"/>
                <w:szCs w:val="30"/>
                <w:highlight w:val="none"/>
              </w:rPr>
            </w:pPr>
          </w:p>
        </w:tc>
      </w:tr>
      <w:tr w14:paraId="599D0C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5E81E76F">
            <w:pPr>
              <w:rPr>
                <w:rFonts w:eastAsia="仿宋_GB2312"/>
                <w:color w:val="auto"/>
                <w:sz w:val="30"/>
                <w:szCs w:val="30"/>
                <w:highlight w:val="none"/>
              </w:rPr>
            </w:pPr>
          </w:p>
        </w:tc>
        <w:tc>
          <w:tcPr>
            <w:tcW w:w="1418" w:type="dxa"/>
            <w:noWrap w:val="0"/>
            <w:vAlign w:val="top"/>
          </w:tcPr>
          <w:p w14:paraId="38CFC8A8">
            <w:pPr>
              <w:rPr>
                <w:rFonts w:eastAsia="仿宋_GB2312"/>
                <w:color w:val="auto"/>
                <w:sz w:val="30"/>
                <w:szCs w:val="30"/>
                <w:highlight w:val="none"/>
              </w:rPr>
            </w:pPr>
          </w:p>
        </w:tc>
        <w:tc>
          <w:tcPr>
            <w:tcW w:w="850" w:type="dxa"/>
            <w:noWrap w:val="0"/>
            <w:vAlign w:val="top"/>
          </w:tcPr>
          <w:p w14:paraId="5022DADB">
            <w:pPr>
              <w:rPr>
                <w:rFonts w:eastAsia="仿宋_GB2312"/>
                <w:color w:val="auto"/>
                <w:sz w:val="30"/>
                <w:szCs w:val="30"/>
                <w:highlight w:val="none"/>
              </w:rPr>
            </w:pPr>
          </w:p>
        </w:tc>
        <w:tc>
          <w:tcPr>
            <w:tcW w:w="1058" w:type="dxa"/>
            <w:noWrap w:val="0"/>
            <w:vAlign w:val="top"/>
          </w:tcPr>
          <w:p w14:paraId="398F9BA9">
            <w:pPr>
              <w:rPr>
                <w:rFonts w:eastAsia="仿宋_GB2312"/>
                <w:color w:val="auto"/>
                <w:sz w:val="30"/>
                <w:szCs w:val="30"/>
                <w:highlight w:val="none"/>
              </w:rPr>
            </w:pPr>
          </w:p>
        </w:tc>
        <w:tc>
          <w:tcPr>
            <w:tcW w:w="880" w:type="dxa"/>
            <w:noWrap w:val="0"/>
            <w:vAlign w:val="top"/>
          </w:tcPr>
          <w:p w14:paraId="03B19836">
            <w:pPr>
              <w:rPr>
                <w:rFonts w:eastAsia="仿宋_GB2312"/>
                <w:color w:val="auto"/>
                <w:sz w:val="30"/>
                <w:szCs w:val="30"/>
                <w:highlight w:val="none"/>
              </w:rPr>
            </w:pPr>
          </w:p>
        </w:tc>
        <w:tc>
          <w:tcPr>
            <w:tcW w:w="1020" w:type="dxa"/>
            <w:noWrap w:val="0"/>
            <w:vAlign w:val="top"/>
          </w:tcPr>
          <w:p w14:paraId="6385E603">
            <w:pPr>
              <w:rPr>
                <w:rFonts w:eastAsia="仿宋_GB2312"/>
                <w:color w:val="auto"/>
                <w:sz w:val="30"/>
                <w:szCs w:val="30"/>
                <w:highlight w:val="none"/>
              </w:rPr>
            </w:pPr>
          </w:p>
        </w:tc>
        <w:tc>
          <w:tcPr>
            <w:tcW w:w="1480" w:type="dxa"/>
            <w:noWrap w:val="0"/>
            <w:vAlign w:val="top"/>
          </w:tcPr>
          <w:p w14:paraId="1A85183F">
            <w:pPr>
              <w:rPr>
                <w:rFonts w:eastAsia="仿宋_GB2312"/>
                <w:color w:val="auto"/>
                <w:sz w:val="30"/>
                <w:szCs w:val="30"/>
                <w:highlight w:val="none"/>
              </w:rPr>
            </w:pPr>
          </w:p>
        </w:tc>
        <w:tc>
          <w:tcPr>
            <w:tcW w:w="1020" w:type="dxa"/>
            <w:noWrap w:val="0"/>
            <w:vAlign w:val="top"/>
          </w:tcPr>
          <w:p w14:paraId="4E868C50">
            <w:pPr>
              <w:rPr>
                <w:rFonts w:eastAsia="仿宋_GB2312"/>
                <w:color w:val="auto"/>
                <w:sz w:val="30"/>
                <w:szCs w:val="30"/>
                <w:highlight w:val="none"/>
              </w:rPr>
            </w:pPr>
          </w:p>
        </w:tc>
        <w:tc>
          <w:tcPr>
            <w:tcW w:w="921" w:type="dxa"/>
            <w:noWrap w:val="0"/>
            <w:vAlign w:val="top"/>
          </w:tcPr>
          <w:p w14:paraId="7134C15C">
            <w:pPr>
              <w:rPr>
                <w:rFonts w:eastAsia="仿宋_GB2312"/>
                <w:color w:val="auto"/>
                <w:sz w:val="30"/>
                <w:szCs w:val="30"/>
                <w:highlight w:val="none"/>
              </w:rPr>
            </w:pPr>
          </w:p>
        </w:tc>
      </w:tr>
      <w:tr w14:paraId="6E52B2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712F1E7C">
            <w:pPr>
              <w:rPr>
                <w:rFonts w:eastAsia="仿宋_GB2312"/>
                <w:color w:val="auto"/>
                <w:sz w:val="30"/>
                <w:szCs w:val="30"/>
                <w:highlight w:val="none"/>
              </w:rPr>
            </w:pPr>
          </w:p>
        </w:tc>
        <w:tc>
          <w:tcPr>
            <w:tcW w:w="1418" w:type="dxa"/>
            <w:noWrap w:val="0"/>
            <w:vAlign w:val="top"/>
          </w:tcPr>
          <w:p w14:paraId="515347BE">
            <w:pPr>
              <w:rPr>
                <w:rFonts w:eastAsia="仿宋_GB2312"/>
                <w:color w:val="auto"/>
                <w:sz w:val="30"/>
                <w:szCs w:val="30"/>
                <w:highlight w:val="none"/>
              </w:rPr>
            </w:pPr>
          </w:p>
        </w:tc>
        <w:tc>
          <w:tcPr>
            <w:tcW w:w="850" w:type="dxa"/>
            <w:noWrap w:val="0"/>
            <w:vAlign w:val="top"/>
          </w:tcPr>
          <w:p w14:paraId="162714B2">
            <w:pPr>
              <w:rPr>
                <w:rFonts w:eastAsia="仿宋_GB2312"/>
                <w:color w:val="auto"/>
                <w:sz w:val="30"/>
                <w:szCs w:val="30"/>
                <w:highlight w:val="none"/>
              </w:rPr>
            </w:pPr>
          </w:p>
        </w:tc>
        <w:tc>
          <w:tcPr>
            <w:tcW w:w="1058" w:type="dxa"/>
            <w:noWrap w:val="0"/>
            <w:vAlign w:val="top"/>
          </w:tcPr>
          <w:p w14:paraId="4F835886">
            <w:pPr>
              <w:rPr>
                <w:rFonts w:eastAsia="仿宋_GB2312"/>
                <w:color w:val="auto"/>
                <w:sz w:val="30"/>
                <w:szCs w:val="30"/>
                <w:highlight w:val="none"/>
              </w:rPr>
            </w:pPr>
          </w:p>
        </w:tc>
        <w:tc>
          <w:tcPr>
            <w:tcW w:w="880" w:type="dxa"/>
            <w:noWrap w:val="0"/>
            <w:vAlign w:val="top"/>
          </w:tcPr>
          <w:p w14:paraId="0D6EC9BC">
            <w:pPr>
              <w:rPr>
                <w:rFonts w:eastAsia="仿宋_GB2312"/>
                <w:color w:val="auto"/>
                <w:sz w:val="30"/>
                <w:szCs w:val="30"/>
                <w:highlight w:val="none"/>
              </w:rPr>
            </w:pPr>
          </w:p>
        </w:tc>
        <w:tc>
          <w:tcPr>
            <w:tcW w:w="1020" w:type="dxa"/>
            <w:noWrap w:val="0"/>
            <w:vAlign w:val="top"/>
          </w:tcPr>
          <w:p w14:paraId="6F38C321">
            <w:pPr>
              <w:rPr>
                <w:rFonts w:eastAsia="仿宋_GB2312"/>
                <w:color w:val="auto"/>
                <w:sz w:val="30"/>
                <w:szCs w:val="30"/>
                <w:highlight w:val="none"/>
              </w:rPr>
            </w:pPr>
          </w:p>
        </w:tc>
        <w:tc>
          <w:tcPr>
            <w:tcW w:w="1480" w:type="dxa"/>
            <w:noWrap w:val="0"/>
            <w:vAlign w:val="top"/>
          </w:tcPr>
          <w:p w14:paraId="0437230A">
            <w:pPr>
              <w:rPr>
                <w:rFonts w:eastAsia="仿宋_GB2312"/>
                <w:color w:val="auto"/>
                <w:sz w:val="30"/>
                <w:szCs w:val="30"/>
                <w:highlight w:val="none"/>
              </w:rPr>
            </w:pPr>
          </w:p>
        </w:tc>
        <w:tc>
          <w:tcPr>
            <w:tcW w:w="1020" w:type="dxa"/>
            <w:noWrap w:val="0"/>
            <w:vAlign w:val="top"/>
          </w:tcPr>
          <w:p w14:paraId="353F46BF">
            <w:pPr>
              <w:rPr>
                <w:rFonts w:eastAsia="仿宋_GB2312"/>
                <w:color w:val="auto"/>
                <w:sz w:val="30"/>
                <w:szCs w:val="30"/>
                <w:highlight w:val="none"/>
              </w:rPr>
            </w:pPr>
          </w:p>
        </w:tc>
        <w:tc>
          <w:tcPr>
            <w:tcW w:w="921" w:type="dxa"/>
            <w:noWrap w:val="0"/>
            <w:vAlign w:val="top"/>
          </w:tcPr>
          <w:p w14:paraId="329A219D">
            <w:pPr>
              <w:rPr>
                <w:rFonts w:eastAsia="仿宋_GB2312"/>
                <w:color w:val="auto"/>
                <w:sz w:val="30"/>
                <w:szCs w:val="30"/>
                <w:highlight w:val="none"/>
              </w:rPr>
            </w:pPr>
          </w:p>
        </w:tc>
      </w:tr>
      <w:tr w14:paraId="2ABFE6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127581D6">
            <w:pPr>
              <w:rPr>
                <w:rFonts w:eastAsia="仿宋_GB2312"/>
                <w:color w:val="auto"/>
                <w:sz w:val="30"/>
                <w:szCs w:val="30"/>
                <w:highlight w:val="none"/>
              </w:rPr>
            </w:pPr>
          </w:p>
        </w:tc>
        <w:tc>
          <w:tcPr>
            <w:tcW w:w="1418" w:type="dxa"/>
            <w:noWrap w:val="0"/>
            <w:vAlign w:val="top"/>
          </w:tcPr>
          <w:p w14:paraId="02B65C04">
            <w:pPr>
              <w:rPr>
                <w:rFonts w:eastAsia="仿宋_GB2312"/>
                <w:color w:val="auto"/>
                <w:sz w:val="30"/>
                <w:szCs w:val="30"/>
                <w:highlight w:val="none"/>
              </w:rPr>
            </w:pPr>
          </w:p>
        </w:tc>
        <w:tc>
          <w:tcPr>
            <w:tcW w:w="850" w:type="dxa"/>
            <w:noWrap w:val="0"/>
            <w:vAlign w:val="top"/>
          </w:tcPr>
          <w:p w14:paraId="79B0DF00">
            <w:pPr>
              <w:rPr>
                <w:rFonts w:eastAsia="仿宋_GB2312"/>
                <w:color w:val="auto"/>
                <w:sz w:val="30"/>
                <w:szCs w:val="30"/>
                <w:highlight w:val="none"/>
              </w:rPr>
            </w:pPr>
          </w:p>
        </w:tc>
        <w:tc>
          <w:tcPr>
            <w:tcW w:w="1058" w:type="dxa"/>
            <w:noWrap w:val="0"/>
            <w:vAlign w:val="top"/>
          </w:tcPr>
          <w:p w14:paraId="5BCE0D6D">
            <w:pPr>
              <w:rPr>
                <w:rFonts w:eastAsia="仿宋_GB2312"/>
                <w:color w:val="auto"/>
                <w:sz w:val="30"/>
                <w:szCs w:val="30"/>
                <w:highlight w:val="none"/>
              </w:rPr>
            </w:pPr>
          </w:p>
        </w:tc>
        <w:tc>
          <w:tcPr>
            <w:tcW w:w="880" w:type="dxa"/>
            <w:noWrap w:val="0"/>
            <w:vAlign w:val="top"/>
          </w:tcPr>
          <w:p w14:paraId="1BCC3BAB">
            <w:pPr>
              <w:rPr>
                <w:rFonts w:eastAsia="仿宋_GB2312"/>
                <w:color w:val="auto"/>
                <w:sz w:val="30"/>
                <w:szCs w:val="30"/>
                <w:highlight w:val="none"/>
              </w:rPr>
            </w:pPr>
          </w:p>
        </w:tc>
        <w:tc>
          <w:tcPr>
            <w:tcW w:w="1020" w:type="dxa"/>
            <w:noWrap w:val="0"/>
            <w:vAlign w:val="top"/>
          </w:tcPr>
          <w:p w14:paraId="7297CF3C">
            <w:pPr>
              <w:rPr>
                <w:rFonts w:eastAsia="仿宋_GB2312"/>
                <w:color w:val="auto"/>
                <w:sz w:val="30"/>
                <w:szCs w:val="30"/>
                <w:highlight w:val="none"/>
              </w:rPr>
            </w:pPr>
          </w:p>
        </w:tc>
        <w:tc>
          <w:tcPr>
            <w:tcW w:w="1480" w:type="dxa"/>
            <w:noWrap w:val="0"/>
            <w:vAlign w:val="top"/>
          </w:tcPr>
          <w:p w14:paraId="1B6B05AC">
            <w:pPr>
              <w:rPr>
                <w:rFonts w:eastAsia="仿宋_GB2312"/>
                <w:color w:val="auto"/>
                <w:sz w:val="30"/>
                <w:szCs w:val="30"/>
                <w:highlight w:val="none"/>
              </w:rPr>
            </w:pPr>
          </w:p>
        </w:tc>
        <w:tc>
          <w:tcPr>
            <w:tcW w:w="1020" w:type="dxa"/>
            <w:noWrap w:val="0"/>
            <w:vAlign w:val="top"/>
          </w:tcPr>
          <w:p w14:paraId="535178C6">
            <w:pPr>
              <w:rPr>
                <w:rFonts w:eastAsia="仿宋_GB2312"/>
                <w:color w:val="auto"/>
                <w:sz w:val="30"/>
                <w:szCs w:val="30"/>
                <w:highlight w:val="none"/>
              </w:rPr>
            </w:pPr>
          </w:p>
        </w:tc>
        <w:tc>
          <w:tcPr>
            <w:tcW w:w="921" w:type="dxa"/>
            <w:noWrap w:val="0"/>
            <w:vAlign w:val="top"/>
          </w:tcPr>
          <w:p w14:paraId="59D7BD6C">
            <w:pPr>
              <w:rPr>
                <w:rFonts w:eastAsia="仿宋_GB2312"/>
                <w:color w:val="auto"/>
                <w:sz w:val="30"/>
                <w:szCs w:val="30"/>
                <w:highlight w:val="none"/>
              </w:rPr>
            </w:pPr>
          </w:p>
        </w:tc>
      </w:tr>
    </w:tbl>
    <w:p w14:paraId="493370C2">
      <w:pPr>
        <w:spacing w:line="440" w:lineRule="exact"/>
        <w:outlineLvl w:val="9"/>
        <w:rPr>
          <w:rFonts w:ascii="Times New Roman" w:hAnsi="Times New Roman" w:eastAsia="仿宋_GB2312"/>
          <w:color w:val="auto"/>
          <w:sz w:val="30"/>
          <w:szCs w:val="30"/>
          <w:highlight w:val="none"/>
        </w:rPr>
      </w:pPr>
      <w:bookmarkStart w:id="1893" w:name="_Toc2056"/>
      <w:bookmarkStart w:id="1894" w:name="_Toc32300"/>
    </w:p>
    <w:p w14:paraId="01977A15">
      <w:pPr>
        <w:spacing w:line="440" w:lineRule="exact"/>
        <w:outlineLvl w:val="3"/>
        <w:rPr>
          <w:rFonts w:ascii="Times New Roman" w:hAnsi="Times New Roman" w:eastAsia="黑体"/>
          <w:color w:val="auto"/>
          <w:sz w:val="30"/>
          <w:szCs w:val="30"/>
          <w:highlight w:val="none"/>
        </w:rPr>
      </w:pPr>
      <w:r>
        <w:rPr>
          <w:rFonts w:ascii="Times New Roman" w:hAnsi="Times New Roman" w:eastAsia="仿宋_GB2312"/>
          <w:color w:val="auto"/>
          <w:sz w:val="30"/>
          <w:szCs w:val="30"/>
          <w:highlight w:val="none"/>
        </w:rPr>
        <w:t>附</w:t>
      </w:r>
      <w:bookmarkStart w:id="1895" w:name="_Toc296346729"/>
      <w:bookmarkStart w:id="1896" w:name="_Toc296503228"/>
      <w:bookmarkStart w:id="1897" w:name="_Toc296347227"/>
      <w:bookmarkStart w:id="1898" w:name="_Toc296944567"/>
      <w:bookmarkStart w:id="1899" w:name="_Toc296891268"/>
      <w:bookmarkStart w:id="1900" w:name="_Toc267261699"/>
      <w:bookmarkStart w:id="1901" w:name="_Toc296891056"/>
      <w:r>
        <w:rPr>
          <w:rFonts w:ascii="Times New Roman" w:hAnsi="Times New Roman" w:eastAsia="仿宋_GB2312"/>
          <w:color w:val="auto"/>
          <w:sz w:val="30"/>
          <w:szCs w:val="30"/>
          <w:highlight w:val="none"/>
        </w:rPr>
        <w:t>件6：</w:t>
      </w:r>
      <w:bookmarkEnd w:id="1893"/>
      <w:bookmarkEnd w:id="1894"/>
    </w:p>
    <w:bookmarkEnd w:id="1895"/>
    <w:bookmarkEnd w:id="1896"/>
    <w:bookmarkEnd w:id="1897"/>
    <w:bookmarkEnd w:id="1898"/>
    <w:bookmarkEnd w:id="1899"/>
    <w:bookmarkEnd w:id="1900"/>
    <w:bookmarkEnd w:id="1901"/>
    <w:p w14:paraId="18844F2F">
      <w:pPr>
        <w:spacing w:before="156" w:beforeLines="50" w:after="156" w:afterLines="50" w:line="440" w:lineRule="exact"/>
        <w:jc w:val="center"/>
        <w:outlineLvl w:val="4"/>
        <w:rPr>
          <w:rFonts w:ascii="Times New Roman" w:hAnsi="Times New Roman" w:eastAsia="黑体"/>
          <w:color w:val="auto"/>
          <w:sz w:val="30"/>
          <w:szCs w:val="30"/>
          <w:highlight w:val="none"/>
        </w:rPr>
      </w:pPr>
      <w:bookmarkStart w:id="1902" w:name="_Toc27611"/>
      <w:bookmarkStart w:id="1903" w:name="_Toc12048"/>
      <w:r>
        <w:rPr>
          <w:rFonts w:ascii="Times New Roman" w:hAnsi="Times New Roman" w:eastAsia="黑体"/>
          <w:color w:val="auto"/>
          <w:sz w:val="30"/>
          <w:szCs w:val="30"/>
          <w:highlight w:val="none"/>
        </w:rPr>
        <w:t>承包人主要施工管理人员表</w:t>
      </w:r>
      <w:bookmarkEnd w:id="1902"/>
      <w:bookmarkEnd w:id="1903"/>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14:paraId="2D1CFE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bottom w:val="double" w:color="auto" w:sz="6" w:space="0"/>
            </w:tcBorders>
            <w:noWrap w:val="0"/>
            <w:vAlign w:val="center"/>
          </w:tcPr>
          <w:p w14:paraId="7B03401A">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r>
              <w:rPr>
                <w:rFonts w:eastAsia="仿宋_GB2312"/>
                <w:color w:val="auto"/>
                <w:sz w:val="21"/>
                <w:szCs w:val="21"/>
                <w:highlight w:val="none"/>
              </w:rPr>
              <w:t>名    称</w:t>
            </w:r>
          </w:p>
        </w:tc>
        <w:tc>
          <w:tcPr>
            <w:tcW w:w="1418" w:type="dxa"/>
            <w:tcBorders>
              <w:top w:val="single" w:color="auto" w:sz="12" w:space="0"/>
              <w:bottom w:val="double" w:color="auto" w:sz="6" w:space="0"/>
            </w:tcBorders>
            <w:noWrap w:val="0"/>
            <w:vAlign w:val="center"/>
          </w:tcPr>
          <w:p w14:paraId="3E4A4518">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r>
              <w:rPr>
                <w:rFonts w:eastAsia="仿宋_GB2312"/>
                <w:color w:val="auto"/>
                <w:sz w:val="21"/>
                <w:szCs w:val="21"/>
                <w:highlight w:val="none"/>
              </w:rPr>
              <w:t>姓名</w:t>
            </w:r>
          </w:p>
        </w:tc>
        <w:tc>
          <w:tcPr>
            <w:tcW w:w="1134" w:type="dxa"/>
            <w:tcBorders>
              <w:top w:val="single" w:color="auto" w:sz="12" w:space="0"/>
              <w:bottom w:val="double" w:color="auto" w:sz="6" w:space="0"/>
            </w:tcBorders>
            <w:noWrap w:val="0"/>
            <w:vAlign w:val="center"/>
          </w:tcPr>
          <w:p w14:paraId="4BB73E20">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r>
              <w:rPr>
                <w:rFonts w:eastAsia="仿宋_GB2312"/>
                <w:color w:val="auto"/>
                <w:sz w:val="21"/>
                <w:szCs w:val="21"/>
                <w:highlight w:val="none"/>
              </w:rPr>
              <w:t>职务</w:t>
            </w:r>
          </w:p>
        </w:tc>
        <w:tc>
          <w:tcPr>
            <w:tcW w:w="1134" w:type="dxa"/>
            <w:tcBorders>
              <w:top w:val="single" w:color="auto" w:sz="12" w:space="0"/>
              <w:bottom w:val="double" w:color="auto" w:sz="6" w:space="0"/>
            </w:tcBorders>
            <w:noWrap w:val="0"/>
            <w:vAlign w:val="center"/>
          </w:tcPr>
          <w:p w14:paraId="1DBC5267">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r>
              <w:rPr>
                <w:rFonts w:eastAsia="仿宋_GB2312"/>
                <w:color w:val="auto"/>
                <w:sz w:val="21"/>
                <w:szCs w:val="21"/>
                <w:highlight w:val="none"/>
              </w:rPr>
              <w:t>职称</w:t>
            </w:r>
          </w:p>
        </w:tc>
        <w:tc>
          <w:tcPr>
            <w:tcW w:w="4252" w:type="dxa"/>
            <w:tcBorders>
              <w:top w:val="single" w:color="auto" w:sz="12" w:space="0"/>
              <w:bottom w:val="double" w:color="auto" w:sz="6" w:space="0"/>
            </w:tcBorders>
            <w:noWrap w:val="0"/>
            <w:vAlign w:val="center"/>
          </w:tcPr>
          <w:p w14:paraId="5313E5DC">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r>
              <w:rPr>
                <w:rFonts w:eastAsia="仿宋_GB2312"/>
                <w:color w:val="auto"/>
                <w:sz w:val="21"/>
                <w:szCs w:val="21"/>
                <w:highlight w:val="none"/>
              </w:rPr>
              <w:t>主要资历、经验及承担过的项目</w:t>
            </w:r>
          </w:p>
        </w:tc>
      </w:tr>
      <w:tr w14:paraId="30F9E4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double" w:color="auto" w:sz="6" w:space="0"/>
              <w:bottom w:val="single" w:color="auto" w:sz="6" w:space="0"/>
            </w:tcBorders>
            <w:noWrap w:val="0"/>
            <w:vAlign w:val="center"/>
          </w:tcPr>
          <w:p w14:paraId="1118566F">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r>
              <w:rPr>
                <w:rFonts w:eastAsia="仿宋_GB2312"/>
                <w:color w:val="auto"/>
                <w:sz w:val="21"/>
                <w:szCs w:val="21"/>
                <w:highlight w:val="none"/>
              </w:rPr>
              <w:t>一、总部人员</w:t>
            </w:r>
          </w:p>
        </w:tc>
      </w:tr>
      <w:tr w14:paraId="2E51AE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2F7B05AA">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r>
              <w:rPr>
                <w:rFonts w:eastAsia="仿宋_GB2312"/>
                <w:color w:val="auto"/>
                <w:sz w:val="21"/>
                <w:szCs w:val="21"/>
                <w:highlight w:val="none"/>
              </w:rPr>
              <w:t>项目主管</w:t>
            </w:r>
          </w:p>
        </w:tc>
        <w:tc>
          <w:tcPr>
            <w:tcW w:w="1418" w:type="dxa"/>
            <w:tcBorders>
              <w:top w:val="nil"/>
            </w:tcBorders>
            <w:noWrap w:val="0"/>
            <w:vAlign w:val="center"/>
          </w:tcPr>
          <w:p w14:paraId="626E326E">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tcBorders>
              <w:top w:val="nil"/>
            </w:tcBorders>
            <w:noWrap w:val="0"/>
            <w:vAlign w:val="center"/>
          </w:tcPr>
          <w:p w14:paraId="6415F29A">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tcBorders>
              <w:top w:val="nil"/>
            </w:tcBorders>
            <w:noWrap w:val="0"/>
            <w:vAlign w:val="center"/>
          </w:tcPr>
          <w:p w14:paraId="64687F63">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4252" w:type="dxa"/>
            <w:tcBorders>
              <w:top w:val="nil"/>
            </w:tcBorders>
            <w:noWrap w:val="0"/>
            <w:vAlign w:val="center"/>
          </w:tcPr>
          <w:p w14:paraId="1249180F">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r>
      <w:tr w14:paraId="6B6B5D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nil"/>
            </w:tcBorders>
            <w:noWrap w:val="0"/>
            <w:vAlign w:val="center"/>
          </w:tcPr>
          <w:p w14:paraId="57A06C06">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418" w:type="dxa"/>
            <w:noWrap w:val="0"/>
            <w:vAlign w:val="center"/>
          </w:tcPr>
          <w:p w14:paraId="55FA9A19">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10DF71FF">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5F070D73">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4252" w:type="dxa"/>
            <w:noWrap w:val="0"/>
            <w:vAlign w:val="center"/>
          </w:tcPr>
          <w:p w14:paraId="7132A09D">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r>
      <w:tr w14:paraId="397C0B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3542FEA4">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r>
              <w:rPr>
                <w:rFonts w:eastAsia="仿宋_GB2312"/>
                <w:color w:val="auto"/>
                <w:sz w:val="21"/>
                <w:szCs w:val="21"/>
                <w:highlight w:val="none"/>
              </w:rPr>
              <w:t>其他人员</w:t>
            </w:r>
          </w:p>
        </w:tc>
        <w:tc>
          <w:tcPr>
            <w:tcW w:w="1418" w:type="dxa"/>
            <w:noWrap w:val="0"/>
            <w:vAlign w:val="center"/>
          </w:tcPr>
          <w:p w14:paraId="596649C5">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6BCA4DBD">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029DC101">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4252" w:type="dxa"/>
            <w:noWrap w:val="0"/>
            <w:vAlign w:val="center"/>
          </w:tcPr>
          <w:p w14:paraId="6765DE5B">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r>
      <w:tr w14:paraId="7C5026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164B89B8">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418" w:type="dxa"/>
            <w:noWrap w:val="0"/>
            <w:vAlign w:val="center"/>
          </w:tcPr>
          <w:p w14:paraId="5E18F7ED">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052A8359">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714B1655">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4252" w:type="dxa"/>
            <w:noWrap w:val="0"/>
            <w:vAlign w:val="center"/>
          </w:tcPr>
          <w:p w14:paraId="6A2C1CBD">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r>
      <w:tr w14:paraId="6EDEB3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single" w:color="auto" w:sz="6" w:space="0"/>
              <w:bottom w:val="single" w:color="auto" w:sz="6" w:space="0"/>
            </w:tcBorders>
            <w:noWrap w:val="0"/>
            <w:vAlign w:val="center"/>
          </w:tcPr>
          <w:p w14:paraId="37E38E01">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r>
              <w:rPr>
                <w:rFonts w:eastAsia="仿宋_GB2312"/>
                <w:color w:val="auto"/>
                <w:sz w:val="21"/>
                <w:szCs w:val="21"/>
                <w:highlight w:val="none"/>
              </w:rPr>
              <w:t>二、现场人员</w:t>
            </w:r>
          </w:p>
        </w:tc>
      </w:tr>
      <w:tr w14:paraId="5239C1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561E829D">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r>
              <w:rPr>
                <w:rFonts w:eastAsia="仿宋_GB2312"/>
                <w:color w:val="auto"/>
                <w:sz w:val="21"/>
                <w:szCs w:val="21"/>
                <w:highlight w:val="none"/>
              </w:rPr>
              <w:t>项目经理</w:t>
            </w:r>
          </w:p>
        </w:tc>
        <w:tc>
          <w:tcPr>
            <w:tcW w:w="1418" w:type="dxa"/>
            <w:noWrap w:val="0"/>
            <w:vAlign w:val="center"/>
          </w:tcPr>
          <w:p w14:paraId="4A381FE3">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4A2C233D">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7833FC18">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4252" w:type="dxa"/>
            <w:noWrap w:val="0"/>
            <w:vAlign w:val="center"/>
          </w:tcPr>
          <w:p w14:paraId="2C6DBDE1">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r>
      <w:tr w14:paraId="32E02C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2C764E93">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r>
              <w:rPr>
                <w:rFonts w:eastAsia="仿宋_GB2312"/>
                <w:color w:val="auto"/>
                <w:sz w:val="21"/>
                <w:szCs w:val="21"/>
                <w:highlight w:val="none"/>
              </w:rPr>
              <w:t>项目副经理</w:t>
            </w:r>
          </w:p>
        </w:tc>
        <w:tc>
          <w:tcPr>
            <w:tcW w:w="1418" w:type="dxa"/>
            <w:noWrap w:val="0"/>
            <w:vAlign w:val="center"/>
          </w:tcPr>
          <w:p w14:paraId="14A578A5">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368C37B6">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5F605E4B">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4252" w:type="dxa"/>
            <w:noWrap w:val="0"/>
            <w:vAlign w:val="center"/>
          </w:tcPr>
          <w:p w14:paraId="3DB6CD76">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r>
      <w:tr w14:paraId="431120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21024557">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r>
              <w:rPr>
                <w:rFonts w:eastAsia="仿宋_GB2312"/>
                <w:color w:val="auto"/>
                <w:sz w:val="21"/>
                <w:szCs w:val="21"/>
                <w:highlight w:val="none"/>
              </w:rPr>
              <w:t>技术负责人</w:t>
            </w:r>
          </w:p>
        </w:tc>
        <w:tc>
          <w:tcPr>
            <w:tcW w:w="1418" w:type="dxa"/>
            <w:noWrap w:val="0"/>
            <w:vAlign w:val="center"/>
          </w:tcPr>
          <w:p w14:paraId="3A160BCB">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596260E3">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5A9BFBA3">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4252" w:type="dxa"/>
            <w:noWrap w:val="0"/>
            <w:vAlign w:val="center"/>
          </w:tcPr>
          <w:p w14:paraId="7B02B301">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r>
      <w:tr w14:paraId="391F25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145E4161">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r>
              <w:rPr>
                <w:rFonts w:eastAsia="仿宋_GB2312"/>
                <w:color w:val="auto"/>
                <w:sz w:val="21"/>
                <w:szCs w:val="21"/>
                <w:highlight w:val="none"/>
              </w:rPr>
              <w:t>造价管理</w:t>
            </w:r>
          </w:p>
        </w:tc>
        <w:tc>
          <w:tcPr>
            <w:tcW w:w="1418" w:type="dxa"/>
            <w:noWrap w:val="0"/>
            <w:vAlign w:val="center"/>
          </w:tcPr>
          <w:p w14:paraId="598FA689">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323F774E">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67C92F0F">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4252" w:type="dxa"/>
            <w:noWrap w:val="0"/>
            <w:vAlign w:val="center"/>
          </w:tcPr>
          <w:p w14:paraId="03F40DBA">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r>
      <w:tr w14:paraId="36F013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6918FF67">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r>
              <w:rPr>
                <w:rFonts w:eastAsia="仿宋_GB2312"/>
                <w:color w:val="auto"/>
                <w:sz w:val="21"/>
                <w:szCs w:val="21"/>
                <w:highlight w:val="none"/>
              </w:rPr>
              <w:t>质量管理</w:t>
            </w:r>
          </w:p>
        </w:tc>
        <w:tc>
          <w:tcPr>
            <w:tcW w:w="1418" w:type="dxa"/>
            <w:noWrap w:val="0"/>
            <w:vAlign w:val="center"/>
          </w:tcPr>
          <w:p w14:paraId="18DEFA7D">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76B73C45">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22AB1E77">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4252" w:type="dxa"/>
            <w:noWrap w:val="0"/>
            <w:vAlign w:val="center"/>
          </w:tcPr>
          <w:p w14:paraId="62258996">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r>
      <w:tr w14:paraId="6267C7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6D061391">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r>
              <w:rPr>
                <w:rFonts w:eastAsia="仿宋_GB2312"/>
                <w:color w:val="auto"/>
                <w:sz w:val="21"/>
                <w:szCs w:val="21"/>
                <w:highlight w:val="none"/>
              </w:rPr>
              <w:t>材料管理</w:t>
            </w:r>
          </w:p>
        </w:tc>
        <w:tc>
          <w:tcPr>
            <w:tcW w:w="1418" w:type="dxa"/>
            <w:noWrap w:val="0"/>
            <w:vAlign w:val="center"/>
          </w:tcPr>
          <w:p w14:paraId="2110A5CD">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74C71C76">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7A230469">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4252" w:type="dxa"/>
            <w:noWrap w:val="0"/>
            <w:vAlign w:val="center"/>
          </w:tcPr>
          <w:p w14:paraId="2533141B">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r>
      <w:tr w14:paraId="2E1CB5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02700BDC">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r>
              <w:rPr>
                <w:rFonts w:eastAsia="仿宋_GB2312"/>
                <w:color w:val="auto"/>
                <w:sz w:val="21"/>
                <w:szCs w:val="21"/>
                <w:highlight w:val="none"/>
              </w:rPr>
              <w:t>计划管理</w:t>
            </w:r>
          </w:p>
        </w:tc>
        <w:tc>
          <w:tcPr>
            <w:tcW w:w="1418" w:type="dxa"/>
            <w:noWrap w:val="0"/>
            <w:vAlign w:val="center"/>
          </w:tcPr>
          <w:p w14:paraId="607519FE">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50D00379">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6F79DA68">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4252" w:type="dxa"/>
            <w:noWrap w:val="0"/>
            <w:vAlign w:val="center"/>
          </w:tcPr>
          <w:p w14:paraId="1EE2F943">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r>
      <w:tr w14:paraId="2EF98B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7CC52BD9">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r>
              <w:rPr>
                <w:rFonts w:eastAsia="仿宋_GB2312"/>
                <w:color w:val="auto"/>
                <w:sz w:val="21"/>
                <w:szCs w:val="21"/>
                <w:highlight w:val="none"/>
              </w:rPr>
              <w:t>安全管理</w:t>
            </w:r>
          </w:p>
        </w:tc>
        <w:tc>
          <w:tcPr>
            <w:tcW w:w="1418" w:type="dxa"/>
            <w:noWrap w:val="0"/>
            <w:vAlign w:val="center"/>
          </w:tcPr>
          <w:p w14:paraId="7B2090EB">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2A6D01C7">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149D2876">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4252" w:type="dxa"/>
            <w:noWrap w:val="0"/>
            <w:vAlign w:val="center"/>
          </w:tcPr>
          <w:p w14:paraId="31992532">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r>
      <w:tr w14:paraId="0945FC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tcBorders>
            <w:noWrap w:val="0"/>
            <w:vAlign w:val="center"/>
          </w:tcPr>
          <w:p w14:paraId="3C9D6572">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r>
              <w:rPr>
                <w:rFonts w:eastAsia="仿宋_GB2312"/>
                <w:color w:val="auto"/>
                <w:sz w:val="21"/>
                <w:szCs w:val="21"/>
                <w:highlight w:val="none"/>
              </w:rPr>
              <w:t>其他人员</w:t>
            </w:r>
          </w:p>
        </w:tc>
        <w:tc>
          <w:tcPr>
            <w:tcW w:w="1418" w:type="dxa"/>
            <w:noWrap w:val="0"/>
            <w:vAlign w:val="center"/>
          </w:tcPr>
          <w:p w14:paraId="38084B93">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32821F6B">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7173EBC6">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4252" w:type="dxa"/>
            <w:noWrap w:val="0"/>
            <w:vAlign w:val="center"/>
          </w:tcPr>
          <w:p w14:paraId="0CB57E1C">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r>
      <w:tr w14:paraId="76343E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53D103B8">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418" w:type="dxa"/>
            <w:tcBorders>
              <w:bottom w:val="nil"/>
            </w:tcBorders>
            <w:noWrap w:val="0"/>
            <w:vAlign w:val="center"/>
          </w:tcPr>
          <w:p w14:paraId="1C4FF4D1">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tcBorders>
              <w:bottom w:val="nil"/>
            </w:tcBorders>
            <w:noWrap w:val="0"/>
            <w:vAlign w:val="center"/>
          </w:tcPr>
          <w:p w14:paraId="69D5E68C">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tcBorders>
              <w:bottom w:val="nil"/>
            </w:tcBorders>
            <w:noWrap w:val="0"/>
            <w:vAlign w:val="center"/>
          </w:tcPr>
          <w:p w14:paraId="43B3014F">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4252" w:type="dxa"/>
            <w:tcBorders>
              <w:bottom w:val="nil"/>
            </w:tcBorders>
            <w:noWrap w:val="0"/>
            <w:vAlign w:val="center"/>
          </w:tcPr>
          <w:p w14:paraId="22CA9EC8">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r>
      <w:tr w14:paraId="4A519B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3EE20ADC">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418" w:type="dxa"/>
            <w:noWrap w:val="0"/>
            <w:vAlign w:val="center"/>
          </w:tcPr>
          <w:p w14:paraId="112C28F5">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7284E20C">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2A934B2E">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4252" w:type="dxa"/>
            <w:noWrap w:val="0"/>
            <w:vAlign w:val="center"/>
          </w:tcPr>
          <w:p w14:paraId="41B2891B">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r>
      <w:tr w14:paraId="5DE437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7EC879F2">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418" w:type="dxa"/>
            <w:noWrap w:val="0"/>
            <w:vAlign w:val="center"/>
          </w:tcPr>
          <w:p w14:paraId="2046C925">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4EB4C2BD">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0203B28E">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4252" w:type="dxa"/>
            <w:noWrap w:val="0"/>
            <w:vAlign w:val="center"/>
          </w:tcPr>
          <w:p w14:paraId="47F06BDD">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r>
      <w:tr w14:paraId="173085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7C12B3DF">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418" w:type="dxa"/>
            <w:noWrap w:val="0"/>
            <w:vAlign w:val="center"/>
          </w:tcPr>
          <w:p w14:paraId="2FE0D365">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323BF19E">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7B420A4F">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4252" w:type="dxa"/>
            <w:noWrap w:val="0"/>
            <w:vAlign w:val="center"/>
          </w:tcPr>
          <w:p w14:paraId="6E4930BC">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r>
      <w:tr w14:paraId="633E7A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bottom w:val="single" w:color="auto" w:sz="12" w:space="0"/>
            </w:tcBorders>
            <w:noWrap w:val="0"/>
            <w:vAlign w:val="center"/>
          </w:tcPr>
          <w:p w14:paraId="2E16003B">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418" w:type="dxa"/>
            <w:tcBorders>
              <w:bottom w:val="single" w:color="auto" w:sz="12" w:space="0"/>
            </w:tcBorders>
            <w:noWrap w:val="0"/>
            <w:vAlign w:val="center"/>
          </w:tcPr>
          <w:p w14:paraId="4A2F812D">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tcBorders>
              <w:bottom w:val="single" w:color="auto" w:sz="12" w:space="0"/>
            </w:tcBorders>
            <w:noWrap w:val="0"/>
            <w:vAlign w:val="center"/>
          </w:tcPr>
          <w:p w14:paraId="262F6DA1">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tcBorders>
              <w:bottom w:val="single" w:color="auto" w:sz="12" w:space="0"/>
            </w:tcBorders>
            <w:noWrap w:val="0"/>
            <w:vAlign w:val="center"/>
          </w:tcPr>
          <w:p w14:paraId="0107AA7F">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4252" w:type="dxa"/>
            <w:tcBorders>
              <w:bottom w:val="single" w:color="auto" w:sz="12" w:space="0"/>
            </w:tcBorders>
            <w:noWrap w:val="0"/>
            <w:vAlign w:val="center"/>
          </w:tcPr>
          <w:p w14:paraId="288756C5">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r>
    </w:tbl>
    <w:p w14:paraId="39093494">
      <w:pPr>
        <w:spacing w:line="440" w:lineRule="exact"/>
        <w:outlineLvl w:val="3"/>
        <w:rPr>
          <w:rFonts w:ascii="Times New Roman" w:hAnsi="Times New Roman" w:eastAsia="黑体"/>
          <w:color w:val="auto"/>
          <w:sz w:val="30"/>
          <w:szCs w:val="30"/>
          <w:highlight w:val="none"/>
        </w:rPr>
      </w:pPr>
      <w:r>
        <w:rPr>
          <w:rFonts w:ascii="Times New Roman" w:hAnsi="Times New Roman" w:eastAsia="仿宋_GB2312"/>
          <w:color w:val="auto"/>
          <w:sz w:val="30"/>
          <w:szCs w:val="30"/>
          <w:highlight w:val="none"/>
        </w:rPr>
        <w:br w:type="page"/>
      </w:r>
      <w:bookmarkStart w:id="1904" w:name="_Toc20207"/>
      <w:bookmarkStart w:id="1905" w:name="_Toc18220"/>
      <w:r>
        <w:rPr>
          <w:rFonts w:ascii="Times New Roman" w:hAnsi="Times New Roman" w:eastAsia="仿宋_GB2312"/>
          <w:color w:val="auto"/>
          <w:sz w:val="30"/>
          <w:szCs w:val="30"/>
          <w:highlight w:val="none"/>
        </w:rPr>
        <w:t>附</w:t>
      </w:r>
      <w:bookmarkStart w:id="1906" w:name="_Toc296346730"/>
      <w:bookmarkStart w:id="1907" w:name="_Toc296891269"/>
      <w:bookmarkStart w:id="1908" w:name="_Toc296944568"/>
      <w:bookmarkStart w:id="1909" w:name="_Toc296503229"/>
      <w:bookmarkStart w:id="1910" w:name="_Toc296347228"/>
      <w:bookmarkStart w:id="1911" w:name="_Toc296891057"/>
      <w:r>
        <w:rPr>
          <w:rFonts w:ascii="Times New Roman" w:hAnsi="Times New Roman" w:eastAsia="仿宋_GB2312"/>
          <w:color w:val="auto"/>
          <w:sz w:val="30"/>
          <w:szCs w:val="30"/>
          <w:highlight w:val="none"/>
        </w:rPr>
        <w:t>件7：</w:t>
      </w:r>
      <w:bookmarkEnd w:id="1904"/>
      <w:bookmarkEnd w:id="1905"/>
    </w:p>
    <w:bookmarkEnd w:id="1906"/>
    <w:bookmarkEnd w:id="1907"/>
    <w:bookmarkEnd w:id="1908"/>
    <w:bookmarkEnd w:id="1909"/>
    <w:bookmarkEnd w:id="1910"/>
    <w:bookmarkEnd w:id="1911"/>
    <w:p w14:paraId="449FEBF2">
      <w:pPr>
        <w:spacing w:before="156" w:beforeLines="50" w:after="156" w:afterLines="50" w:line="440" w:lineRule="exact"/>
        <w:jc w:val="center"/>
        <w:outlineLvl w:val="3"/>
        <w:rPr>
          <w:rFonts w:ascii="Times New Roman" w:hAnsi="Times New Roman" w:eastAsia="黑体"/>
          <w:color w:val="auto"/>
          <w:sz w:val="30"/>
          <w:szCs w:val="30"/>
          <w:highlight w:val="none"/>
        </w:rPr>
      </w:pPr>
      <w:bookmarkStart w:id="1912" w:name="_Toc4188"/>
      <w:bookmarkStart w:id="1913" w:name="_Toc30475"/>
      <w:r>
        <w:rPr>
          <w:rFonts w:ascii="Times New Roman" w:hAnsi="Times New Roman" w:eastAsia="黑体"/>
          <w:color w:val="auto"/>
          <w:sz w:val="30"/>
          <w:szCs w:val="30"/>
          <w:highlight w:val="none"/>
        </w:rPr>
        <w:t>分包人主要施工管理人员表</w:t>
      </w:r>
      <w:bookmarkEnd w:id="1912"/>
      <w:bookmarkEnd w:id="1913"/>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14:paraId="0FF95C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bottom w:val="double" w:color="auto" w:sz="6" w:space="0"/>
            </w:tcBorders>
            <w:noWrap w:val="0"/>
            <w:vAlign w:val="center"/>
          </w:tcPr>
          <w:p w14:paraId="61138AA7">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r>
              <w:rPr>
                <w:rFonts w:eastAsia="仿宋_GB2312"/>
                <w:color w:val="auto"/>
                <w:sz w:val="21"/>
                <w:szCs w:val="21"/>
                <w:highlight w:val="none"/>
              </w:rPr>
              <w:t>名    称</w:t>
            </w:r>
          </w:p>
        </w:tc>
        <w:tc>
          <w:tcPr>
            <w:tcW w:w="1418" w:type="dxa"/>
            <w:tcBorders>
              <w:top w:val="single" w:color="auto" w:sz="12" w:space="0"/>
              <w:bottom w:val="double" w:color="auto" w:sz="6" w:space="0"/>
            </w:tcBorders>
            <w:noWrap w:val="0"/>
            <w:vAlign w:val="center"/>
          </w:tcPr>
          <w:p w14:paraId="093D854D">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r>
              <w:rPr>
                <w:rFonts w:eastAsia="仿宋_GB2312"/>
                <w:color w:val="auto"/>
                <w:sz w:val="21"/>
                <w:szCs w:val="21"/>
                <w:highlight w:val="none"/>
              </w:rPr>
              <w:t>姓名</w:t>
            </w:r>
          </w:p>
        </w:tc>
        <w:tc>
          <w:tcPr>
            <w:tcW w:w="1134" w:type="dxa"/>
            <w:tcBorders>
              <w:top w:val="single" w:color="auto" w:sz="12" w:space="0"/>
              <w:bottom w:val="double" w:color="auto" w:sz="6" w:space="0"/>
            </w:tcBorders>
            <w:noWrap w:val="0"/>
            <w:vAlign w:val="center"/>
          </w:tcPr>
          <w:p w14:paraId="15F9D4AD">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r>
              <w:rPr>
                <w:rFonts w:eastAsia="仿宋_GB2312"/>
                <w:color w:val="auto"/>
                <w:sz w:val="21"/>
                <w:szCs w:val="21"/>
                <w:highlight w:val="none"/>
              </w:rPr>
              <w:t>职务</w:t>
            </w:r>
          </w:p>
        </w:tc>
        <w:tc>
          <w:tcPr>
            <w:tcW w:w="1134" w:type="dxa"/>
            <w:tcBorders>
              <w:top w:val="single" w:color="auto" w:sz="12" w:space="0"/>
              <w:bottom w:val="double" w:color="auto" w:sz="6" w:space="0"/>
            </w:tcBorders>
            <w:noWrap w:val="0"/>
            <w:vAlign w:val="center"/>
          </w:tcPr>
          <w:p w14:paraId="6D5963FE">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r>
              <w:rPr>
                <w:rFonts w:eastAsia="仿宋_GB2312"/>
                <w:color w:val="auto"/>
                <w:sz w:val="21"/>
                <w:szCs w:val="21"/>
                <w:highlight w:val="none"/>
              </w:rPr>
              <w:t>职称</w:t>
            </w:r>
          </w:p>
        </w:tc>
        <w:tc>
          <w:tcPr>
            <w:tcW w:w="4252" w:type="dxa"/>
            <w:tcBorders>
              <w:top w:val="single" w:color="auto" w:sz="12" w:space="0"/>
              <w:bottom w:val="double" w:color="auto" w:sz="6" w:space="0"/>
            </w:tcBorders>
            <w:noWrap w:val="0"/>
            <w:vAlign w:val="center"/>
          </w:tcPr>
          <w:p w14:paraId="535F9759">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r>
              <w:rPr>
                <w:rFonts w:eastAsia="仿宋_GB2312"/>
                <w:color w:val="auto"/>
                <w:sz w:val="21"/>
                <w:szCs w:val="21"/>
                <w:highlight w:val="none"/>
              </w:rPr>
              <w:t>主要资历、经验及承担过的项目</w:t>
            </w:r>
          </w:p>
        </w:tc>
      </w:tr>
      <w:tr w14:paraId="4987E4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double" w:color="auto" w:sz="6" w:space="0"/>
              <w:bottom w:val="single" w:color="auto" w:sz="6" w:space="0"/>
            </w:tcBorders>
            <w:noWrap w:val="0"/>
            <w:vAlign w:val="center"/>
          </w:tcPr>
          <w:p w14:paraId="04C6D904">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r>
              <w:rPr>
                <w:rFonts w:eastAsia="仿宋_GB2312"/>
                <w:color w:val="auto"/>
                <w:sz w:val="21"/>
                <w:szCs w:val="21"/>
                <w:highlight w:val="none"/>
              </w:rPr>
              <w:t>一、总部人员</w:t>
            </w:r>
          </w:p>
        </w:tc>
      </w:tr>
      <w:tr w14:paraId="0BFE5F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55AE6F70">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r>
              <w:rPr>
                <w:rFonts w:eastAsia="仿宋_GB2312"/>
                <w:color w:val="auto"/>
                <w:sz w:val="21"/>
                <w:szCs w:val="21"/>
                <w:highlight w:val="none"/>
              </w:rPr>
              <w:t>项目主管</w:t>
            </w:r>
          </w:p>
        </w:tc>
        <w:tc>
          <w:tcPr>
            <w:tcW w:w="1418" w:type="dxa"/>
            <w:tcBorders>
              <w:top w:val="nil"/>
            </w:tcBorders>
            <w:noWrap w:val="0"/>
            <w:vAlign w:val="center"/>
          </w:tcPr>
          <w:p w14:paraId="2EC83F29">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tcBorders>
              <w:top w:val="nil"/>
            </w:tcBorders>
            <w:noWrap w:val="0"/>
            <w:vAlign w:val="center"/>
          </w:tcPr>
          <w:p w14:paraId="69F58FFA">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tcBorders>
              <w:top w:val="nil"/>
            </w:tcBorders>
            <w:noWrap w:val="0"/>
            <w:vAlign w:val="center"/>
          </w:tcPr>
          <w:p w14:paraId="4974B8F2">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4252" w:type="dxa"/>
            <w:tcBorders>
              <w:top w:val="nil"/>
            </w:tcBorders>
            <w:noWrap w:val="0"/>
            <w:vAlign w:val="center"/>
          </w:tcPr>
          <w:p w14:paraId="4510E698">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r>
      <w:tr w14:paraId="1F06FC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nil"/>
            </w:tcBorders>
            <w:noWrap w:val="0"/>
            <w:vAlign w:val="center"/>
          </w:tcPr>
          <w:p w14:paraId="0DB91418">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418" w:type="dxa"/>
            <w:noWrap w:val="0"/>
            <w:vAlign w:val="center"/>
          </w:tcPr>
          <w:p w14:paraId="3DB63C6B">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7C1C0BFE">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18B50F7F">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4252" w:type="dxa"/>
            <w:noWrap w:val="0"/>
            <w:vAlign w:val="center"/>
          </w:tcPr>
          <w:p w14:paraId="5270B3B4">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r>
      <w:tr w14:paraId="21CB18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68C16390">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r>
              <w:rPr>
                <w:rFonts w:eastAsia="仿宋_GB2312"/>
                <w:color w:val="auto"/>
                <w:sz w:val="21"/>
                <w:szCs w:val="21"/>
                <w:highlight w:val="none"/>
              </w:rPr>
              <w:t>其他人员</w:t>
            </w:r>
          </w:p>
        </w:tc>
        <w:tc>
          <w:tcPr>
            <w:tcW w:w="1418" w:type="dxa"/>
            <w:noWrap w:val="0"/>
            <w:vAlign w:val="center"/>
          </w:tcPr>
          <w:p w14:paraId="432B4820">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5EE5D016">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3B0A334C">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4252" w:type="dxa"/>
            <w:noWrap w:val="0"/>
            <w:vAlign w:val="center"/>
          </w:tcPr>
          <w:p w14:paraId="5010909E">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r>
      <w:tr w14:paraId="472677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169143D9">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418" w:type="dxa"/>
            <w:noWrap w:val="0"/>
            <w:vAlign w:val="center"/>
          </w:tcPr>
          <w:p w14:paraId="2F3201E1">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35280344">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0B56D977">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4252" w:type="dxa"/>
            <w:noWrap w:val="0"/>
            <w:vAlign w:val="center"/>
          </w:tcPr>
          <w:p w14:paraId="0EDAD56F">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r>
      <w:tr w14:paraId="4860E6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single" w:color="auto" w:sz="6" w:space="0"/>
              <w:bottom w:val="single" w:color="auto" w:sz="6" w:space="0"/>
            </w:tcBorders>
            <w:noWrap w:val="0"/>
            <w:vAlign w:val="center"/>
          </w:tcPr>
          <w:p w14:paraId="2AC085CF">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r>
              <w:rPr>
                <w:rFonts w:eastAsia="仿宋_GB2312"/>
                <w:color w:val="auto"/>
                <w:sz w:val="21"/>
                <w:szCs w:val="21"/>
                <w:highlight w:val="none"/>
              </w:rPr>
              <w:t>二、现场人员</w:t>
            </w:r>
          </w:p>
        </w:tc>
      </w:tr>
      <w:tr w14:paraId="028063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7E69FEFC">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r>
              <w:rPr>
                <w:rFonts w:eastAsia="仿宋_GB2312"/>
                <w:color w:val="auto"/>
                <w:sz w:val="21"/>
                <w:szCs w:val="21"/>
                <w:highlight w:val="none"/>
              </w:rPr>
              <w:t>项目经理</w:t>
            </w:r>
          </w:p>
        </w:tc>
        <w:tc>
          <w:tcPr>
            <w:tcW w:w="1418" w:type="dxa"/>
            <w:noWrap w:val="0"/>
            <w:vAlign w:val="center"/>
          </w:tcPr>
          <w:p w14:paraId="648A2F72">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7D6269F5">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59AE0DC7">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4252" w:type="dxa"/>
            <w:noWrap w:val="0"/>
            <w:vAlign w:val="center"/>
          </w:tcPr>
          <w:p w14:paraId="21F72FF3">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r>
      <w:tr w14:paraId="5AA290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6861F7F1">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r>
              <w:rPr>
                <w:rFonts w:eastAsia="仿宋_GB2312"/>
                <w:color w:val="auto"/>
                <w:sz w:val="21"/>
                <w:szCs w:val="21"/>
                <w:highlight w:val="none"/>
              </w:rPr>
              <w:t>项目副经理</w:t>
            </w:r>
          </w:p>
        </w:tc>
        <w:tc>
          <w:tcPr>
            <w:tcW w:w="1418" w:type="dxa"/>
            <w:noWrap w:val="0"/>
            <w:vAlign w:val="center"/>
          </w:tcPr>
          <w:p w14:paraId="2D319B00">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5935D3C5">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4F733949">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4252" w:type="dxa"/>
            <w:noWrap w:val="0"/>
            <w:vAlign w:val="center"/>
          </w:tcPr>
          <w:p w14:paraId="3949974E">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r>
      <w:tr w14:paraId="7C8ABB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14A76B08">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r>
              <w:rPr>
                <w:rFonts w:eastAsia="仿宋_GB2312"/>
                <w:color w:val="auto"/>
                <w:sz w:val="21"/>
                <w:szCs w:val="21"/>
                <w:highlight w:val="none"/>
              </w:rPr>
              <w:t>技术负责人</w:t>
            </w:r>
          </w:p>
        </w:tc>
        <w:tc>
          <w:tcPr>
            <w:tcW w:w="1418" w:type="dxa"/>
            <w:noWrap w:val="0"/>
            <w:vAlign w:val="center"/>
          </w:tcPr>
          <w:p w14:paraId="348A4486">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675EC458">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615FBD1A">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4252" w:type="dxa"/>
            <w:noWrap w:val="0"/>
            <w:vAlign w:val="center"/>
          </w:tcPr>
          <w:p w14:paraId="30EECE68">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r>
      <w:tr w14:paraId="00EA92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0FC94BBA">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r>
              <w:rPr>
                <w:rFonts w:eastAsia="仿宋_GB2312"/>
                <w:color w:val="auto"/>
                <w:sz w:val="21"/>
                <w:szCs w:val="21"/>
                <w:highlight w:val="none"/>
              </w:rPr>
              <w:t>造价管理</w:t>
            </w:r>
          </w:p>
        </w:tc>
        <w:tc>
          <w:tcPr>
            <w:tcW w:w="1418" w:type="dxa"/>
            <w:noWrap w:val="0"/>
            <w:vAlign w:val="center"/>
          </w:tcPr>
          <w:p w14:paraId="5906EBBC">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298E4A81">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7E486A3D">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4252" w:type="dxa"/>
            <w:noWrap w:val="0"/>
            <w:vAlign w:val="center"/>
          </w:tcPr>
          <w:p w14:paraId="3E724045">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r>
      <w:tr w14:paraId="7BD2D9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78E0E0E9">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r>
              <w:rPr>
                <w:rFonts w:eastAsia="仿宋_GB2312"/>
                <w:color w:val="auto"/>
                <w:sz w:val="21"/>
                <w:szCs w:val="21"/>
                <w:highlight w:val="none"/>
              </w:rPr>
              <w:t>质量管理</w:t>
            </w:r>
          </w:p>
        </w:tc>
        <w:tc>
          <w:tcPr>
            <w:tcW w:w="1418" w:type="dxa"/>
            <w:noWrap w:val="0"/>
            <w:vAlign w:val="center"/>
          </w:tcPr>
          <w:p w14:paraId="3D1D3F62">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778E4AB8">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19B523A3">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4252" w:type="dxa"/>
            <w:noWrap w:val="0"/>
            <w:vAlign w:val="center"/>
          </w:tcPr>
          <w:p w14:paraId="121A09F4">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r>
      <w:tr w14:paraId="5A502D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03F20C58">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r>
              <w:rPr>
                <w:rFonts w:eastAsia="仿宋_GB2312"/>
                <w:color w:val="auto"/>
                <w:sz w:val="21"/>
                <w:szCs w:val="21"/>
                <w:highlight w:val="none"/>
              </w:rPr>
              <w:t>材料管理</w:t>
            </w:r>
          </w:p>
        </w:tc>
        <w:tc>
          <w:tcPr>
            <w:tcW w:w="1418" w:type="dxa"/>
            <w:noWrap w:val="0"/>
            <w:vAlign w:val="center"/>
          </w:tcPr>
          <w:p w14:paraId="1A45DF6C">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68A35542">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36363DDD">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4252" w:type="dxa"/>
            <w:noWrap w:val="0"/>
            <w:vAlign w:val="center"/>
          </w:tcPr>
          <w:p w14:paraId="2F7B59EC">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r>
      <w:tr w14:paraId="29A29F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7E8727D7">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r>
              <w:rPr>
                <w:rFonts w:eastAsia="仿宋_GB2312"/>
                <w:color w:val="auto"/>
                <w:sz w:val="21"/>
                <w:szCs w:val="21"/>
                <w:highlight w:val="none"/>
              </w:rPr>
              <w:t>计划管理</w:t>
            </w:r>
          </w:p>
        </w:tc>
        <w:tc>
          <w:tcPr>
            <w:tcW w:w="1418" w:type="dxa"/>
            <w:noWrap w:val="0"/>
            <w:vAlign w:val="center"/>
          </w:tcPr>
          <w:p w14:paraId="7C39A410">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39E89206">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5A434B0A">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4252" w:type="dxa"/>
            <w:noWrap w:val="0"/>
            <w:vAlign w:val="center"/>
          </w:tcPr>
          <w:p w14:paraId="57872364">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r>
      <w:tr w14:paraId="3F3383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475051A2">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r>
              <w:rPr>
                <w:rFonts w:eastAsia="仿宋_GB2312"/>
                <w:color w:val="auto"/>
                <w:sz w:val="21"/>
                <w:szCs w:val="21"/>
                <w:highlight w:val="none"/>
              </w:rPr>
              <w:t>安全管理</w:t>
            </w:r>
          </w:p>
        </w:tc>
        <w:tc>
          <w:tcPr>
            <w:tcW w:w="1418" w:type="dxa"/>
            <w:noWrap w:val="0"/>
            <w:vAlign w:val="center"/>
          </w:tcPr>
          <w:p w14:paraId="54B01BE0">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237635C6">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7C1A23B4">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4252" w:type="dxa"/>
            <w:noWrap w:val="0"/>
            <w:vAlign w:val="center"/>
          </w:tcPr>
          <w:p w14:paraId="26886C5A">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r>
      <w:tr w14:paraId="1309E7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tcBorders>
            <w:noWrap w:val="0"/>
            <w:vAlign w:val="center"/>
          </w:tcPr>
          <w:p w14:paraId="5F5B998D">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r>
              <w:rPr>
                <w:rFonts w:eastAsia="仿宋_GB2312"/>
                <w:color w:val="auto"/>
                <w:sz w:val="21"/>
                <w:szCs w:val="21"/>
                <w:highlight w:val="none"/>
              </w:rPr>
              <w:t>其他人员</w:t>
            </w:r>
          </w:p>
        </w:tc>
        <w:tc>
          <w:tcPr>
            <w:tcW w:w="1418" w:type="dxa"/>
            <w:noWrap w:val="0"/>
            <w:vAlign w:val="center"/>
          </w:tcPr>
          <w:p w14:paraId="0AF3570C">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2204F553">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7C1A1D6E">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4252" w:type="dxa"/>
            <w:noWrap w:val="0"/>
            <w:vAlign w:val="center"/>
          </w:tcPr>
          <w:p w14:paraId="2F39FBA8">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r>
      <w:tr w14:paraId="446A13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3632FF31">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418" w:type="dxa"/>
            <w:tcBorders>
              <w:bottom w:val="nil"/>
            </w:tcBorders>
            <w:noWrap w:val="0"/>
            <w:vAlign w:val="center"/>
          </w:tcPr>
          <w:p w14:paraId="6BF4057B">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tcBorders>
              <w:bottom w:val="nil"/>
            </w:tcBorders>
            <w:noWrap w:val="0"/>
            <w:vAlign w:val="center"/>
          </w:tcPr>
          <w:p w14:paraId="702E0998">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tcBorders>
              <w:bottom w:val="nil"/>
            </w:tcBorders>
            <w:noWrap w:val="0"/>
            <w:vAlign w:val="center"/>
          </w:tcPr>
          <w:p w14:paraId="7DD28BD0">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4252" w:type="dxa"/>
            <w:tcBorders>
              <w:bottom w:val="nil"/>
            </w:tcBorders>
            <w:noWrap w:val="0"/>
            <w:vAlign w:val="center"/>
          </w:tcPr>
          <w:p w14:paraId="419B0FBA">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r>
      <w:tr w14:paraId="7BFB0F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0B049854">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418" w:type="dxa"/>
            <w:noWrap w:val="0"/>
            <w:vAlign w:val="center"/>
          </w:tcPr>
          <w:p w14:paraId="01937015">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73E978F8">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602CC76D">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4252" w:type="dxa"/>
            <w:noWrap w:val="0"/>
            <w:vAlign w:val="center"/>
          </w:tcPr>
          <w:p w14:paraId="7E440974">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r>
      <w:tr w14:paraId="56C644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2CA15FE0">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418" w:type="dxa"/>
            <w:noWrap w:val="0"/>
            <w:vAlign w:val="center"/>
          </w:tcPr>
          <w:p w14:paraId="7323EC05">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49EF7108">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37C02B10">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4252" w:type="dxa"/>
            <w:noWrap w:val="0"/>
            <w:vAlign w:val="center"/>
          </w:tcPr>
          <w:p w14:paraId="696F8AE4">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r>
      <w:tr w14:paraId="36F9B6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3926CC87">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418" w:type="dxa"/>
            <w:noWrap w:val="0"/>
            <w:vAlign w:val="center"/>
          </w:tcPr>
          <w:p w14:paraId="091A8B5B">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6B846256">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noWrap w:val="0"/>
            <w:vAlign w:val="center"/>
          </w:tcPr>
          <w:p w14:paraId="69F148F0">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4252" w:type="dxa"/>
            <w:noWrap w:val="0"/>
            <w:vAlign w:val="center"/>
          </w:tcPr>
          <w:p w14:paraId="43652ACF">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r>
      <w:tr w14:paraId="7CD636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bottom w:val="single" w:color="auto" w:sz="12" w:space="0"/>
            </w:tcBorders>
            <w:noWrap w:val="0"/>
            <w:vAlign w:val="center"/>
          </w:tcPr>
          <w:p w14:paraId="5A4F2658">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418" w:type="dxa"/>
            <w:tcBorders>
              <w:bottom w:val="single" w:color="auto" w:sz="12" w:space="0"/>
            </w:tcBorders>
            <w:noWrap w:val="0"/>
            <w:vAlign w:val="center"/>
          </w:tcPr>
          <w:p w14:paraId="04F8C7FE">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tcBorders>
              <w:bottom w:val="single" w:color="auto" w:sz="12" w:space="0"/>
            </w:tcBorders>
            <w:noWrap w:val="0"/>
            <w:vAlign w:val="center"/>
          </w:tcPr>
          <w:p w14:paraId="4B1A3CF4">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1134" w:type="dxa"/>
            <w:tcBorders>
              <w:bottom w:val="single" w:color="auto" w:sz="12" w:space="0"/>
            </w:tcBorders>
            <w:noWrap w:val="0"/>
            <w:vAlign w:val="center"/>
          </w:tcPr>
          <w:p w14:paraId="16516E19">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c>
          <w:tcPr>
            <w:tcW w:w="4252" w:type="dxa"/>
            <w:tcBorders>
              <w:bottom w:val="single" w:color="auto" w:sz="12" w:space="0"/>
            </w:tcBorders>
            <w:noWrap w:val="0"/>
            <w:vAlign w:val="center"/>
          </w:tcPr>
          <w:p w14:paraId="7E05ECC4">
            <w:pPr>
              <w:pStyle w:val="8"/>
              <w:keepNext/>
              <w:keepLines w:val="0"/>
              <w:pageBreakBefore w:val="0"/>
              <w:widowControl w:val="0"/>
              <w:kinsoku/>
              <w:wordWrap/>
              <w:overflowPunct/>
              <w:topLinePunct w:val="0"/>
              <w:autoSpaceDE/>
              <w:autoSpaceDN/>
              <w:bidi w:val="0"/>
              <w:adjustRightInd w:val="0"/>
              <w:snapToGrid w:val="0"/>
              <w:spacing w:after="0" w:line="360" w:lineRule="auto"/>
              <w:ind w:left="62" w:right="62"/>
              <w:textAlignment w:val="auto"/>
              <w:rPr>
                <w:rFonts w:eastAsia="仿宋_GB2312"/>
                <w:color w:val="auto"/>
                <w:sz w:val="21"/>
                <w:szCs w:val="21"/>
                <w:highlight w:val="none"/>
              </w:rPr>
            </w:pPr>
          </w:p>
        </w:tc>
      </w:tr>
    </w:tbl>
    <w:p w14:paraId="447F84DA">
      <w:pPr>
        <w:spacing w:line="440" w:lineRule="exact"/>
        <w:outlineLvl w:val="3"/>
        <w:rPr>
          <w:rFonts w:ascii="Times New Roman" w:hAnsi="Times New Roman" w:eastAsia="黑体"/>
          <w:color w:val="auto"/>
          <w:sz w:val="30"/>
          <w:szCs w:val="30"/>
          <w:highlight w:val="none"/>
        </w:rPr>
      </w:pPr>
      <w:r>
        <w:rPr>
          <w:rFonts w:ascii="Times New Roman" w:hAnsi="Times New Roman" w:eastAsia="仿宋_GB2312"/>
          <w:color w:val="auto"/>
          <w:sz w:val="30"/>
          <w:szCs w:val="30"/>
          <w:highlight w:val="none"/>
        </w:rPr>
        <w:br w:type="page"/>
      </w:r>
      <w:bookmarkStart w:id="1914" w:name="_Toc21797"/>
      <w:bookmarkStart w:id="1915" w:name="_Toc2343"/>
      <w:bookmarkStart w:id="1916" w:name="_Toc267261701"/>
      <w:r>
        <w:rPr>
          <w:rFonts w:ascii="Times New Roman" w:hAnsi="Times New Roman" w:eastAsia="仿宋_GB2312"/>
          <w:color w:val="auto"/>
          <w:sz w:val="30"/>
          <w:szCs w:val="30"/>
          <w:highlight w:val="none"/>
        </w:rPr>
        <w:t>附</w:t>
      </w:r>
      <w:bookmarkStart w:id="1917" w:name="_Toc296346732"/>
      <w:bookmarkStart w:id="1918" w:name="_Toc296347230"/>
      <w:bookmarkStart w:id="1919" w:name="_Toc296891059"/>
      <w:bookmarkStart w:id="1920" w:name="_Toc296944570"/>
      <w:bookmarkStart w:id="1921" w:name="_Toc296503231"/>
      <w:bookmarkStart w:id="1922" w:name="_Toc296891271"/>
      <w:r>
        <w:rPr>
          <w:rFonts w:ascii="Times New Roman" w:hAnsi="Times New Roman" w:eastAsia="仿宋_GB2312"/>
          <w:color w:val="auto"/>
          <w:sz w:val="30"/>
          <w:szCs w:val="30"/>
          <w:highlight w:val="none"/>
        </w:rPr>
        <w:t>件8：</w:t>
      </w:r>
      <w:bookmarkEnd w:id="1914"/>
      <w:bookmarkEnd w:id="1915"/>
    </w:p>
    <w:bookmarkEnd w:id="1916"/>
    <w:bookmarkEnd w:id="1917"/>
    <w:bookmarkEnd w:id="1918"/>
    <w:bookmarkEnd w:id="1919"/>
    <w:bookmarkEnd w:id="1920"/>
    <w:bookmarkEnd w:id="1921"/>
    <w:bookmarkEnd w:id="1922"/>
    <w:p w14:paraId="50F3EFE0">
      <w:pPr>
        <w:spacing w:before="156" w:beforeLines="50" w:after="156" w:afterLines="50" w:line="440" w:lineRule="exact"/>
        <w:jc w:val="center"/>
        <w:outlineLvl w:val="3"/>
        <w:rPr>
          <w:rFonts w:ascii="Times New Roman" w:hAnsi="Times New Roman" w:eastAsia="黑体"/>
          <w:color w:val="auto"/>
          <w:sz w:val="30"/>
          <w:szCs w:val="30"/>
          <w:highlight w:val="none"/>
        </w:rPr>
      </w:pPr>
      <w:bookmarkStart w:id="1923" w:name="_Toc18177"/>
      <w:bookmarkStart w:id="1924" w:name="_Toc6178"/>
      <w:r>
        <w:rPr>
          <w:rFonts w:ascii="Times New Roman" w:hAnsi="Times New Roman" w:eastAsia="黑体"/>
          <w:color w:val="auto"/>
          <w:sz w:val="30"/>
          <w:szCs w:val="30"/>
          <w:highlight w:val="none"/>
        </w:rPr>
        <w:t>履约担保</w:t>
      </w:r>
      <w:bookmarkEnd w:id="1923"/>
      <w:bookmarkEnd w:id="1924"/>
    </w:p>
    <w:p w14:paraId="2E4FB9B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ab/>
      </w:r>
      <w:r>
        <w:rPr>
          <w:rFonts w:ascii="Times New Roman" w:hAnsi="Times New Roman" w:eastAsia="仿宋_GB2312"/>
          <w:color w:val="auto"/>
          <w:sz w:val="21"/>
          <w:szCs w:val="21"/>
          <w:highlight w:val="none"/>
        </w:rPr>
        <w:t>（发包人名称）：</w:t>
      </w:r>
    </w:p>
    <w:p w14:paraId="11F294B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仿宋_GB2312"/>
          <w:color w:val="auto"/>
          <w:sz w:val="21"/>
          <w:szCs w:val="21"/>
          <w:highlight w:val="none"/>
        </w:rPr>
      </w:pPr>
    </w:p>
    <w:p w14:paraId="626530C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鉴于</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（发包人名称，以下简称“发包人”）与</w:t>
      </w:r>
    </w:p>
    <w:p w14:paraId="095CAB6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（承包人名称）（以下称“承包人”）于</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年</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月</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日就</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 xml:space="preserve">（工程名称）施工及有关事项协商一致共同签订《建设工程施工合同》。我方愿意无条件地、不可撤销地就承包人履行与你方签订的合同，向你方提供连带责任担保。 </w:t>
      </w:r>
    </w:p>
    <w:p w14:paraId="11C7A3E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 担保金额人民币（大写）</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元（¥</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2E8EAE2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2. 担保有效期自你方与承包人签订的合同生效之日起至你方签发或应签发工程接收证书之日止。</w:t>
      </w:r>
    </w:p>
    <w:p w14:paraId="45BCE54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3. 在本担保有效期内，因承包人违反合同约定的义务给你方造成经济损失时，我方在收到你方以书面形式提出的在担保金额内的赔偿要求后，在7天内无条件支付。</w:t>
      </w:r>
    </w:p>
    <w:p w14:paraId="689E3EB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4. 你方和承包人按合同约定变更合同时，我方承担本担保规定的义务不变。</w:t>
      </w:r>
    </w:p>
    <w:p w14:paraId="0532E4B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5. 因本保函发生的纠纷，可由双方协商解决，协商不成的，任何一方均可提请</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仲裁委员会仲裁。</w:t>
      </w:r>
    </w:p>
    <w:p w14:paraId="053271F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6. 本保函自我方法定代表人（或其授权代理人）签字并加盖公章之日起生效。</w:t>
      </w:r>
    </w:p>
    <w:p w14:paraId="22F9B62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仿宋_GB2312"/>
          <w:color w:val="auto"/>
          <w:sz w:val="21"/>
          <w:szCs w:val="21"/>
          <w:highlight w:val="none"/>
        </w:rPr>
      </w:pPr>
    </w:p>
    <w:p w14:paraId="2A98D20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担 保 人：</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（盖单位章）</w:t>
      </w:r>
    </w:p>
    <w:p w14:paraId="4FECE9B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法定代表人或其委托代理人：</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（签字）</w:t>
      </w:r>
    </w:p>
    <w:p w14:paraId="4E29263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地    址：</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p>
    <w:p w14:paraId="13ED603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邮政编码：</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p>
    <w:p w14:paraId="33FC944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仿宋_GB2312"/>
          <w:color w:val="auto"/>
          <w:sz w:val="21"/>
          <w:szCs w:val="21"/>
          <w:highlight w:val="none"/>
          <w:u w:val="single"/>
        </w:rPr>
      </w:pPr>
      <w:r>
        <w:rPr>
          <w:rFonts w:ascii="Times New Roman" w:hAnsi="Times New Roman" w:eastAsia="仿宋_GB2312"/>
          <w:color w:val="auto"/>
          <w:sz w:val="21"/>
          <w:szCs w:val="21"/>
          <w:highlight w:val="none"/>
        </w:rPr>
        <w:t>电    话：</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p>
    <w:p w14:paraId="27C39F9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传    真：</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p>
    <w:p w14:paraId="1F453895">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ascii="Times New Roman" w:hAnsi="Times New Roman" w:eastAsia="仿宋_GB2312"/>
          <w:color w:val="auto"/>
          <w:sz w:val="21"/>
          <w:szCs w:val="21"/>
          <w:highlight w:val="none"/>
          <w:u w:val="single"/>
        </w:rPr>
      </w:pPr>
    </w:p>
    <w:p w14:paraId="100BBF30">
      <w:pPr>
        <w:keepNext w:val="0"/>
        <w:keepLines w:val="0"/>
        <w:pageBreakBefore w:val="0"/>
        <w:widowControl w:val="0"/>
        <w:kinsoku/>
        <w:wordWrap/>
        <w:overflowPunct/>
        <w:topLinePunct w:val="0"/>
        <w:autoSpaceDE/>
        <w:autoSpaceDN/>
        <w:bidi w:val="0"/>
        <w:adjustRightInd w:val="0"/>
        <w:snapToGrid w:val="0"/>
        <w:spacing w:line="360" w:lineRule="auto"/>
        <w:ind w:left="1899" w:hanging="1329" w:hangingChars="633"/>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 xml:space="preserve">             </w:t>
      </w:r>
      <w:r>
        <w:rPr>
          <w:rFonts w:hint="eastAsia" w:ascii="Times New Roman" w:hAnsi="Times New Roman" w:eastAsia="仿宋_GB2312"/>
          <w:color w:val="auto"/>
          <w:sz w:val="21"/>
          <w:szCs w:val="21"/>
          <w:highlight w:val="none"/>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年</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月</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日</w:t>
      </w:r>
    </w:p>
    <w:p w14:paraId="59BCF1FF">
      <w:pPr>
        <w:spacing w:line="360" w:lineRule="auto"/>
        <w:ind w:left="1899" w:hanging="1899" w:hangingChars="633"/>
        <w:rPr>
          <w:rFonts w:ascii="Times New Roman" w:hAnsi="Times New Roman" w:eastAsia="仿宋_GB2312"/>
          <w:color w:val="auto"/>
          <w:sz w:val="30"/>
          <w:szCs w:val="30"/>
          <w:highlight w:val="none"/>
        </w:rPr>
      </w:pPr>
    </w:p>
    <w:p w14:paraId="7EA69FA9">
      <w:pPr>
        <w:spacing w:line="360" w:lineRule="auto"/>
        <w:ind w:left="1899" w:hanging="1899" w:hangingChars="633"/>
        <w:rPr>
          <w:rFonts w:ascii="Times New Roman" w:hAnsi="Times New Roman" w:eastAsia="仿宋_GB2312"/>
          <w:color w:val="auto"/>
          <w:sz w:val="30"/>
          <w:szCs w:val="30"/>
          <w:highlight w:val="none"/>
        </w:rPr>
      </w:pPr>
    </w:p>
    <w:p w14:paraId="5AAB6CEA">
      <w:pPr>
        <w:spacing w:line="360" w:lineRule="auto"/>
        <w:ind w:left="1899" w:hanging="1899" w:hangingChars="633"/>
        <w:rPr>
          <w:rFonts w:ascii="Times New Roman" w:hAnsi="Times New Roman" w:eastAsia="仿宋_GB2312"/>
          <w:color w:val="auto"/>
          <w:sz w:val="30"/>
          <w:szCs w:val="30"/>
          <w:highlight w:val="none"/>
        </w:rPr>
      </w:pPr>
    </w:p>
    <w:p w14:paraId="272A3E57">
      <w:pPr>
        <w:rPr>
          <w:rFonts w:ascii="Times New Roman" w:hAnsi="Times New Roman" w:eastAsia="仿宋_GB2312"/>
          <w:color w:val="auto"/>
          <w:sz w:val="30"/>
          <w:szCs w:val="30"/>
          <w:highlight w:val="none"/>
        </w:rPr>
      </w:pPr>
      <w:bookmarkStart w:id="1925" w:name="_Toc1017"/>
      <w:bookmarkStart w:id="1926" w:name="_Toc13934"/>
      <w:r>
        <w:rPr>
          <w:rFonts w:ascii="Times New Roman" w:hAnsi="Times New Roman" w:eastAsia="仿宋_GB2312"/>
          <w:color w:val="auto"/>
          <w:sz w:val="30"/>
          <w:szCs w:val="30"/>
          <w:highlight w:val="none"/>
        </w:rPr>
        <w:br w:type="page"/>
      </w:r>
    </w:p>
    <w:p w14:paraId="19E17D10">
      <w:pPr>
        <w:spacing w:line="360" w:lineRule="auto"/>
        <w:outlineLvl w:val="3"/>
        <w:rPr>
          <w:rFonts w:ascii="Times New Roman" w:hAnsi="Times New Roman" w:eastAsia="黑体"/>
          <w:color w:val="auto"/>
          <w:sz w:val="30"/>
          <w:szCs w:val="30"/>
          <w:highlight w:val="none"/>
        </w:rPr>
      </w:pPr>
      <w:r>
        <w:rPr>
          <w:rFonts w:ascii="Times New Roman" w:hAnsi="Times New Roman" w:eastAsia="仿宋_GB2312"/>
          <w:color w:val="auto"/>
          <w:sz w:val="30"/>
          <w:szCs w:val="30"/>
          <w:highlight w:val="none"/>
        </w:rPr>
        <w:t>附</w:t>
      </w:r>
      <w:bookmarkStart w:id="1927" w:name="_Toc267261702"/>
      <w:bookmarkStart w:id="1928" w:name="_Toc296944571"/>
      <w:bookmarkStart w:id="1929" w:name="_Toc296347231"/>
      <w:bookmarkStart w:id="1930" w:name="_Toc296346733"/>
      <w:bookmarkStart w:id="1931" w:name="_Toc296891060"/>
      <w:bookmarkStart w:id="1932" w:name="_Toc296891272"/>
      <w:bookmarkStart w:id="1933" w:name="_Toc296503232"/>
      <w:r>
        <w:rPr>
          <w:rFonts w:ascii="Times New Roman" w:hAnsi="Times New Roman" w:eastAsia="仿宋_GB2312"/>
          <w:color w:val="auto"/>
          <w:sz w:val="30"/>
          <w:szCs w:val="30"/>
          <w:highlight w:val="none"/>
        </w:rPr>
        <w:t>件9 ：</w:t>
      </w:r>
      <w:bookmarkEnd w:id="1925"/>
      <w:bookmarkEnd w:id="1926"/>
    </w:p>
    <w:bookmarkEnd w:id="1927"/>
    <w:bookmarkEnd w:id="1928"/>
    <w:bookmarkEnd w:id="1929"/>
    <w:bookmarkEnd w:id="1930"/>
    <w:bookmarkEnd w:id="1931"/>
    <w:bookmarkEnd w:id="1932"/>
    <w:bookmarkEnd w:id="1933"/>
    <w:p w14:paraId="713F6F26">
      <w:pPr>
        <w:spacing w:before="156" w:beforeLines="50" w:after="156" w:afterLines="50" w:line="440" w:lineRule="exact"/>
        <w:jc w:val="center"/>
        <w:outlineLvl w:val="4"/>
        <w:rPr>
          <w:rFonts w:ascii="Times New Roman" w:hAnsi="Times New Roman" w:eastAsia="黑体"/>
          <w:color w:val="auto"/>
          <w:sz w:val="30"/>
          <w:szCs w:val="30"/>
          <w:highlight w:val="none"/>
        </w:rPr>
      </w:pPr>
      <w:bookmarkStart w:id="1934" w:name="_Toc31740"/>
      <w:r>
        <w:rPr>
          <w:rFonts w:ascii="Times New Roman" w:hAnsi="Times New Roman" w:eastAsia="黑体"/>
          <w:color w:val="auto"/>
          <w:sz w:val="30"/>
          <w:szCs w:val="30"/>
          <w:highlight w:val="none"/>
        </w:rPr>
        <w:t>预付款担保</w:t>
      </w:r>
      <w:bookmarkEnd w:id="1934"/>
    </w:p>
    <w:p w14:paraId="7327E9E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ab/>
      </w:r>
      <w:r>
        <w:rPr>
          <w:rFonts w:ascii="Times New Roman" w:hAnsi="Times New Roman" w:eastAsia="仿宋_GB2312"/>
          <w:color w:val="auto"/>
          <w:sz w:val="21"/>
          <w:szCs w:val="21"/>
          <w:highlight w:val="none"/>
          <w:u w:val="single"/>
        </w:rPr>
        <w:tab/>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 xml:space="preserve"> （发包人名称）：</w:t>
      </w:r>
    </w:p>
    <w:p w14:paraId="7E10EC4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仿宋_GB2312"/>
          <w:color w:val="auto"/>
          <w:sz w:val="21"/>
          <w:szCs w:val="21"/>
          <w:highlight w:val="none"/>
        </w:rPr>
      </w:pPr>
    </w:p>
    <w:p w14:paraId="32A229A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根据</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（承包人名称）（以下称</w:t>
      </w:r>
      <w:r>
        <w:rPr>
          <w:rFonts w:hint="eastAsia" w:ascii="Times New Roman" w:hAnsi="Times New Roman" w:eastAsia="仿宋_GB2312"/>
          <w:color w:val="auto"/>
          <w:sz w:val="21"/>
          <w:szCs w:val="21"/>
          <w:highlight w:val="none"/>
        </w:rPr>
        <w:t>“</w:t>
      </w:r>
      <w:r>
        <w:rPr>
          <w:rFonts w:ascii="Times New Roman" w:hAnsi="Times New Roman" w:eastAsia="仿宋_GB2312"/>
          <w:color w:val="auto"/>
          <w:sz w:val="21"/>
          <w:szCs w:val="21"/>
          <w:highlight w:val="none"/>
        </w:rPr>
        <w:t>承包人</w:t>
      </w:r>
      <w:r>
        <w:rPr>
          <w:rFonts w:hint="eastAsia" w:ascii="Times New Roman" w:hAnsi="Times New Roman" w:eastAsia="仿宋_GB2312"/>
          <w:color w:val="auto"/>
          <w:sz w:val="21"/>
          <w:szCs w:val="21"/>
          <w:highlight w:val="none"/>
        </w:rPr>
        <w:t>”</w:t>
      </w:r>
      <w:r>
        <w:rPr>
          <w:rFonts w:ascii="Times New Roman" w:hAnsi="Times New Roman" w:eastAsia="仿宋_GB2312"/>
          <w:color w:val="auto"/>
          <w:sz w:val="21"/>
          <w:szCs w:val="21"/>
          <w:highlight w:val="none"/>
        </w:rPr>
        <w:t>）与</w:t>
      </w:r>
    </w:p>
    <w:p w14:paraId="50A7A13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（发包人名称）（以下简称</w:t>
      </w:r>
      <w:r>
        <w:rPr>
          <w:rFonts w:hint="eastAsia" w:ascii="Times New Roman" w:hAnsi="Times New Roman" w:eastAsia="仿宋_GB2312"/>
          <w:color w:val="auto"/>
          <w:sz w:val="21"/>
          <w:szCs w:val="21"/>
          <w:highlight w:val="none"/>
        </w:rPr>
        <w:t>“</w:t>
      </w:r>
      <w:r>
        <w:rPr>
          <w:rFonts w:ascii="Times New Roman" w:hAnsi="Times New Roman" w:eastAsia="仿宋_GB2312"/>
          <w:color w:val="auto"/>
          <w:sz w:val="21"/>
          <w:szCs w:val="21"/>
          <w:highlight w:val="none"/>
        </w:rPr>
        <w:t>发包人</w:t>
      </w:r>
      <w:r>
        <w:rPr>
          <w:rFonts w:hint="eastAsia" w:ascii="Times New Roman" w:hAnsi="Times New Roman" w:eastAsia="仿宋_GB2312"/>
          <w:color w:val="auto"/>
          <w:sz w:val="21"/>
          <w:szCs w:val="21"/>
          <w:highlight w:val="none"/>
        </w:rPr>
        <w:t>”</w:t>
      </w:r>
      <w:r>
        <w:rPr>
          <w:rFonts w:ascii="Times New Roman" w:hAnsi="Times New Roman" w:eastAsia="仿宋_GB2312"/>
          <w:color w:val="auto"/>
          <w:sz w:val="21"/>
          <w:szCs w:val="21"/>
          <w:highlight w:val="none"/>
        </w:rPr>
        <w:t>）</w:t>
      </w:r>
    </w:p>
    <w:p w14:paraId="796EC82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于</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年</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月</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日签订的</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（工程名称）《建设工程施工合同》，承包人按约定的金额向</w:t>
      </w:r>
      <w:r>
        <w:rPr>
          <w:rFonts w:hint="eastAsia" w:ascii="Times New Roman" w:hAnsi="Times New Roman" w:eastAsia="仿宋_GB2312"/>
          <w:color w:val="auto"/>
          <w:sz w:val="21"/>
          <w:szCs w:val="21"/>
          <w:highlight w:val="none"/>
        </w:rPr>
        <w:t>你方</w:t>
      </w:r>
      <w:r>
        <w:rPr>
          <w:rFonts w:ascii="Times New Roman" w:hAnsi="Times New Roman" w:eastAsia="仿宋_GB2312"/>
          <w:color w:val="auto"/>
          <w:sz w:val="21"/>
          <w:szCs w:val="21"/>
          <w:highlight w:val="none"/>
        </w:rPr>
        <w:t>提交一份预付款担保，即有权得到</w:t>
      </w:r>
      <w:r>
        <w:rPr>
          <w:rFonts w:hint="eastAsia" w:ascii="Times New Roman" w:hAnsi="Times New Roman" w:eastAsia="仿宋_GB2312"/>
          <w:color w:val="auto"/>
          <w:sz w:val="21"/>
          <w:szCs w:val="21"/>
          <w:highlight w:val="none"/>
        </w:rPr>
        <w:t>你方</w:t>
      </w:r>
      <w:r>
        <w:rPr>
          <w:rFonts w:ascii="Times New Roman" w:hAnsi="Times New Roman" w:eastAsia="仿宋_GB2312"/>
          <w:color w:val="auto"/>
          <w:sz w:val="21"/>
          <w:szCs w:val="21"/>
          <w:highlight w:val="none"/>
        </w:rPr>
        <w:t>支付相等金额的预付款。我方愿意就你方提供给承包人的预付款</w:t>
      </w:r>
      <w:r>
        <w:rPr>
          <w:rFonts w:hint="eastAsia" w:ascii="Times New Roman" w:hAnsi="Times New Roman" w:eastAsia="仿宋_GB2312"/>
          <w:color w:val="auto"/>
          <w:sz w:val="21"/>
          <w:szCs w:val="21"/>
          <w:highlight w:val="none"/>
        </w:rPr>
        <w:t>为承包人</w:t>
      </w:r>
      <w:r>
        <w:rPr>
          <w:rFonts w:ascii="Times New Roman" w:hAnsi="Times New Roman" w:eastAsia="仿宋_GB2312"/>
          <w:color w:val="auto"/>
          <w:sz w:val="21"/>
          <w:szCs w:val="21"/>
          <w:highlight w:val="none"/>
        </w:rPr>
        <w:t>提供连带责任担保。</w:t>
      </w:r>
    </w:p>
    <w:p w14:paraId="09D84226">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hint="eastAsia" w:ascii="Times New Roman" w:hAnsi="Times New Roman" w:eastAsia="仿宋_GB2312"/>
          <w:color w:val="auto"/>
          <w:sz w:val="21"/>
          <w:szCs w:val="21"/>
          <w:highlight w:val="none"/>
        </w:rPr>
        <w:t xml:space="preserve">1. </w:t>
      </w:r>
      <w:r>
        <w:rPr>
          <w:rFonts w:ascii="Times New Roman" w:hAnsi="Times New Roman" w:eastAsia="仿宋_GB2312"/>
          <w:color w:val="auto"/>
          <w:sz w:val="21"/>
          <w:szCs w:val="21"/>
          <w:highlight w:val="none"/>
        </w:rPr>
        <w:t>担保金额人民币（大写）</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rPr>
        <w:t>元</w:t>
      </w:r>
      <w:r>
        <w:rPr>
          <w:rFonts w:ascii="Times New Roman" w:hAnsi="Times New Roman" w:eastAsia="仿宋_GB2312"/>
          <w:color w:val="auto"/>
          <w:sz w:val="21"/>
          <w:szCs w:val="21"/>
          <w:highlight w:val="none"/>
        </w:rPr>
        <w:t>（¥</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6B6064C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hint="eastAsia" w:ascii="Times New Roman" w:hAnsi="Times New Roman" w:eastAsia="仿宋_GB2312"/>
          <w:color w:val="auto"/>
          <w:sz w:val="21"/>
          <w:szCs w:val="21"/>
          <w:highlight w:val="none"/>
        </w:rPr>
        <w:t xml:space="preserve">2. </w:t>
      </w:r>
      <w:r>
        <w:rPr>
          <w:rFonts w:ascii="Times New Roman" w:hAnsi="Times New Roman" w:eastAsia="仿宋_GB2312"/>
          <w:color w:val="auto"/>
          <w:sz w:val="21"/>
          <w:szCs w:val="21"/>
          <w:highlight w:val="none"/>
        </w:rPr>
        <w:t>担保有效期自预付款支付给承包人起生效，至</w:t>
      </w:r>
      <w:r>
        <w:rPr>
          <w:rFonts w:hint="eastAsia" w:ascii="Times New Roman" w:hAnsi="Times New Roman" w:eastAsia="仿宋_GB2312"/>
          <w:color w:val="auto"/>
          <w:sz w:val="21"/>
          <w:szCs w:val="21"/>
          <w:highlight w:val="none"/>
        </w:rPr>
        <w:t>你方</w:t>
      </w:r>
      <w:r>
        <w:rPr>
          <w:rFonts w:ascii="Times New Roman" w:hAnsi="Times New Roman" w:eastAsia="仿宋_GB2312"/>
          <w:color w:val="auto"/>
          <w:sz w:val="21"/>
          <w:szCs w:val="21"/>
          <w:highlight w:val="none"/>
        </w:rPr>
        <w:t>签发的</w:t>
      </w:r>
      <w:r>
        <w:rPr>
          <w:rFonts w:hint="eastAsia" w:ascii="Times New Roman" w:hAnsi="Times New Roman" w:eastAsia="仿宋_GB2312"/>
          <w:color w:val="auto"/>
          <w:sz w:val="21"/>
          <w:szCs w:val="21"/>
          <w:highlight w:val="none"/>
        </w:rPr>
        <w:t>进</w:t>
      </w:r>
      <w:r>
        <w:rPr>
          <w:rFonts w:ascii="Times New Roman" w:hAnsi="Times New Roman" w:eastAsia="仿宋_GB2312"/>
          <w:color w:val="auto"/>
          <w:sz w:val="21"/>
          <w:szCs w:val="21"/>
          <w:highlight w:val="none"/>
        </w:rPr>
        <w:t>度款支付证书说明已完全扣清止。</w:t>
      </w:r>
    </w:p>
    <w:p w14:paraId="277C1E3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Times New Roman" w:hAnsi="Times New Roman" w:eastAsia="仿宋_GB2312"/>
          <w:color w:val="auto"/>
          <w:sz w:val="21"/>
          <w:szCs w:val="21"/>
          <w:highlight w:val="none"/>
        </w:rPr>
      </w:pPr>
      <w:r>
        <w:rPr>
          <w:rFonts w:hint="eastAsia" w:ascii="Times New Roman" w:hAnsi="Times New Roman" w:eastAsia="仿宋_GB2312"/>
          <w:color w:val="auto"/>
          <w:sz w:val="21"/>
          <w:szCs w:val="21"/>
          <w:highlight w:val="none"/>
        </w:rPr>
        <w:t xml:space="preserve">3. </w:t>
      </w:r>
      <w:r>
        <w:rPr>
          <w:rFonts w:ascii="Times New Roman" w:hAnsi="Times New Roman" w:eastAsia="仿宋_GB2312"/>
          <w:color w:val="auto"/>
          <w:sz w:val="21"/>
          <w:szCs w:val="21"/>
          <w:highlight w:val="none"/>
        </w:rPr>
        <w:t>在本保函有效期内，因承包人违反合同约定的义务而要求</w:t>
      </w:r>
      <w:r>
        <w:rPr>
          <w:rFonts w:hint="eastAsia" w:ascii="Times New Roman" w:hAnsi="Times New Roman" w:eastAsia="仿宋_GB2312"/>
          <w:color w:val="auto"/>
          <w:sz w:val="21"/>
          <w:szCs w:val="21"/>
          <w:highlight w:val="none"/>
        </w:rPr>
        <w:t>收</w:t>
      </w:r>
      <w:r>
        <w:rPr>
          <w:rFonts w:ascii="Times New Roman" w:hAnsi="Times New Roman" w:eastAsia="仿宋_GB2312"/>
          <w:color w:val="auto"/>
          <w:sz w:val="21"/>
          <w:szCs w:val="21"/>
          <w:highlight w:val="none"/>
        </w:rPr>
        <w:t>回预付款时，我方在收到你方的书面通知后，在７天内无条件支付。但本保函的担保金额，在任何时候不应超过预付款金额减去</w:t>
      </w:r>
      <w:r>
        <w:rPr>
          <w:rFonts w:hint="eastAsia" w:ascii="Times New Roman" w:hAnsi="Times New Roman" w:eastAsia="仿宋_GB2312"/>
          <w:color w:val="auto"/>
          <w:sz w:val="21"/>
          <w:szCs w:val="21"/>
          <w:highlight w:val="none"/>
        </w:rPr>
        <w:t>你方</w:t>
      </w:r>
      <w:r>
        <w:rPr>
          <w:rFonts w:ascii="Times New Roman" w:hAnsi="Times New Roman" w:eastAsia="仿宋_GB2312"/>
          <w:color w:val="auto"/>
          <w:sz w:val="21"/>
          <w:szCs w:val="21"/>
          <w:highlight w:val="none"/>
        </w:rPr>
        <w:t>按合同约定在向承包人签发的进度款支付证书中扣除的金额。</w:t>
      </w:r>
    </w:p>
    <w:p w14:paraId="203F210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Times New Roman" w:hAnsi="Times New Roman" w:eastAsia="仿宋_GB2312"/>
          <w:color w:val="auto"/>
          <w:sz w:val="21"/>
          <w:szCs w:val="21"/>
          <w:highlight w:val="none"/>
        </w:rPr>
      </w:pPr>
      <w:r>
        <w:rPr>
          <w:rFonts w:hint="eastAsia" w:ascii="Times New Roman" w:hAnsi="Times New Roman" w:eastAsia="仿宋_GB2312"/>
          <w:color w:val="auto"/>
          <w:sz w:val="21"/>
          <w:szCs w:val="21"/>
          <w:highlight w:val="none"/>
        </w:rPr>
        <w:t>4. 你方</w:t>
      </w:r>
      <w:r>
        <w:rPr>
          <w:rFonts w:ascii="Times New Roman" w:hAnsi="Times New Roman" w:eastAsia="仿宋_GB2312"/>
          <w:color w:val="auto"/>
          <w:sz w:val="21"/>
          <w:szCs w:val="21"/>
          <w:highlight w:val="none"/>
        </w:rPr>
        <w:t>和承包人按合同约定变更合同时，我方承担本保函规定的义务不变。</w:t>
      </w:r>
    </w:p>
    <w:p w14:paraId="331D692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hint="eastAsia" w:ascii="Times New Roman" w:hAnsi="Times New Roman" w:eastAsia="仿宋_GB2312"/>
          <w:color w:val="auto"/>
          <w:sz w:val="21"/>
          <w:szCs w:val="21"/>
          <w:highlight w:val="none"/>
        </w:rPr>
        <w:t xml:space="preserve">5. </w:t>
      </w:r>
      <w:r>
        <w:rPr>
          <w:rFonts w:ascii="Times New Roman" w:hAnsi="Times New Roman" w:eastAsia="仿宋_GB2312"/>
          <w:color w:val="auto"/>
          <w:sz w:val="21"/>
          <w:szCs w:val="21"/>
          <w:highlight w:val="none"/>
        </w:rPr>
        <w:t>因本保函发生的纠纷，可由双方协商解决，协商不成的，任何一方均可提请</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仲裁委员会仲裁。</w:t>
      </w:r>
    </w:p>
    <w:p w14:paraId="2738F3F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hint="eastAsia" w:ascii="Times New Roman" w:hAnsi="Times New Roman" w:eastAsia="仿宋_GB2312"/>
          <w:color w:val="auto"/>
          <w:sz w:val="21"/>
          <w:szCs w:val="21"/>
          <w:highlight w:val="none"/>
        </w:rPr>
        <w:t xml:space="preserve">6. </w:t>
      </w:r>
      <w:r>
        <w:rPr>
          <w:rFonts w:ascii="Times New Roman" w:hAnsi="Times New Roman" w:eastAsia="仿宋_GB2312"/>
          <w:color w:val="auto"/>
          <w:sz w:val="21"/>
          <w:szCs w:val="21"/>
          <w:highlight w:val="none"/>
        </w:rPr>
        <w:t>本保函自我方法定代表人（或其授权代理人）签字并加盖公章之日起生效。</w:t>
      </w:r>
    </w:p>
    <w:p w14:paraId="6D69A0E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仿宋_GB2312"/>
          <w:color w:val="auto"/>
          <w:sz w:val="21"/>
          <w:szCs w:val="21"/>
          <w:highlight w:val="none"/>
        </w:rPr>
      </w:pPr>
    </w:p>
    <w:p w14:paraId="3AAF1E0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仿宋_GB2312"/>
          <w:color w:val="auto"/>
          <w:sz w:val="21"/>
          <w:szCs w:val="21"/>
          <w:highlight w:val="none"/>
        </w:rPr>
      </w:pPr>
    </w:p>
    <w:p w14:paraId="094D94E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担保人：</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（盖单位章）</w:t>
      </w:r>
    </w:p>
    <w:p w14:paraId="0C4A8F3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法定代表人或其委托代理人：</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（签字）</w:t>
      </w:r>
    </w:p>
    <w:p w14:paraId="482F311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地    址：</w:t>
      </w:r>
      <w:r>
        <w:rPr>
          <w:rFonts w:ascii="Times New Roman" w:hAnsi="Times New Roman" w:eastAsia="仿宋_GB2312"/>
          <w:color w:val="auto"/>
          <w:sz w:val="21"/>
          <w:szCs w:val="21"/>
          <w:highlight w:val="none"/>
          <w:u w:val="single"/>
        </w:rPr>
        <w:tab/>
      </w:r>
      <w:r>
        <w:rPr>
          <w:rFonts w:ascii="Times New Roman" w:hAnsi="Times New Roman" w:eastAsia="仿宋_GB2312"/>
          <w:color w:val="auto"/>
          <w:sz w:val="21"/>
          <w:szCs w:val="21"/>
          <w:highlight w:val="none"/>
          <w:u w:val="single"/>
        </w:rPr>
        <w:tab/>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ab/>
      </w:r>
      <w:r>
        <w:rPr>
          <w:rFonts w:ascii="Times New Roman" w:hAnsi="Times New Roman" w:eastAsia="仿宋_GB2312"/>
          <w:color w:val="auto"/>
          <w:sz w:val="21"/>
          <w:szCs w:val="21"/>
          <w:highlight w:val="none"/>
          <w:u w:val="single"/>
        </w:rPr>
        <w:tab/>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ab/>
      </w:r>
      <w:r>
        <w:rPr>
          <w:rFonts w:ascii="Times New Roman" w:hAnsi="Times New Roman" w:eastAsia="仿宋_GB2312"/>
          <w:color w:val="auto"/>
          <w:sz w:val="21"/>
          <w:szCs w:val="21"/>
          <w:highlight w:val="none"/>
          <w:u w:val="single"/>
        </w:rPr>
        <w:tab/>
      </w:r>
      <w:r>
        <w:rPr>
          <w:rFonts w:ascii="Times New Roman" w:hAnsi="Times New Roman" w:eastAsia="仿宋_GB2312"/>
          <w:color w:val="auto"/>
          <w:sz w:val="21"/>
          <w:szCs w:val="21"/>
          <w:highlight w:val="none"/>
          <w:u w:val="single"/>
        </w:rPr>
        <w:tab/>
      </w:r>
    </w:p>
    <w:p w14:paraId="228120A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仿宋_GB2312"/>
          <w:color w:val="auto"/>
          <w:sz w:val="21"/>
          <w:szCs w:val="21"/>
          <w:highlight w:val="none"/>
          <w:u w:val="single"/>
        </w:rPr>
      </w:pPr>
      <w:r>
        <w:rPr>
          <w:rFonts w:ascii="Times New Roman" w:hAnsi="Times New Roman" w:eastAsia="仿宋_GB2312"/>
          <w:color w:val="auto"/>
          <w:sz w:val="21"/>
          <w:szCs w:val="21"/>
          <w:highlight w:val="none"/>
        </w:rPr>
        <w:t>邮政编码：</w:t>
      </w:r>
      <w:r>
        <w:rPr>
          <w:rFonts w:ascii="Times New Roman" w:hAnsi="Times New Roman" w:eastAsia="仿宋_GB2312"/>
          <w:color w:val="auto"/>
          <w:sz w:val="21"/>
          <w:szCs w:val="21"/>
          <w:highlight w:val="none"/>
          <w:u w:val="single"/>
        </w:rPr>
        <w:tab/>
      </w:r>
      <w:r>
        <w:rPr>
          <w:rFonts w:ascii="Times New Roman" w:hAnsi="Times New Roman" w:eastAsia="仿宋_GB2312"/>
          <w:color w:val="auto"/>
          <w:sz w:val="21"/>
          <w:szCs w:val="21"/>
          <w:highlight w:val="none"/>
          <w:u w:val="single"/>
        </w:rPr>
        <w:tab/>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ab/>
      </w:r>
      <w:r>
        <w:rPr>
          <w:rFonts w:ascii="Times New Roman" w:hAnsi="Times New Roman" w:eastAsia="仿宋_GB2312"/>
          <w:color w:val="auto"/>
          <w:sz w:val="21"/>
          <w:szCs w:val="21"/>
          <w:highlight w:val="none"/>
          <w:u w:val="single"/>
        </w:rPr>
        <w:tab/>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ab/>
      </w:r>
      <w:r>
        <w:rPr>
          <w:rFonts w:ascii="Times New Roman" w:hAnsi="Times New Roman" w:eastAsia="仿宋_GB2312"/>
          <w:color w:val="auto"/>
          <w:sz w:val="21"/>
          <w:szCs w:val="21"/>
          <w:highlight w:val="none"/>
          <w:u w:val="single"/>
        </w:rPr>
        <w:tab/>
      </w:r>
      <w:r>
        <w:rPr>
          <w:rFonts w:ascii="Times New Roman" w:hAnsi="Times New Roman" w:eastAsia="仿宋_GB2312"/>
          <w:color w:val="auto"/>
          <w:sz w:val="21"/>
          <w:szCs w:val="21"/>
          <w:highlight w:val="none"/>
          <w:u w:val="single"/>
        </w:rPr>
        <w:tab/>
      </w:r>
    </w:p>
    <w:p w14:paraId="16F92F0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仿宋_GB2312"/>
          <w:color w:val="auto"/>
          <w:sz w:val="21"/>
          <w:szCs w:val="21"/>
          <w:highlight w:val="none"/>
          <w:u w:val="single"/>
        </w:rPr>
      </w:pPr>
      <w:r>
        <w:rPr>
          <w:rFonts w:ascii="Times New Roman" w:hAnsi="Times New Roman" w:eastAsia="仿宋_GB2312"/>
          <w:color w:val="auto"/>
          <w:sz w:val="21"/>
          <w:szCs w:val="21"/>
          <w:highlight w:val="none"/>
        </w:rPr>
        <w:t>电    话：</w:t>
      </w:r>
      <w:r>
        <w:rPr>
          <w:rFonts w:ascii="Times New Roman" w:hAnsi="Times New Roman" w:eastAsia="仿宋_GB2312"/>
          <w:color w:val="auto"/>
          <w:sz w:val="21"/>
          <w:szCs w:val="21"/>
          <w:highlight w:val="none"/>
          <w:u w:val="single"/>
        </w:rPr>
        <w:tab/>
      </w:r>
      <w:r>
        <w:rPr>
          <w:rFonts w:ascii="Times New Roman" w:hAnsi="Times New Roman" w:eastAsia="仿宋_GB2312"/>
          <w:color w:val="auto"/>
          <w:sz w:val="21"/>
          <w:szCs w:val="21"/>
          <w:highlight w:val="none"/>
          <w:u w:val="single"/>
        </w:rPr>
        <w:tab/>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ab/>
      </w:r>
      <w:r>
        <w:rPr>
          <w:rFonts w:ascii="Times New Roman" w:hAnsi="Times New Roman" w:eastAsia="仿宋_GB2312"/>
          <w:color w:val="auto"/>
          <w:sz w:val="21"/>
          <w:szCs w:val="21"/>
          <w:highlight w:val="none"/>
          <w:u w:val="single"/>
        </w:rPr>
        <w:tab/>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ab/>
      </w:r>
      <w:r>
        <w:rPr>
          <w:rFonts w:ascii="Times New Roman" w:hAnsi="Times New Roman" w:eastAsia="仿宋_GB2312"/>
          <w:color w:val="auto"/>
          <w:sz w:val="21"/>
          <w:szCs w:val="21"/>
          <w:highlight w:val="none"/>
          <w:u w:val="single"/>
        </w:rPr>
        <w:tab/>
      </w:r>
      <w:r>
        <w:rPr>
          <w:rFonts w:ascii="Times New Roman" w:hAnsi="Times New Roman" w:eastAsia="仿宋_GB2312"/>
          <w:color w:val="auto"/>
          <w:sz w:val="21"/>
          <w:szCs w:val="21"/>
          <w:highlight w:val="none"/>
          <w:u w:val="single"/>
        </w:rPr>
        <w:tab/>
      </w:r>
    </w:p>
    <w:p w14:paraId="3D88DFB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仿宋_GB2312"/>
          <w:color w:val="auto"/>
          <w:sz w:val="21"/>
          <w:szCs w:val="21"/>
          <w:highlight w:val="none"/>
          <w:u w:val="single"/>
        </w:rPr>
      </w:pPr>
      <w:r>
        <w:rPr>
          <w:rFonts w:ascii="Times New Roman" w:hAnsi="Times New Roman" w:eastAsia="仿宋_GB2312"/>
          <w:color w:val="auto"/>
          <w:sz w:val="21"/>
          <w:szCs w:val="21"/>
          <w:highlight w:val="none"/>
        </w:rPr>
        <w:t>传    真：</w:t>
      </w:r>
      <w:r>
        <w:rPr>
          <w:rFonts w:ascii="Times New Roman" w:hAnsi="Times New Roman" w:eastAsia="仿宋_GB2312"/>
          <w:color w:val="auto"/>
          <w:sz w:val="21"/>
          <w:szCs w:val="21"/>
          <w:highlight w:val="none"/>
          <w:u w:val="single"/>
        </w:rPr>
        <w:tab/>
      </w:r>
      <w:r>
        <w:rPr>
          <w:rFonts w:ascii="Times New Roman" w:hAnsi="Times New Roman" w:eastAsia="仿宋_GB2312"/>
          <w:color w:val="auto"/>
          <w:sz w:val="21"/>
          <w:szCs w:val="21"/>
          <w:highlight w:val="none"/>
          <w:u w:val="single"/>
        </w:rPr>
        <w:tab/>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ab/>
      </w:r>
      <w:r>
        <w:rPr>
          <w:rFonts w:ascii="Times New Roman" w:hAnsi="Times New Roman" w:eastAsia="仿宋_GB2312"/>
          <w:color w:val="auto"/>
          <w:sz w:val="21"/>
          <w:szCs w:val="21"/>
          <w:highlight w:val="none"/>
          <w:u w:val="single"/>
        </w:rPr>
        <w:tab/>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ab/>
      </w:r>
      <w:r>
        <w:rPr>
          <w:rFonts w:ascii="Times New Roman" w:hAnsi="Times New Roman" w:eastAsia="仿宋_GB2312"/>
          <w:color w:val="auto"/>
          <w:sz w:val="21"/>
          <w:szCs w:val="21"/>
          <w:highlight w:val="none"/>
          <w:u w:val="single"/>
        </w:rPr>
        <w:tab/>
      </w:r>
      <w:r>
        <w:rPr>
          <w:rFonts w:ascii="Times New Roman" w:hAnsi="Times New Roman" w:eastAsia="仿宋_GB2312"/>
          <w:color w:val="auto"/>
          <w:sz w:val="21"/>
          <w:szCs w:val="21"/>
          <w:highlight w:val="none"/>
          <w:u w:val="single"/>
        </w:rPr>
        <w:tab/>
      </w:r>
    </w:p>
    <w:p w14:paraId="6685D99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 xml:space="preserve">  </w:t>
      </w:r>
    </w:p>
    <w:p w14:paraId="7DD3366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仿宋_GB2312"/>
          <w:color w:val="auto"/>
          <w:sz w:val="21"/>
          <w:szCs w:val="21"/>
          <w:highlight w:val="none"/>
          <w:u w:val="single"/>
        </w:rPr>
      </w:pPr>
    </w:p>
    <w:p w14:paraId="20F9775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仿宋_GB2312"/>
          <w:color w:val="auto"/>
          <w:sz w:val="30"/>
          <w:szCs w:val="30"/>
          <w:highlight w:val="none"/>
        </w:rPr>
      </w:pPr>
      <w:r>
        <w:rPr>
          <w:rFonts w:ascii="Times New Roman" w:hAnsi="Times New Roman" w:eastAsia="仿宋_GB2312"/>
          <w:color w:val="auto"/>
          <w:sz w:val="21"/>
          <w:szCs w:val="21"/>
          <w:highlight w:val="none"/>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年</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月</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日</w:t>
      </w:r>
    </w:p>
    <w:p w14:paraId="1F4065EC">
      <w:pPr>
        <w:spacing w:line="440" w:lineRule="exact"/>
        <w:outlineLvl w:val="3"/>
        <w:rPr>
          <w:rFonts w:ascii="Times New Roman" w:hAnsi="Times New Roman" w:eastAsia="黑体"/>
          <w:color w:val="auto"/>
          <w:sz w:val="30"/>
          <w:szCs w:val="30"/>
          <w:highlight w:val="none"/>
        </w:rPr>
      </w:pPr>
      <w:r>
        <w:rPr>
          <w:rFonts w:ascii="Times New Roman" w:hAnsi="Times New Roman" w:eastAsia="仿宋_GB2312"/>
          <w:b/>
          <w:color w:val="auto"/>
          <w:sz w:val="30"/>
          <w:szCs w:val="30"/>
          <w:highlight w:val="none"/>
        </w:rPr>
        <w:br w:type="page"/>
      </w:r>
      <w:bookmarkStart w:id="1935" w:name="_Toc5007"/>
      <w:bookmarkStart w:id="1936" w:name="_Toc8739"/>
      <w:r>
        <w:rPr>
          <w:rFonts w:ascii="Times New Roman" w:hAnsi="Times New Roman" w:eastAsia="仿宋_GB2312"/>
          <w:color w:val="auto"/>
          <w:sz w:val="30"/>
          <w:szCs w:val="30"/>
          <w:highlight w:val="none"/>
        </w:rPr>
        <w:t>附</w:t>
      </w:r>
      <w:bookmarkStart w:id="1937" w:name="_Toc296503233"/>
      <w:bookmarkStart w:id="1938" w:name="_Toc296346734"/>
      <w:bookmarkStart w:id="1939" w:name="_Toc296891061"/>
      <w:bookmarkStart w:id="1940" w:name="_Toc296347232"/>
      <w:bookmarkStart w:id="1941" w:name="_Toc296891273"/>
      <w:bookmarkStart w:id="1942" w:name="_Toc296944572"/>
      <w:r>
        <w:rPr>
          <w:rFonts w:ascii="Times New Roman" w:hAnsi="Times New Roman" w:eastAsia="仿宋_GB2312"/>
          <w:color w:val="auto"/>
          <w:sz w:val="30"/>
          <w:szCs w:val="30"/>
          <w:highlight w:val="none"/>
        </w:rPr>
        <w:t>件10:</w:t>
      </w:r>
      <w:bookmarkEnd w:id="1935"/>
      <w:bookmarkEnd w:id="1936"/>
      <w:r>
        <w:rPr>
          <w:rFonts w:ascii="Times New Roman" w:hAnsi="Times New Roman" w:eastAsia="仿宋_GB2312"/>
          <w:color w:val="auto"/>
          <w:sz w:val="30"/>
          <w:szCs w:val="30"/>
          <w:highlight w:val="none"/>
        </w:rPr>
        <w:t xml:space="preserve"> </w:t>
      </w:r>
      <w:r>
        <w:rPr>
          <w:rFonts w:ascii="Times New Roman" w:hAnsi="Times New Roman" w:eastAsia="黑体"/>
          <w:color w:val="auto"/>
          <w:sz w:val="30"/>
          <w:szCs w:val="30"/>
          <w:highlight w:val="none"/>
        </w:rPr>
        <w:t xml:space="preserve"> </w:t>
      </w:r>
    </w:p>
    <w:bookmarkEnd w:id="1937"/>
    <w:bookmarkEnd w:id="1938"/>
    <w:bookmarkEnd w:id="1939"/>
    <w:bookmarkEnd w:id="1940"/>
    <w:bookmarkEnd w:id="1941"/>
    <w:bookmarkEnd w:id="1942"/>
    <w:p w14:paraId="140EAF01">
      <w:pPr>
        <w:spacing w:before="156" w:beforeLines="50" w:after="156" w:afterLines="50" w:line="440" w:lineRule="exact"/>
        <w:jc w:val="center"/>
        <w:outlineLvl w:val="4"/>
        <w:rPr>
          <w:rFonts w:ascii="Times New Roman" w:hAnsi="Times New Roman" w:eastAsia="黑体"/>
          <w:color w:val="auto"/>
          <w:sz w:val="30"/>
          <w:szCs w:val="30"/>
          <w:highlight w:val="none"/>
        </w:rPr>
      </w:pPr>
      <w:bookmarkStart w:id="1943" w:name="_Toc6439"/>
      <w:bookmarkStart w:id="1944" w:name="_Toc30577"/>
      <w:r>
        <w:rPr>
          <w:rFonts w:ascii="Times New Roman" w:hAnsi="Times New Roman" w:eastAsia="黑体"/>
          <w:color w:val="auto"/>
          <w:sz w:val="30"/>
          <w:szCs w:val="30"/>
          <w:highlight w:val="none"/>
        </w:rPr>
        <w:t>支付担保</w:t>
      </w:r>
      <w:bookmarkEnd w:id="1943"/>
      <w:bookmarkEnd w:id="1944"/>
    </w:p>
    <w:p w14:paraId="76B42666">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（承包人）：</w:t>
      </w:r>
    </w:p>
    <w:p w14:paraId="0C63546C">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ascii="Times New Roman" w:hAnsi="Times New Roman" w:eastAsia="仿宋_GB2312"/>
          <w:color w:val="auto"/>
          <w:sz w:val="21"/>
          <w:szCs w:val="21"/>
          <w:highlight w:val="none"/>
        </w:rPr>
      </w:pPr>
    </w:p>
    <w:p w14:paraId="1566B5E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鉴于你方作为承包人已经与</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（发包人名称）（以下称</w:t>
      </w:r>
      <w:r>
        <w:rPr>
          <w:rFonts w:hint="eastAsia" w:ascii="Times New Roman" w:hAnsi="Times New Roman" w:eastAsia="仿宋_GB2312"/>
          <w:color w:val="auto"/>
          <w:sz w:val="21"/>
          <w:szCs w:val="21"/>
          <w:highlight w:val="none"/>
        </w:rPr>
        <w:t>“</w:t>
      </w:r>
      <w:r>
        <w:rPr>
          <w:rFonts w:ascii="Times New Roman" w:hAnsi="Times New Roman" w:eastAsia="仿宋_GB2312"/>
          <w:color w:val="auto"/>
          <w:sz w:val="21"/>
          <w:szCs w:val="21"/>
          <w:highlight w:val="none"/>
        </w:rPr>
        <w:t>发包人</w:t>
      </w:r>
      <w:r>
        <w:rPr>
          <w:rFonts w:hint="eastAsia" w:ascii="Times New Roman" w:hAnsi="Times New Roman" w:eastAsia="仿宋_GB2312"/>
          <w:color w:val="auto"/>
          <w:sz w:val="21"/>
          <w:szCs w:val="21"/>
          <w:highlight w:val="none"/>
        </w:rPr>
        <w:t>”</w:t>
      </w:r>
      <w:r>
        <w:rPr>
          <w:rFonts w:ascii="Times New Roman" w:hAnsi="Times New Roman" w:eastAsia="仿宋_GB2312"/>
          <w:color w:val="auto"/>
          <w:sz w:val="21"/>
          <w:szCs w:val="21"/>
          <w:highlight w:val="none"/>
        </w:rPr>
        <w:t>）于</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年</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月</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日签订了</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（工程名称）《建设工程施工合同》（以下称</w:t>
      </w:r>
      <w:r>
        <w:rPr>
          <w:rFonts w:hint="eastAsia" w:ascii="Times New Roman" w:hAnsi="Times New Roman" w:eastAsia="仿宋_GB2312"/>
          <w:color w:val="auto"/>
          <w:sz w:val="21"/>
          <w:szCs w:val="21"/>
          <w:highlight w:val="none"/>
        </w:rPr>
        <w:t>“</w:t>
      </w:r>
      <w:r>
        <w:rPr>
          <w:rFonts w:ascii="Times New Roman" w:hAnsi="Times New Roman" w:eastAsia="仿宋_GB2312"/>
          <w:color w:val="auto"/>
          <w:sz w:val="21"/>
          <w:szCs w:val="21"/>
          <w:highlight w:val="none"/>
        </w:rPr>
        <w:t>主合同</w:t>
      </w:r>
      <w:r>
        <w:rPr>
          <w:rFonts w:hint="eastAsia" w:ascii="Times New Roman" w:hAnsi="Times New Roman" w:eastAsia="仿宋_GB2312"/>
          <w:color w:val="auto"/>
          <w:sz w:val="21"/>
          <w:szCs w:val="21"/>
          <w:highlight w:val="none"/>
        </w:rPr>
        <w:t>”</w:t>
      </w:r>
      <w:r>
        <w:rPr>
          <w:rFonts w:ascii="Times New Roman" w:hAnsi="Times New Roman" w:eastAsia="仿宋_GB2312"/>
          <w:color w:val="auto"/>
          <w:sz w:val="21"/>
          <w:szCs w:val="21"/>
          <w:highlight w:val="none"/>
        </w:rPr>
        <w:t>），应发包人的申请，我方愿就发包人履行主合同约定的工程款支付义务以保证的方式向你方提供如下担保：</w:t>
      </w:r>
    </w:p>
    <w:p w14:paraId="4AE520B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5"/>
        <w:rPr>
          <w:rFonts w:ascii="Times New Roman" w:hAnsi="Times New Roman" w:eastAsia="黑体"/>
          <w:color w:val="auto"/>
          <w:sz w:val="21"/>
          <w:szCs w:val="21"/>
          <w:highlight w:val="none"/>
        </w:rPr>
      </w:pPr>
      <w:bookmarkStart w:id="1945" w:name="_Toc19954"/>
      <w:r>
        <w:rPr>
          <w:rFonts w:ascii="Times New Roman" w:hAnsi="Times New Roman" w:eastAsia="黑体"/>
          <w:color w:val="auto"/>
          <w:sz w:val="21"/>
          <w:szCs w:val="21"/>
          <w:highlight w:val="none"/>
        </w:rPr>
        <w:t>一、保证的范围及保证金额</w:t>
      </w:r>
      <w:bookmarkEnd w:id="1945"/>
    </w:p>
    <w:p w14:paraId="5D91BD7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hint="eastAsia" w:ascii="Times New Roman" w:hAnsi="Times New Roman" w:eastAsia="仿宋_GB2312"/>
          <w:color w:val="auto"/>
          <w:sz w:val="21"/>
          <w:szCs w:val="21"/>
          <w:highlight w:val="none"/>
        </w:rPr>
        <w:t xml:space="preserve">1. </w:t>
      </w:r>
      <w:r>
        <w:rPr>
          <w:rFonts w:ascii="Times New Roman" w:hAnsi="Times New Roman" w:eastAsia="仿宋_GB2312"/>
          <w:color w:val="auto"/>
          <w:sz w:val="21"/>
          <w:szCs w:val="21"/>
          <w:highlight w:val="none"/>
        </w:rPr>
        <w:t>我方的保证范围是主合同约定的工程款。</w:t>
      </w:r>
    </w:p>
    <w:p w14:paraId="3E82BC2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仿宋_GB2312"/>
          <w:color w:val="auto"/>
          <w:sz w:val="21"/>
          <w:szCs w:val="21"/>
          <w:highlight w:val="none"/>
        </w:rPr>
      </w:pPr>
      <w:r>
        <w:rPr>
          <w:rFonts w:hint="eastAsia" w:ascii="Times New Roman" w:hAnsi="Times New Roman" w:eastAsia="仿宋_GB2312"/>
          <w:color w:val="auto"/>
          <w:sz w:val="21"/>
          <w:szCs w:val="21"/>
          <w:highlight w:val="none"/>
        </w:rPr>
        <w:t xml:space="preserve">2. </w:t>
      </w:r>
      <w:r>
        <w:rPr>
          <w:rFonts w:ascii="Times New Roman" w:hAnsi="Times New Roman" w:eastAsia="仿宋_GB2312"/>
          <w:color w:val="auto"/>
          <w:sz w:val="21"/>
          <w:szCs w:val="21"/>
          <w:highlight w:val="none"/>
        </w:rPr>
        <w:t>本保函所称主合同约定的工程款是指主合同约定的除工程质量保证金以外的合同价款。</w:t>
      </w:r>
    </w:p>
    <w:p w14:paraId="507E877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ascii="Times New Roman" w:hAnsi="Times New Roman" w:eastAsia="仿宋_GB2312"/>
          <w:color w:val="auto"/>
          <w:sz w:val="21"/>
          <w:szCs w:val="21"/>
          <w:highlight w:val="none"/>
        </w:rPr>
      </w:pPr>
      <w:r>
        <w:rPr>
          <w:rFonts w:hint="eastAsia" w:ascii="Times New Roman" w:hAnsi="Times New Roman" w:eastAsia="仿宋_GB2312"/>
          <w:color w:val="auto"/>
          <w:sz w:val="21"/>
          <w:szCs w:val="21"/>
          <w:highlight w:val="none"/>
        </w:rPr>
        <w:t xml:space="preserve">3. </w:t>
      </w:r>
      <w:r>
        <w:rPr>
          <w:rFonts w:ascii="Times New Roman" w:hAnsi="Times New Roman" w:eastAsia="仿宋_GB2312"/>
          <w:color w:val="auto"/>
          <w:sz w:val="21"/>
          <w:szCs w:val="21"/>
          <w:highlight w:val="none"/>
        </w:rPr>
        <w:t>我方保证的金额是主合同约定的工程款的</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%，数额最高不超过人民币元（大写：</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w:t>
      </w:r>
    </w:p>
    <w:p w14:paraId="4F4C116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ascii="Times New Roman" w:hAnsi="Times New Roman" w:eastAsia="黑体"/>
          <w:color w:val="auto"/>
          <w:sz w:val="21"/>
          <w:szCs w:val="21"/>
          <w:highlight w:val="none"/>
        </w:rPr>
      </w:pPr>
      <w:bookmarkStart w:id="1946" w:name="_Toc10232"/>
      <w:r>
        <w:rPr>
          <w:rFonts w:ascii="Times New Roman" w:hAnsi="Times New Roman" w:eastAsia="黑体"/>
          <w:color w:val="auto"/>
          <w:sz w:val="21"/>
          <w:szCs w:val="21"/>
          <w:highlight w:val="none"/>
        </w:rPr>
        <w:t>二、保证的方式及保证期间</w:t>
      </w:r>
      <w:bookmarkEnd w:id="1946"/>
    </w:p>
    <w:p w14:paraId="3121CB7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Times New Roman" w:hAnsi="Times New Roman" w:eastAsia="仿宋_GB2312"/>
          <w:color w:val="auto"/>
          <w:sz w:val="21"/>
          <w:szCs w:val="21"/>
          <w:highlight w:val="none"/>
        </w:rPr>
      </w:pPr>
      <w:r>
        <w:rPr>
          <w:rFonts w:hint="eastAsia" w:ascii="Times New Roman" w:hAnsi="Times New Roman" w:eastAsia="仿宋_GB2312"/>
          <w:color w:val="auto"/>
          <w:sz w:val="21"/>
          <w:szCs w:val="21"/>
          <w:highlight w:val="none"/>
        </w:rPr>
        <w:t xml:space="preserve">1. </w:t>
      </w:r>
      <w:r>
        <w:rPr>
          <w:rFonts w:ascii="Times New Roman" w:hAnsi="Times New Roman" w:eastAsia="仿宋_GB2312"/>
          <w:color w:val="auto"/>
          <w:sz w:val="21"/>
          <w:szCs w:val="21"/>
          <w:highlight w:val="none"/>
        </w:rPr>
        <w:t>我方保证的方式为：连带责任保证。</w:t>
      </w:r>
    </w:p>
    <w:p w14:paraId="22AE5EF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ascii="Times New Roman" w:hAnsi="Times New Roman" w:eastAsia="仿宋_GB2312"/>
          <w:color w:val="auto"/>
          <w:sz w:val="21"/>
          <w:szCs w:val="21"/>
          <w:highlight w:val="none"/>
        </w:rPr>
      </w:pPr>
      <w:r>
        <w:rPr>
          <w:rFonts w:hint="eastAsia" w:ascii="Times New Roman" w:hAnsi="Times New Roman" w:eastAsia="仿宋_GB2312"/>
          <w:color w:val="auto"/>
          <w:sz w:val="21"/>
          <w:szCs w:val="21"/>
          <w:highlight w:val="none"/>
        </w:rPr>
        <w:t xml:space="preserve">2. </w:t>
      </w:r>
      <w:r>
        <w:rPr>
          <w:rFonts w:ascii="Times New Roman" w:hAnsi="Times New Roman" w:eastAsia="仿宋_GB2312"/>
          <w:color w:val="auto"/>
          <w:sz w:val="21"/>
          <w:szCs w:val="21"/>
          <w:highlight w:val="none"/>
        </w:rPr>
        <w:t>我方保证的期间为：自本合同生效之日起至主合同约定的工程款支付完毕之日后</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日内。</w:t>
      </w:r>
    </w:p>
    <w:p w14:paraId="009750F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Times New Roman" w:hAnsi="Times New Roman" w:eastAsia="仿宋_GB2312"/>
          <w:color w:val="auto"/>
          <w:sz w:val="21"/>
          <w:szCs w:val="21"/>
          <w:highlight w:val="none"/>
        </w:rPr>
      </w:pPr>
      <w:r>
        <w:rPr>
          <w:rFonts w:hint="eastAsia" w:ascii="Times New Roman" w:hAnsi="Times New Roman" w:eastAsia="仿宋_GB2312"/>
          <w:color w:val="auto"/>
          <w:sz w:val="21"/>
          <w:szCs w:val="21"/>
          <w:highlight w:val="none"/>
        </w:rPr>
        <w:t xml:space="preserve">3. </w:t>
      </w:r>
      <w:r>
        <w:rPr>
          <w:rFonts w:ascii="Times New Roman" w:hAnsi="Times New Roman" w:eastAsia="仿宋_GB2312"/>
          <w:color w:val="auto"/>
          <w:sz w:val="21"/>
          <w:szCs w:val="21"/>
          <w:highlight w:val="none"/>
        </w:rPr>
        <w:t>你方与发包人协议变更工程款支付日期的，经我方书面同意后，保证期间按照变更后的支付日期做相应调整。</w:t>
      </w:r>
    </w:p>
    <w:p w14:paraId="1802B27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ascii="Times New Roman" w:hAnsi="Times New Roman" w:eastAsia="黑体"/>
          <w:color w:val="auto"/>
          <w:sz w:val="21"/>
          <w:szCs w:val="21"/>
          <w:highlight w:val="none"/>
        </w:rPr>
      </w:pPr>
      <w:bookmarkStart w:id="1947" w:name="_Toc7907"/>
      <w:r>
        <w:rPr>
          <w:rFonts w:ascii="Times New Roman" w:hAnsi="Times New Roman" w:eastAsia="黑体"/>
          <w:color w:val="auto"/>
          <w:sz w:val="21"/>
          <w:szCs w:val="21"/>
          <w:highlight w:val="none"/>
        </w:rPr>
        <w:t>三、承担保证责任的形式</w:t>
      </w:r>
      <w:bookmarkEnd w:id="1947"/>
    </w:p>
    <w:p w14:paraId="33A1D10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我方承担保证责任的形式是代为支付。发包人未按主合同约定向你方支付工程款的，由我方在保证金额内代为支付。</w:t>
      </w:r>
    </w:p>
    <w:p w14:paraId="5991285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ascii="Times New Roman" w:hAnsi="Times New Roman" w:eastAsia="黑体"/>
          <w:color w:val="auto"/>
          <w:sz w:val="21"/>
          <w:szCs w:val="21"/>
          <w:highlight w:val="none"/>
        </w:rPr>
      </w:pPr>
      <w:bookmarkStart w:id="1948" w:name="_Toc8343"/>
      <w:r>
        <w:rPr>
          <w:rFonts w:ascii="Times New Roman" w:hAnsi="Times New Roman" w:eastAsia="黑体"/>
          <w:color w:val="auto"/>
          <w:sz w:val="21"/>
          <w:szCs w:val="21"/>
          <w:highlight w:val="none"/>
        </w:rPr>
        <w:t>四、代偿的安排</w:t>
      </w:r>
      <w:bookmarkEnd w:id="1948"/>
    </w:p>
    <w:p w14:paraId="2D083F6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ascii="Times New Roman" w:hAnsi="Times New Roman" w:eastAsia="仿宋_GB2312"/>
          <w:color w:val="auto"/>
          <w:sz w:val="21"/>
          <w:szCs w:val="21"/>
          <w:highlight w:val="none"/>
        </w:rPr>
      </w:pPr>
      <w:r>
        <w:rPr>
          <w:rFonts w:hint="eastAsia" w:ascii="Times New Roman" w:hAnsi="Times New Roman" w:eastAsia="仿宋_GB2312"/>
          <w:color w:val="auto"/>
          <w:sz w:val="21"/>
          <w:szCs w:val="21"/>
          <w:highlight w:val="none"/>
        </w:rPr>
        <w:t xml:space="preserve">1. </w:t>
      </w:r>
      <w:r>
        <w:rPr>
          <w:rFonts w:ascii="Times New Roman" w:hAnsi="Times New Roman" w:eastAsia="仿宋_GB2312"/>
          <w:color w:val="auto"/>
          <w:sz w:val="21"/>
          <w:szCs w:val="21"/>
          <w:highlight w:val="none"/>
        </w:rPr>
        <w:t>你方要求我方承担保证责任的，应向我方发出书面索赔通知及发包人未支付主合同约定工程款的证明材料。索赔通知应写明要求索赔的金额，支付款项应到达的账号。</w:t>
      </w:r>
    </w:p>
    <w:p w14:paraId="6915D25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ascii="Times New Roman" w:hAnsi="Times New Roman" w:eastAsia="仿宋_GB2312"/>
          <w:color w:val="auto"/>
          <w:sz w:val="21"/>
          <w:szCs w:val="21"/>
          <w:highlight w:val="none"/>
        </w:rPr>
      </w:pPr>
      <w:r>
        <w:rPr>
          <w:rFonts w:hint="eastAsia" w:ascii="Times New Roman" w:hAnsi="Times New Roman" w:eastAsia="仿宋_GB2312"/>
          <w:color w:val="auto"/>
          <w:sz w:val="21"/>
          <w:szCs w:val="21"/>
          <w:highlight w:val="none"/>
        </w:rPr>
        <w:t xml:space="preserve">2. </w:t>
      </w:r>
      <w:r>
        <w:rPr>
          <w:rFonts w:ascii="Times New Roman" w:hAnsi="Times New Roman" w:eastAsia="仿宋_GB2312"/>
          <w:color w:val="auto"/>
          <w:sz w:val="21"/>
          <w:szCs w:val="21"/>
          <w:highlight w:val="none"/>
        </w:rPr>
        <w:t>在出现你方与发包人因工程质量发生争议，发包人拒绝向你方支付工程款的情形时，你方要求我方履行保证责任代为支付的，需提供符合相应条件要求的工程质量检测机构出具的质量说明材料。</w:t>
      </w:r>
    </w:p>
    <w:p w14:paraId="02ED954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ascii="Times New Roman" w:hAnsi="Times New Roman" w:eastAsia="仿宋_GB2312"/>
          <w:color w:val="auto"/>
          <w:sz w:val="21"/>
          <w:szCs w:val="21"/>
          <w:highlight w:val="none"/>
        </w:rPr>
      </w:pPr>
      <w:r>
        <w:rPr>
          <w:rFonts w:hint="eastAsia" w:ascii="Times New Roman" w:hAnsi="Times New Roman" w:eastAsia="仿宋_GB2312"/>
          <w:color w:val="auto"/>
          <w:sz w:val="21"/>
          <w:szCs w:val="21"/>
          <w:highlight w:val="none"/>
        </w:rPr>
        <w:t xml:space="preserve">3. </w:t>
      </w:r>
      <w:r>
        <w:rPr>
          <w:rFonts w:ascii="Times New Roman" w:hAnsi="Times New Roman" w:eastAsia="仿宋_GB2312"/>
          <w:color w:val="auto"/>
          <w:sz w:val="21"/>
          <w:szCs w:val="21"/>
          <w:highlight w:val="none"/>
        </w:rPr>
        <w:t>我方收到你方的书面索赔通知及相应的证明材料后７天内无条件支付。</w:t>
      </w:r>
    </w:p>
    <w:p w14:paraId="6B8CE10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ascii="Times New Roman" w:hAnsi="Times New Roman" w:eastAsia="黑体"/>
          <w:color w:val="auto"/>
          <w:sz w:val="21"/>
          <w:szCs w:val="21"/>
          <w:highlight w:val="none"/>
        </w:rPr>
      </w:pPr>
      <w:bookmarkStart w:id="1949" w:name="_Toc18384"/>
      <w:r>
        <w:rPr>
          <w:rFonts w:ascii="Times New Roman" w:hAnsi="Times New Roman" w:eastAsia="黑体"/>
          <w:color w:val="auto"/>
          <w:sz w:val="21"/>
          <w:szCs w:val="21"/>
          <w:highlight w:val="none"/>
        </w:rPr>
        <w:t>五、保证责任的解除</w:t>
      </w:r>
      <w:bookmarkEnd w:id="1949"/>
    </w:p>
    <w:p w14:paraId="33F5B20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ascii="Times New Roman" w:hAnsi="Times New Roman" w:eastAsia="仿宋_GB2312"/>
          <w:color w:val="auto"/>
          <w:sz w:val="21"/>
          <w:szCs w:val="21"/>
          <w:highlight w:val="none"/>
        </w:rPr>
      </w:pPr>
      <w:r>
        <w:rPr>
          <w:rFonts w:hint="eastAsia" w:ascii="Times New Roman" w:hAnsi="Times New Roman" w:eastAsia="仿宋_GB2312"/>
          <w:color w:val="auto"/>
          <w:sz w:val="21"/>
          <w:szCs w:val="21"/>
          <w:highlight w:val="none"/>
        </w:rPr>
        <w:t xml:space="preserve">1. </w:t>
      </w:r>
      <w:r>
        <w:rPr>
          <w:rFonts w:ascii="Times New Roman" w:hAnsi="Times New Roman" w:eastAsia="仿宋_GB2312"/>
          <w:color w:val="auto"/>
          <w:sz w:val="21"/>
          <w:szCs w:val="21"/>
          <w:highlight w:val="none"/>
        </w:rPr>
        <w:t>在本保函承诺的保证期间内，你方未书面向我方主张保证责任的，自保证期间届满次日起，我方保证责任解除。</w:t>
      </w:r>
    </w:p>
    <w:p w14:paraId="7E5E658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ascii="Times New Roman" w:hAnsi="Times New Roman" w:eastAsia="仿宋_GB2312"/>
          <w:color w:val="auto"/>
          <w:sz w:val="21"/>
          <w:szCs w:val="21"/>
          <w:highlight w:val="none"/>
        </w:rPr>
      </w:pPr>
      <w:r>
        <w:rPr>
          <w:rFonts w:hint="eastAsia" w:ascii="Times New Roman" w:hAnsi="Times New Roman" w:eastAsia="仿宋_GB2312"/>
          <w:color w:val="auto"/>
          <w:sz w:val="21"/>
          <w:szCs w:val="21"/>
          <w:highlight w:val="none"/>
        </w:rPr>
        <w:t xml:space="preserve">2. </w:t>
      </w:r>
      <w:r>
        <w:rPr>
          <w:rFonts w:ascii="Times New Roman" w:hAnsi="Times New Roman" w:eastAsia="仿宋_GB2312"/>
          <w:color w:val="auto"/>
          <w:sz w:val="21"/>
          <w:szCs w:val="21"/>
          <w:highlight w:val="none"/>
        </w:rPr>
        <w:t>发包人按主合同约定履行了工程款的全部支付义务的，自本保函承诺的保证期间届满次日起，我方保证责任解除。</w:t>
      </w:r>
    </w:p>
    <w:p w14:paraId="7CF3BEA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Times New Roman" w:hAnsi="Times New Roman" w:eastAsia="仿宋_GB2312"/>
          <w:color w:val="auto"/>
          <w:sz w:val="21"/>
          <w:szCs w:val="21"/>
          <w:highlight w:val="none"/>
        </w:rPr>
      </w:pPr>
      <w:r>
        <w:rPr>
          <w:rFonts w:hint="eastAsia" w:ascii="Times New Roman" w:hAnsi="Times New Roman" w:eastAsia="仿宋_GB2312"/>
          <w:color w:val="auto"/>
          <w:sz w:val="21"/>
          <w:szCs w:val="21"/>
          <w:highlight w:val="none"/>
        </w:rPr>
        <w:t xml:space="preserve">3. </w:t>
      </w:r>
      <w:r>
        <w:rPr>
          <w:rFonts w:ascii="Times New Roman" w:hAnsi="Times New Roman" w:eastAsia="仿宋_GB2312"/>
          <w:color w:val="auto"/>
          <w:sz w:val="21"/>
          <w:szCs w:val="21"/>
          <w:highlight w:val="none"/>
        </w:rPr>
        <w:t>我方按照本保函向你方履行保证责任所支付金额达到本保函保证金额时，自我方向你方支付（支付款项从我方账户划出）之日起，保证责任即解除。</w:t>
      </w:r>
    </w:p>
    <w:p w14:paraId="1ECD7F2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Times New Roman" w:hAnsi="Times New Roman" w:eastAsia="仿宋_GB2312"/>
          <w:color w:val="auto"/>
          <w:sz w:val="21"/>
          <w:szCs w:val="21"/>
          <w:highlight w:val="none"/>
        </w:rPr>
      </w:pPr>
      <w:r>
        <w:rPr>
          <w:rFonts w:hint="eastAsia" w:ascii="Times New Roman" w:hAnsi="Times New Roman" w:eastAsia="仿宋_GB2312"/>
          <w:color w:val="auto"/>
          <w:sz w:val="21"/>
          <w:szCs w:val="21"/>
          <w:highlight w:val="none"/>
        </w:rPr>
        <w:t xml:space="preserve">4. </w:t>
      </w:r>
      <w:r>
        <w:rPr>
          <w:rFonts w:ascii="Times New Roman" w:hAnsi="Times New Roman" w:eastAsia="仿宋_GB2312"/>
          <w:color w:val="auto"/>
          <w:sz w:val="21"/>
          <w:szCs w:val="21"/>
          <w:highlight w:val="none"/>
        </w:rPr>
        <w:t>按照法律法规的规定或出现应解除我方保证责任的其他情形的，我方在本保函项下的保证责任亦解除。</w:t>
      </w:r>
    </w:p>
    <w:p w14:paraId="7347A1D1">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outlineLvl w:val="9"/>
        <w:rPr>
          <w:rFonts w:hint="eastAsia" w:ascii="Times New Roman" w:hAnsi="Times New Roman" w:eastAsia="仿宋_GB2312"/>
          <w:color w:val="auto"/>
          <w:sz w:val="21"/>
          <w:szCs w:val="21"/>
          <w:highlight w:val="none"/>
        </w:rPr>
      </w:pPr>
    </w:p>
    <w:p w14:paraId="0BE3CC3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ascii="Times New Roman" w:hAnsi="Times New Roman" w:eastAsia="仿宋_GB2312"/>
          <w:color w:val="auto"/>
          <w:sz w:val="21"/>
          <w:szCs w:val="21"/>
          <w:highlight w:val="none"/>
        </w:rPr>
      </w:pPr>
      <w:r>
        <w:rPr>
          <w:rFonts w:hint="eastAsia" w:ascii="Times New Roman" w:hAnsi="Times New Roman" w:eastAsia="仿宋_GB2312"/>
          <w:color w:val="auto"/>
          <w:sz w:val="21"/>
          <w:szCs w:val="21"/>
          <w:highlight w:val="none"/>
        </w:rPr>
        <w:t xml:space="preserve">5. </w:t>
      </w:r>
      <w:r>
        <w:rPr>
          <w:rFonts w:ascii="Times New Roman" w:hAnsi="Times New Roman" w:eastAsia="仿宋_GB2312"/>
          <w:color w:val="auto"/>
          <w:sz w:val="21"/>
          <w:szCs w:val="21"/>
          <w:highlight w:val="none"/>
        </w:rPr>
        <w:t>我方解除保证责任后，你方应自我方保证责任解除之日起</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个工作日内，将本保函原件返还我方。</w:t>
      </w:r>
    </w:p>
    <w:p w14:paraId="18EE3C4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ascii="Times New Roman" w:hAnsi="Times New Roman" w:eastAsia="黑体"/>
          <w:color w:val="auto"/>
          <w:sz w:val="21"/>
          <w:szCs w:val="21"/>
          <w:highlight w:val="none"/>
        </w:rPr>
      </w:pPr>
      <w:bookmarkStart w:id="1950" w:name="_Toc28187"/>
      <w:r>
        <w:rPr>
          <w:rFonts w:ascii="Times New Roman" w:hAnsi="Times New Roman" w:eastAsia="黑体"/>
          <w:color w:val="auto"/>
          <w:sz w:val="21"/>
          <w:szCs w:val="21"/>
          <w:highlight w:val="none"/>
        </w:rPr>
        <w:t>六、免责条款</w:t>
      </w:r>
      <w:bookmarkEnd w:id="1950"/>
    </w:p>
    <w:p w14:paraId="40B72AE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ascii="Times New Roman" w:hAnsi="Times New Roman" w:eastAsia="仿宋_GB2312"/>
          <w:color w:val="auto"/>
          <w:sz w:val="21"/>
          <w:szCs w:val="21"/>
          <w:highlight w:val="none"/>
        </w:rPr>
      </w:pPr>
      <w:r>
        <w:rPr>
          <w:rFonts w:hint="eastAsia" w:ascii="Times New Roman" w:hAnsi="Times New Roman" w:eastAsia="仿宋_GB2312"/>
          <w:color w:val="auto"/>
          <w:sz w:val="21"/>
          <w:szCs w:val="21"/>
          <w:highlight w:val="none"/>
        </w:rPr>
        <w:t xml:space="preserve">1. </w:t>
      </w:r>
      <w:r>
        <w:rPr>
          <w:rFonts w:ascii="Times New Roman" w:hAnsi="Times New Roman" w:eastAsia="仿宋_GB2312"/>
          <w:color w:val="auto"/>
          <w:sz w:val="21"/>
          <w:szCs w:val="21"/>
          <w:highlight w:val="none"/>
        </w:rPr>
        <w:t>因你方违约致使发包人不能履行义务的，我方不承担保证责任。</w:t>
      </w:r>
    </w:p>
    <w:p w14:paraId="2D550B7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ascii="Times New Roman" w:hAnsi="Times New Roman" w:eastAsia="仿宋_GB2312"/>
          <w:color w:val="auto"/>
          <w:sz w:val="21"/>
          <w:szCs w:val="21"/>
          <w:highlight w:val="none"/>
        </w:rPr>
      </w:pPr>
      <w:r>
        <w:rPr>
          <w:rFonts w:hint="eastAsia" w:ascii="Times New Roman" w:hAnsi="Times New Roman" w:eastAsia="仿宋_GB2312"/>
          <w:color w:val="auto"/>
          <w:sz w:val="21"/>
          <w:szCs w:val="21"/>
          <w:highlight w:val="none"/>
        </w:rPr>
        <w:t xml:space="preserve">2. </w:t>
      </w:r>
      <w:r>
        <w:rPr>
          <w:rFonts w:ascii="Times New Roman" w:hAnsi="Times New Roman" w:eastAsia="仿宋_GB2312"/>
          <w:color w:val="auto"/>
          <w:sz w:val="21"/>
          <w:szCs w:val="21"/>
          <w:highlight w:val="none"/>
        </w:rPr>
        <w:t>依照法律法规的规定或你方与发包人的另行约定，免除发包人部分或全部义务的，我方亦免除其相应的保证责任。</w:t>
      </w:r>
    </w:p>
    <w:p w14:paraId="3138452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ascii="Times New Roman" w:hAnsi="Times New Roman" w:eastAsia="仿宋_GB2312"/>
          <w:color w:val="auto"/>
          <w:sz w:val="21"/>
          <w:szCs w:val="21"/>
          <w:highlight w:val="none"/>
        </w:rPr>
      </w:pPr>
      <w:r>
        <w:rPr>
          <w:rFonts w:hint="eastAsia" w:ascii="Times New Roman" w:hAnsi="Times New Roman" w:eastAsia="仿宋_GB2312"/>
          <w:color w:val="auto"/>
          <w:sz w:val="21"/>
          <w:szCs w:val="21"/>
          <w:highlight w:val="none"/>
        </w:rPr>
        <w:t xml:space="preserve">3. </w:t>
      </w:r>
      <w:r>
        <w:rPr>
          <w:rFonts w:ascii="Times New Roman" w:hAnsi="Times New Roman" w:eastAsia="仿宋_GB2312"/>
          <w:color w:val="auto"/>
          <w:sz w:val="21"/>
          <w:szCs w:val="21"/>
          <w:highlight w:val="none"/>
        </w:rPr>
        <w:t>你方与发包人协议变更主合同的，如加重发包人责任致使我方保证责任加重的，需征得我方书面同意，否则我方不再承担因此而加重部分的保证责任，但主合同第10条</w:t>
      </w:r>
      <w:r>
        <w:rPr>
          <w:rFonts w:hint="eastAsia" w:ascii="Times New Roman" w:hAnsi="Times New Roman" w:eastAsia="仿宋_GB2312"/>
          <w:color w:val="auto"/>
          <w:sz w:val="21"/>
          <w:szCs w:val="21"/>
          <w:highlight w:val="none"/>
        </w:rPr>
        <w:t>〔</w:t>
      </w:r>
      <w:r>
        <w:rPr>
          <w:rFonts w:ascii="Times New Roman" w:hAnsi="Times New Roman" w:eastAsia="仿宋_GB2312"/>
          <w:color w:val="auto"/>
          <w:sz w:val="21"/>
          <w:szCs w:val="21"/>
          <w:highlight w:val="none"/>
        </w:rPr>
        <w:t>变更</w:t>
      </w:r>
      <w:r>
        <w:rPr>
          <w:rFonts w:hint="eastAsia" w:ascii="Times New Roman" w:hAnsi="Times New Roman" w:eastAsia="仿宋_GB2312"/>
          <w:color w:val="auto"/>
          <w:sz w:val="21"/>
          <w:szCs w:val="21"/>
          <w:highlight w:val="none"/>
        </w:rPr>
        <w:t>〕</w:t>
      </w:r>
      <w:r>
        <w:rPr>
          <w:rFonts w:ascii="Times New Roman" w:hAnsi="Times New Roman" w:eastAsia="仿宋_GB2312"/>
          <w:color w:val="auto"/>
          <w:sz w:val="21"/>
          <w:szCs w:val="21"/>
          <w:highlight w:val="none"/>
        </w:rPr>
        <w:t>约定的变更不受本款限制。</w:t>
      </w:r>
    </w:p>
    <w:p w14:paraId="7D23BC5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ascii="Times New Roman" w:hAnsi="Times New Roman" w:eastAsia="仿宋_GB2312"/>
          <w:color w:val="auto"/>
          <w:sz w:val="21"/>
          <w:szCs w:val="21"/>
          <w:highlight w:val="none"/>
        </w:rPr>
      </w:pPr>
      <w:r>
        <w:rPr>
          <w:rFonts w:hint="eastAsia" w:ascii="Times New Roman" w:hAnsi="Times New Roman" w:eastAsia="仿宋_GB2312"/>
          <w:color w:val="auto"/>
          <w:sz w:val="21"/>
          <w:szCs w:val="21"/>
          <w:highlight w:val="none"/>
        </w:rPr>
        <w:t xml:space="preserve">4. </w:t>
      </w:r>
      <w:r>
        <w:rPr>
          <w:rFonts w:ascii="Times New Roman" w:hAnsi="Times New Roman" w:eastAsia="仿宋_GB2312"/>
          <w:color w:val="auto"/>
          <w:sz w:val="21"/>
          <w:szCs w:val="21"/>
          <w:highlight w:val="none"/>
        </w:rPr>
        <w:t>因不可抗力造成发包人不能履行义务的，我方不承担保证责任。</w:t>
      </w:r>
    </w:p>
    <w:p w14:paraId="78A86F6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ascii="Times New Roman" w:hAnsi="Times New Roman" w:eastAsia="黑体"/>
          <w:color w:val="auto"/>
          <w:sz w:val="21"/>
          <w:szCs w:val="21"/>
          <w:highlight w:val="none"/>
        </w:rPr>
      </w:pPr>
      <w:bookmarkStart w:id="1951" w:name="_Toc1159"/>
      <w:r>
        <w:rPr>
          <w:rFonts w:ascii="Times New Roman" w:hAnsi="Times New Roman" w:eastAsia="黑体"/>
          <w:color w:val="auto"/>
          <w:sz w:val="21"/>
          <w:szCs w:val="21"/>
          <w:highlight w:val="none"/>
        </w:rPr>
        <w:t>七、争议解决</w:t>
      </w:r>
      <w:bookmarkEnd w:id="1951"/>
    </w:p>
    <w:p w14:paraId="2FB82F9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9"/>
        <w:rPr>
          <w:rFonts w:ascii="Times New Roman" w:hAnsi="Times New Roman" w:eastAsia="黑体"/>
          <w:color w:val="auto"/>
          <w:sz w:val="21"/>
          <w:szCs w:val="21"/>
          <w:highlight w:val="none"/>
        </w:rPr>
      </w:pPr>
      <w:r>
        <w:rPr>
          <w:rFonts w:ascii="Times New Roman" w:hAnsi="Times New Roman" w:eastAsia="仿宋_GB2312"/>
          <w:color w:val="auto"/>
          <w:sz w:val="21"/>
          <w:szCs w:val="21"/>
          <w:highlight w:val="none"/>
        </w:rPr>
        <w:t>因本保函</w:t>
      </w:r>
      <w:r>
        <w:rPr>
          <w:rFonts w:hint="eastAsia" w:ascii="Times New Roman" w:hAnsi="Times New Roman" w:eastAsia="仿宋_GB2312"/>
          <w:color w:val="auto"/>
          <w:sz w:val="21"/>
          <w:szCs w:val="21"/>
          <w:highlight w:val="none"/>
        </w:rPr>
        <w:t>或本保函相关事项</w:t>
      </w:r>
      <w:r>
        <w:rPr>
          <w:rFonts w:ascii="Times New Roman" w:hAnsi="Times New Roman" w:eastAsia="仿宋_GB2312"/>
          <w:color w:val="auto"/>
          <w:sz w:val="21"/>
          <w:szCs w:val="21"/>
          <w:highlight w:val="none"/>
        </w:rPr>
        <w:t>发生的纠纷，可由双方协商解决，协商不成的，按下列第</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种方式</w:t>
      </w:r>
      <w:r>
        <w:rPr>
          <w:rFonts w:hint="eastAsia" w:ascii="Times New Roman" w:hAnsi="Times New Roman" w:eastAsia="仿宋_GB2312"/>
          <w:color w:val="auto"/>
          <w:sz w:val="21"/>
          <w:szCs w:val="21"/>
          <w:highlight w:val="none"/>
        </w:rPr>
        <w:t>解</w:t>
      </w:r>
      <w:r>
        <w:rPr>
          <w:rFonts w:ascii="Times New Roman" w:hAnsi="Times New Roman" w:eastAsia="仿宋_GB2312"/>
          <w:color w:val="auto"/>
          <w:sz w:val="21"/>
          <w:szCs w:val="21"/>
          <w:highlight w:val="none"/>
        </w:rPr>
        <w:t>决：</w:t>
      </w:r>
    </w:p>
    <w:p w14:paraId="58C17EC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（1）向</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仲裁委员会申请仲裁；</w:t>
      </w:r>
    </w:p>
    <w:p w14:paraId="1F84BEF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（2）向</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人民法院起诉。</w:t>
      </w:r>
    </w:p>
    <w:p w14:paraId="1B8175D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ascii="Times New Roman" w:hAnsi="Times New Roman" w:eastAsia="黑体"/>
          <w:color w:val="auto"/>
          <w:sz w:val="21"/>
          <w:szCs w:val="21"/>
          <w:highlight w:val="none"/>
        </w:rPr>
      </w:pPr>
      <w:bookmarkStart w:id="1952" w:name="_Toc19910"/>
      <w:r>
        <w:rPr>
          <w:rFonts w:ascii="Times New Roman" w:hAnsi="Times New Roman" w:eastAsia="黑体"/>
          <w:color w:val="auto"/>
          <w:sz w:val="21"/>
          <w:szCs w:val="21"/>
          <w:highlight w:val="none"/>
        </w:rPr>
        <w:t>八、保函的生效</w:t>
      </w:r>
      <w:bookmarkEnd w:id="1952"/>
    </w:p>
    <w:p w14:paraId="306325F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本保函自我方法定代表人（或其授权代理人）签字并加盖公章之日起生效。</w:t>
      </w:r>
    </w:p>
    <w:p w14:paraId="37D06B8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仿宋_GB2312"/>
          <w:color w:val="auto"/>
          <w:sz w:val="21"/>
          <w:szCs w:val="21"/>
          <w:highlight w:val="none"/>
        </w:rPr>
      </w:pPr>
    </w:p>
    <w:p w14:paraId="78B5EEAB">
      <w:pPr>
        <w:keepNext w:val="0"/>
        <w:keepLines w:val="0"/>
        <w:pageBreakBefore w:val="0"/>
        <w:widowControl w:val="0"/>
        <w:kinsoku/>
        <w:wordWrap/>
        <w:overflowPunct/>
        <w:topLinePunct w:val="0"/>
        <w:autoSpaceDE/>
        <w:autoSpaceDN/>
        <w:bidi w:val="0"/>
        <w:adjustRightInd w:val="0"/>
        <w:snapToGrid w:val="0"/>
        <w:spacing w:line="360" w:lineRule="auto"/>
        <w:ind w:right="600"/>
        <w:jc w:val="left"/>
        <w:textAlignment w:val="auto"/>
        <w:rPr>
          <w:rFonts w:hint="eastAsia" w:ascii="Times New Roman" w:hAnsi="Times New Roman" w:eastAsia="仿宋_GB2312"/>
          <w:color w:val="auto"/>
          <w:sz w:val="21"/>
          <w:szCs w:val="21"/>
          <w:highlight w:val="none"/>
        </w:rPr>
      </w:pPr>
    </w:p>
    <w:p w14:paraId="2CF77845">
      <w:pPr>
        <w:keepNext w:val="0"/>
        <w:keepLines w:val="0"/>
        <w:pageBreakBefore w:val="0"/>
        <w:widowControl w:val="0"/>
        <w:kinsoku/>
        <w:wordWrap/>
        <w:overflowPunct/>
        <w:topLinePunct w:val="0"/>
        <w:autoSpaceDE/>
        <w:autoSpaceDN/>
        <w:bidi w:val="0"/>
        <w:adjustRightInd w:val="0"/>
        <w:snapToGrid w:val="0"/>
        <w:spacing w:line="360" w:lineRule="auto"/>
        <w:ind w:right="6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担保人：</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（盖章）</w:t>
      </w:r>
    </w:p>
    <w:p w14:paraId="52E950C4">
      <w:pPr>
        <w:keepNext w:val="0"/>
        <w:keepLines w:val="0"/>
        <w:pageBreakBefore w:val="0"/>
        <w:widowControl w:val="0"/>
        <w:kinsoku/>
        <w:wordWrap/>
        <w:overflowPunct/>
        <w:topLinePunct w:val="0"/>
        <w:autoSpaceDE/>
        <w:autoSpaceDN/>
        <w:bidi w:val="0"/>
        <w:adjustRightInd w:val="0"/>
        <w:snapToGrid w:val="0"/>
        <w:spacing w:line="360" w:lineRule="auto"/>
        <w:ind w:right="1200"/>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法定代表人或委托代理人：</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（签字）</w:t>
      </w:r>
    </w:p>
    <w:p w14:paraId="00FAF517">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地    址：</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p>
    <w:p w14:paraId="13B7E627">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邮政编码：</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p>
    <w:p w14:paraId="3EEEA61C">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传    真：</w:t>
      </w:r>
      <w:r>
        <w:rPr>
          <w:rFonts w:ascii="Times New Roman" w:hAnsi="Times New Roman" w:eastAsia="仿宋_GB2312"/>
          <w:color w:val="auto"/>
          <w:sz w:val="21"/>
          <w:szCs w:val="21"/>
          <w:highlight w:val="none"/>
          <w:u w:val="single"/>
        </w:rPr>
        <w:t xml:space="preserve">      </w:t>
      </w:r>
      <w:r>
        <w:rPr>
          <w:rFonts w:hint="eastAsia"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u w:val="single"/>
        </w:rPr>
        <w:t xml:space="preserve">                          </w:t>
      </w:r>
    </w:p>
    <w:p w14:paraId="1E48C4C8">
      <w:pPr>
        <w:keepNext w:val="0"/>
        <w:keepLines w:val="0"/>
        <w:pageBreakBefore w:val="0"/>
        <w:widowControl w:val="0"/>
        <w:kinsoku/>
        <w:wordWrap/>
        <w:overflowPunct/>
        <w:topLinePunct w:val="0"/>
        <w:autoSpaceDE/>
        <w:autoSpaceDN/>
        <w:bidi w:val="0"/>
        <w:adjustRightInd w:val="0"/>
        <w:snapToGrid w:val="0"/>
        <w:spacing w:line="360" w:lineRule="auto"/>
        <w:ind w:right="150" w:firstLine="420" w:firstLineChars="200"/>
        <w:jc w:val="left"/>
        <w:textAlignment w:val="auto"/>
        <w:rPr>
          <w:rFonts w:ascii="Times New Roman" w:hAnsi="Times New Roman" w:eastAsia="仿宋_GB2312"/>
          <w:color w:val="auto"/>
          <w:sz w:val="21"/>
          <w:szCs w:val="21"/>
          <w:highlight w:val="none"/>
          <w:u w:val="single"/>
        </w:rPr>
      </w:pPr>
    </w:p>
    <w:p w14:paraId="1C722218">
      <w:pPr>
        <w:keepNext w:val="0"/>
        <w:keepLines w:val="0"/>
        <w:pageBreakBefore w:val="0"/>
        <w:widowControl w:val="0"/>
        <w:kinsoku/>
        <w:wordWrap/>
        <w:overflowPunct/>
        <w:topLinePunct w:val="0"/>
        <w:autoSpaceDE/>
        <w:autoSpaceDN/>
        <w:bidi w:val="0"/>
        <w:adjustRightInd w:val="0"/>
        <w:snapToGrid w:val="0"/>
        <w:spacing w:line="360" w:lineRule="auto"/>
        <w:ind w:right="150" w:firstLine="420" w:firstLineChars="200"/>
        <w:jc w:val="left"/>
        <w:textAlignment w:val="auto"/>
        <w:rPr>
          <w:rFonts w:ascii="Times New Roman" w:hAnsi="Times New Roman" w:eastAsia="仿宋_GB2312"/>
          <w:color w:val="auto"/>
          <w:sz w:val="21"/>
          <w:szCs w:val="21"/>
          <w:highlight w:val="none"/>
        </w:rPr>
      </w:pPr>
      <w:r>
        <w:rPr>
          <w:rFonts w:ascii="Times New Roman" w:hAnsi="Times New Roman" w:eastAsia="仿宋_GB2312"/>
          <w:color w:val="auto"/>
          <w:sz w:val="21"/>
          <w:szCs w:val="21"/>
          <w:highlight w:val="none"/>
        </w:rPr>
        <w:t xml:space="preserve">             </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年</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月</w:t>
      </w:r>
      <w:r>
        <w:rPr>
          <w:rFonts w:ascii="Times New Roman" w:hAnsi="Times New Roman" w:eastAsia="仿宋_GB2312"/>
          <w:color w:val="auto"/>
          <w:sz w:val="21"/>
          <w:szCs w:val="21"/>
          <w:highlight w:val="none"/>
          <w:u w:val="single"/>
        </w:rPr>
        <w:t xml:space="preserve">      </w:t>
      </w:r>
      <w:r>
        <w:rPr>
          <w:rFonts w:ascii="Times New Roman" w:hAnsi="Times New Roman" w:eastAsia="仿宋_GB2312"/>
          <w:color w:val="auto"/>
          <w:sz w:val="21"/>
          <w:szCs w:val="21"/>
          <w:highlight w:val="none"/>
        </w:rPr>
        <w:t>日</w:t>
      </w:r>
    </w:p>
    <w:p w14:paraId="3D7858F7">
      <w:pPr>
        <w:keepNext w:val="0"/>
        <w:keepLines w:val="0"/>
        <w:pageBreakBefore w:val="0"/>
        <w:widowControl w:val="0"/>
        <w:kinsoku/>
        <w:wordWrap/>
        <w:overflowPunct/>
        <w:topLinePunct w:val="0"/>
        <w:autoSpaceDE/>
        <w:autoSpaceDN/>
        <w:bidi w:val="0"/>
        <w:adjustRightInd w:val="0"/>
        <w:snapToGrid w:val="0"/>
        <w:spacing w:line="360" w:lineRule="auto"/>
        <w:ind w:right="150" w:firstLine="420" w:firstLineChars="200"/>
        <w:jc w:val="left"/>
        <w:textAlignment w:val="auto"/>
        <w:rPr>
          <w:rFonts w:ascii="Times New Roman" w:hAnsi="Times New Roman" w:eastAsia="仿宋_GB2312"/>
          <w:color w:val="auto"/>
          <w:sz w:val="21"/>
          <w:szCs w:val="21"/>
          <w:highlight w:val="none"/>
        </w:rPr>
      </w:pPr>
    </w:p>
    <w:p w14:paraId="7C9029A3">
      <w:pPr>
        <w:keepNext w:val="0"/>
        <w:keepLines w:val="0"/>
        <w:pageBreakBefore w:val="0"/>
        <w:widowControl w:val="0"/>
        <w:kinsoku/>
        <w:wordWrap/>
        <w:overflowPunct/>
        <w:topLinePunct w:val="0"/>
        <w:autoSpaceDE/>
        <w:autoSpaceDN/>
        <w:bidi w:val="0"/>
        <w:adjustRightInd w:val="0"/>
        <w:snapToGrid w:val="0"/>
        <w:spacing w:line="360" w:lineRule="auto"/>
        <w:ind w:right="150" w:firstLine="422" w:firstLineChars="200"/>
        <w:jc w:val="left"/>
        <w:textAlignment w:val="auto"/>
        <w:rPr>
          <w:rFonts w:hint="eastAsia" w:ascii="Times New Roman" w:hAnsi="Times New Roman" w:eastAsia="仿宋_GB2312"/>
          <w:b/>
          <w:bCs/>
          <w:color w:val="auto"/>
          <w:sz w:val="21"/>
          <w:szCs w:val="21"/>
          <w:highlight w:val="none"/>
          <w:lang w:eastAsia="zh-CN"/>
        </w:rPr>
      </w:pPr>
    </w:p>
    <w:p w14:paraId="6FF09746">
      <w:pPr>
        <w:spacing w:line="440" w:lineRule="exact"/>
        <w:outlineLvl w:val="3"/>
        <w:rPr>
          <w:rFonts w:ascii="Times New Roman" w:hAnsi="Times New Roman" w:eastAsia="黑体"/>
          <w:color w:val="auto"/>
          <w:sz w:val="30"/>
          <w:szCs w:val="30"/>
          <w:highlight w:val="none"/>
        </w:rPr>
      </w:pPr>
      <w:r>
        <w:rPr>
          <w:rFonts w:ascii="Times New Roman" w:hAnsi="Times New Roman" w:eastAsia="仿宋_GB2312"/>
          <w:color w:val="auto"/>
          <w:sz w:val="30"/>
          <w:szCs w:val="30"/>
          <w:highlight w:val="none"/>
        </w:rPr>
        <w:br w:type="page"/>
      </w:r>
      <w:bookmarkStart w:id="1953" w:name="_Toc4004"/>
      <w:bookmarkStart w:id="1954" w:name="_Toc4914"/>
      <w:r>
        <w:rPr>
          <w:rFonts w:ascii="Times New Roman" w:hAnsi="Times New Roman" w:eastAsia="仿宋_GB2312"/>
          <w:color w:val="auto"/>
          <w:sz w:val="30"/>
          <w:szCs w:val="30"/>
          <w:highlight w:val="none"/>
        </w:rPr>
        <w:t>附件11：</w:t>
      </w:r>
      <w:bookmarkEnd w:id="1953"/>
      <w:bookmarkEnd w:id="1954"/>
    </w:p>
    <w:p w14:paraId="01E4ED8F">
      <w:pPr>
        <w:spacing w:before="156" w:beforeLines="50" w:after="156" w:afterLines="50" w:line="440" w:lineRule="exact"/>
        <w:jc w:val="center"/>
        <w:outlineLvl w:val="4"/>
        <w:rPr>
          <w:rFonts w:ascii="Times New Roman" w:hAnsi="Times New Roman" w:eastAsia="黑体"/>
          <w:color w:val="auto"/>
          <w:sz w:val="30"/>
          <w:szCs w:val="30"/>
          <w:highlight w:val="none"/>
        </w:rPr>
      </w:pPr>
      <w:bookmarkStart w:id="1955" w:name="_Toc13063"/>
      <w:bookmarkStart w:id="1956" w:name="_Toc1460"/>
      <w:bookmarkStart w:id="1957" w:name="_Toc19296"/>
      <w:bookmarkStart w:id="1958" w:name="_Toc28785"/>
      <w:r>
        <w:rPr>
          <w:rFonts w:ascii="Times New Roman" w:hAnsi="Times New Roman" w:eastAsia="黑体"/>
          <w:color w:val="auto"/>
          <w:sz w:val="30"/>
          <w:szCs w:val="30"/>
          <w:highlight w:val="none"/>
        </w:rPr>
        <w:t>11-1：材料暂估价表</w:t>
      </w:r>
      <w:bookmarkEnd w:id="1955"/>
      <w:bookmarkEnd w:id="1956"/>
    </w:p>
    <w:tbl>
      <w:tblPr>
        <w:tblStyle w:val="18"/>
        <w:tblW w:w="0" w:type="auto"/>
        <w:tblInd w:w="-11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692305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bottom w:val="double" w:color="auto" w:sz="6" w:space="0"/>
            </w:tcBorders>
            <w:noWrap w:val="0"/>
            <w:vAlign w:val="top"/>
          </w:tcPr>
          <w:p w14:paraId="7C5A356C">
            <w:pPr>
              <w:pStyle w:val="8"/>
              <w:keepNext/>
              <w:spacing w:after="0" w:line="440" w:lineRule="exact"/>
              <w:ind w:left="63" w:right="63"/>
              <w:jc w:val="center"/>
              <w:rPr>
                <w:rFonts w:eastAsia="仿宋_GB2312"/>
                <w:color w:val="auto"/>
                <w:sz w:val="21"/>
                <w:szCs w:val="21"/>
                <w:highlight w:val="none"/>
              </w:rPr>
            </w:pPr>
            <w:r>
              <w:rPr>
                <w:rFonts w:eastAsia="仿宋_GB2312"/>
                <w:color w:val="auto"/>
                <w:sz w:val="21"/>
                <w:szCs w:val="21"/>
                <w:highlight w:val="none"/>
              </w:rPr>
              <w:t>序号</w:t>
            </w:r>
          </w:p>
        </w:tc>
        <w:tc>
          <w:tcPr>
            <w:tcW w:w="1984" w:type="dxa"/>
            <w:tcBorders>
              <w:top w:val="single" w:color="auto" w:sz="12" w:space="0"/>
              <w:bottom w:val="double" w:color="auto" w:sz="6" w:space="0"/>
            </w:tcBorders>
            <w:noWrap w:val="0"/>
            <w:vAlign w:val="top"/>
          </w:tcPr>
          <w:p w14:paraId="60CE0FD5">
            <w:pPr>
              <w:pStyle w:val="8"/>
              <w:keepNext/>
              <w:spacing w:after="0" w:line="440" w:lineRule="exact"/>
              <w:ind w:left="63" w:right="63"/>
              <w:jc w:val="center"/>
              <w:rPr>
                <w:rFonts w:eastAsia="仿宋_GB2312"/>
                <w:color w:val="auto"/>
                <w:sz w:val="21"/>
                <w:szCs w:val="21"/>
                <w:highlight w:val="none"/>
              </w:rPr>
            </w:pPr>
            <w:r>
              <w:rPr>
                <w:rFonts w:eastAsia="仿宋_GB2312"/>
                <w:color w:val="auto"/>
                <w:sz w:val="21"/>
                <w:szCs w:val="21"/>
                <w:highlight w:val="none"/>
              </w:rPr>
              <w:t>名称</w:t>
            </w:r>
          </w:p>
        </w:tc>
        <w:tc>
          <w:tcPr>
            <w:tcW w:w="851" w:type="dxa"/>
            <w:tcBorders>
              <w:top w:val="single" w:color="auto" w:sz="12" w:space="0"/>
              <w:bottom w:val="double" w:color="auto" w:sz="6" w:space="0"/>
            </w:tcBorders>
            <w:noWrap w:val="0"/>
            <w:vAlign w:val="top"/>
          </w:tcPr>
          <w:p w14:paraId="375F9D04">
            <w:pPr>
              <w:pStyle w:val="8"/>
              <w:keepNext/>
              <w:spacing w:after="0" w:line="440" w:lineRule="exact"/>
              <w:ind w:left="63" w:right="63"/>
              <w:jc w:val="center"/>
              <w:rPr>
                <w:rFonts w:eastAsia="仿宋_GB2312"/>
                <w:color w:val="auto"/>
                <w:sz w:val="21"/>
                <w:szCs w:val="21"/>
                <w:highlight w:val="none"/>
              </w:rPr>
            </w:pPr>
            <w:r>
              <w:rPr>
                <w:rFonts w:eastAsia="仿宋_GB2312"/>
                <w:color w:val="auto"/>
                <w:sz w:val="21"/>
                <w:szCs w:val="21"/>
                <w:highlight w:val="none"/>
              </w:rPr>
              <w:t>单位</w:t>
            </w:r>
          </w:p>
        </w:tc>
        <w:tc>
          <w:tcPr>
            <w:tcW w:w="774" w:type="dxa"/>
            <w:tcBorders>
              <w:top w:val="single" w:color="auto" w:sz="12" w:space="0"/>
              <w:bottom w:val="double" w:color="auto" w:sz="6" w:space="0"/>
            </w:tcBorders>
            <w:noWrap w:val="0"/>
            <w:vAlign w:val="top"/>
          </w:tcPr>
          <w:p w14:paraId="202004C1">
            <w:pPr>
              <w:pStyle w:val="8"/>
              <w:keepNext/>
              <w:spacing w:after="0" w:line="440" w:lineRule="exact"/>
              <w:ind w:left="63" w:right="63"/>
              <w:jc w:val="center"/>
              <w:rPr>
                <w:rFonts w:eastAsia="仿宋_GB2312"/>
                <w:color w:val="auto"/>
                <w:sz w:val="21"/>
                <w:szCs w:val="21"/>
                <w:highlight w:val="none"/>
              </w:rPr>
            </w:pPr>
            <w:r>
              <w:rPr>
                <w:rFonts w:eastAsia="仿宋_GB2312"/>
                <w:color w:val="auto"/>
                <w:sz w:val="21"/>
                <w:szCs w:val="21"/>
                <w:highlight w:val="none"/>
              </w:rPr>
              <w:t>数量</w:t>
            </w:r>
          </w:p>
        </w:tc>
        <w:tc>
          <w:tcPr>
            <w:tcW w:w="1352" w:type="dxa"/>
            <w:tcBorders>
              <w:top w:val="single" w:color="auto" w:sz="12" w:space="0"/>
              <w:bottom w:val="double" w:color="auto" w:sz="6" w:space="0"/>
            </w:tcBorders>
            <w:noWrap w:val="0"/>
            <w:vAlign w:val="top"/>
          </w:tcPr>
          <w:p w14:paraId="55A02C76">
            <w:pPr>
              <w:pStyle w:val="8"/>
              <w:keepNext/>
              <w:spacing w:after="0" w:line="440" w:lineRule="exact"/>
              <w:ind w:left="63" w:right="63"/>
              <w:jc w:val="center"/>
              <w:rPr>
                <w:rFonts w:eastAsia="仿宋_GB2312"/>
                <w:color w:val="auto"/>
                <w:sz w:val="21"/>
                <w:szCs w:val="21"/>
                <w:highlight w:val="none"/>
              </w:rPr>
            </w:pPr>
            <w:r>
              <w:rPr>
                <w:rFonts w:eastAsia="仿宋_GB2312"/>
                <w:color w:val="auto"/>
                <w:sz w:val="21"/>
                <w:szCs w:val="21"/>
                <w:highlight w:val="none"/>
              </w:rPr>
              <w:t>单价</w:t>
            </w:r>
            <w:r>
              <w:rPr>
                <w:rFonts w:hint="eastAsia" w:eastAsia="仿宋_GB2312"/>
                <w:color w:val="auto"/>
                <w:sz w:val="21"/>
                <w:szCs w:val="21"/>
                <w:highlight w:val="none"/>
              </w:rPr>
              <w:t>（元）</w:t>
            </w:r>
          </w:p>
        </w:tc>
        <w:tc>
          <w:tcPr>
            <w:tcW w:w="1418" w:type="dxa"/>
            <w:tcBorders>
              <w:top w:val="single" w:color="auto" w:sz="12" w:space="0"/>
              <w:bottom w:val="double" w:color="auto" w:sz="6" w:space="0"/>
            </w:tcBorders>
            <w:noWrap w:val="0"/>
            <w:vAlign w:val="top"/>
          </w:tcPr>
          <w:p w14:paraId="5772F77C">
            <w:pPr>
              <w:pStyle w:val="8"/>
              <w:keepNext/>
              <w:spacing w:after="0" w:line="440" w:lineRule="exact"/>
              <w:ind w:left="63" w:right="63"/>
              <w:jc w:val="center"/>
              <w:rPr>
                <w:rFonts w:eastAsia="仿宋_GB2312"/>
                <w:color w:val="auto"/>
                <w:sz w:val="21"/>
                <w:szCs w:val="21"/>
                <w:highlight w:val="none"/>
              </w:rPr>
            </w:pPr>
            <w:r>
              <w:rPr>
                <w:rFonts w:eastAsia="仿宋_GB2312"/>
                <w:color w:val="auto"/>
                <w:sz w:val="21"/>
                <w:szCs w:val="21"/>
                <w:highlight w:val="none"/>
              </w:rPr>
              <w:t>合价</w:t>
            </w:r>
            <w:r>
              <w:rPr>
                <w:rFonts w:hint="eastAsia" w:eastAsia="仿宋_GB2312"/>
                <w:color w:val="auto"/>
                <w:sz w:val="21"/>
                <w:szCs w:val="21"/>
                <w:highlight w:val="none"/>
              </w:rPr>
              <w:t>（元）</w:t>
            </w:r>
          </w:p>
        </w:tc>
        <w:tc>
          <w:tcPr>
            <w:tcW w:w="1701" w:type="dxa"/>
            <w:tcBorders>
              <w:top w:val="single" w:color="auto" w:sz="12" w:space="0"/>
              <w:bottom w:val="double" w:color="auto" w:sz="6" w:space="0"/>
            </w:tcBorders>
            <w:noWrap w:val="0"/>
            <w:vAlign w:val="top"/>
          </w:tcPr>
          <w:p w14:paraId="1B1011E5">
            <w:pPr>
              <w:pStyle w:val="8"/>
              <w:keepNext/>
              <w:spacing w:after="0" w:line="440" w:lineRule="exact"/>
              <w:ind w:left="63" w:right="63"/>
              <w:jc w:val="center"/>
              <w:rPr>
                <w:rFonts w:eastAsia="仿宋_GB2312"/>
                <w:color w:val="auto"/>
                <w:sz w:val="21"/>
                <w:szCs w:val="21"/>
                <w:highlight w:val="none"/>
              </w:rPr>
            </w:pPr>
            <w:r>
              <w:rPr>
                <w:rFonts w:eastAsia="仿宋_GB2312"/>
                <w:color w:val="auto"/>
                <w:sz w:val="21"/>
                <w:szCs w:val="21"/>
                <w:highlight w:val="none"/>
              </w:rPr>
              <w:t>备注</w:t>
            </w:r>
          </w:p>
        </w:tc>
      </w:tr>
      <w:tr w14:paraId="1488C3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double" w:color="auto" w:sz="6" w:space="0"/>
              <w:bottom w:val="single" w:color="auto" w:sz="6" w:space="0"/>
            </w:tcBorders>
            <w:noWrap w:val="0"/>
            <w:vAlign w:val="top"/>
          </w:tcPr>
          <w:p w14:paraId="2C0D8547">
            <w:pPr>
              <w:pStyle w:val="8"/>
              <w:keepNext/>
              <w:spacing w:after="0" w:line="440" w:lineRule="exact"/>
              <w:ind w:left="63" w:right="63"/>
              <w:rPr>
                <w:rFonts w:eastAsia="仿宋_GB2312"/>
                <w:color w:val="auto"/>
                <w:sz w:val="28"/>
                <w:szCs w:val="30"/>
                <w:highlight w:val="none"/>
              </w:rPr>
            </w:pPr>
          </w:p>
        </w:tc>
        <w:tc>
          <w:tcPr>
            <w:tcW w:w="1984" w:type="dxa"/>
            <w:tcBorders>
              <w:top w:val="double" w:color="auto" w:sz="6" w:space="0"/>
              <w:bottom w:val="single" w:color="auto" w:sz="6" w:space="0"/>
            </w:tcBorders>
            <w:noWrap w:val="0"/>
            <w:vAlign w:val="top"/>
          </w:tcPr>
          <w:p w14:paraId="3269AF57">
            <w:pPr>
              <w:pStyle w:val="8"/>
              <w:keepNext/>
              <w:spacing w:after="0" w:line="440" w:lineRule="exact"/>
              <w:ind w:left="63" w:right="63"/>
              <w:rPr>
                <w:rFonts w:eastAsia="仿宋_GB2312"/>
                <w:color w:val="auto"/>
                <w:sz w:val="28"/>
                <w:szCs w:val="30"/>
                <w:highlight w:val="none"/>
              </w:rPr>
            </w:pPr>
          </w:p>
        </w:tc>
        <w:tc>
          <w:tcPr>
            <w:tcW w:w="851" w:type="dxa"/>
            <w:tcBorders>
              <w:top w:val="double" w:color="auto" w:sz="6" w:space="0"/>
              <w:bottom w:val="single" w:color="auto" w:sz="6" w:space="0"/>
            </w:tcBorders>
            <w:noWrap w:val="0"/>
            <w:vAlign w:val="top"/>
          </w:tcPr>
          <w:p w14:paraId="32138192">
            <w:pPr>
              <w:pStyle w:val="8"/>
              <w:keepNext/>
              <w:spacing w:after="0" w:line="440" w:lineRule="exact"/>
              <w:ind w:left="63" w:right="63"/>
              <w:rPr>
                <w:rFonts w:eastAsia="仿宋_GB2312"/>
                <w:color w:val="auto"/>
                <w:sz w:val="28"/>
                <w:szCs w:val="30"/>
                <w:highlight w:val="none"/>
              </w:rPr>
            </w:pPr>
          </w:p>
        </w:tc>
        <w:tc>
          <w:tcPr>
            <w:tcW w:w="774" w:type="dxa"/>
            <w:tcBorders>
              <w:top w:val="double" w:color="auto" w:sz="6" w:space="0"/>
              <w:bottom w:val="single" w:color="auto" w:sz="6" w:space="0"/>
            </w:tcBorders>
            <w:noWrap w:val="0"/>
            <w:vAlign w:val="top"/>
          </w:tcPr>
          <w:p w14:paraId="026B7A72">
            <w:pPr>
              <w:pStyle w:val="8"/>
              <w:keepNext/>
              <w:spacing w:after="0" w:line="440" w:lineRule="exact"/>
              <w:ind w:left="63" w:right="63"/>
              <w:rPr>
                <w:rFonts w:eastAsia="仿宋_GB2312"/>
                <w:color w:val="auto"/>
                <w:sz w:val="28"/>
                <w:szCs w:val="30"/>
                <w:highlight w:val="none"/>
              </w:rPr>
            </w:pPr>
          </w:p>
        </w:tc>
        <w:tc>
          <w:tcPr>
            <w:tcW w:w="1352" w:type="dxa"/>
            <w:tcBorders>
              <w:top w:val="double" w:color="auto" w:sz="6" w:space="0"/>
              <w:bottom w:val="single" w:color="auto" w:sz="6" w:space="0"/>
            </w:tcBorders>
            <w:noWrap w:val="0"/>
            <w:vAlign w:val="top"/>
          </w:tcPr>
          <w:p w14:paraId="5F8DCF8B">
            <w:pPr>
              <w:pStyle w:val="8"/>
              <w:keepNext/>
              <w:spacing w:after="0" w:line="440" w:lineRule="exact"/>
              <w:ind w:left="63" w:right="63"/>
              <w:rPr>
                <w:rFonts w:eastAsia="仿宋_GB2312"/>
                <w:color w:val="auto"/>
                <w:sz w:val="28"/>
                <w:szCs w:val="30"/>
                <w:highlight w:val="none"/>
              </w:rPr>
            </w:pPr>
          </w:p>
        </w:tc>
        <w:tc>
          <w:tcPr>
            <w:tcW w:w="1418" w:type="dxa"/>
            <w:tcBorders>
              <w:top w:val="double" w:color="auto" w:sz="6" w:space="0"/>
              <w:bottom w:val="single" w:color="auto" w:sz="6" w:space="0"/>
            </w:tcBorders>
            <w:noWrap w:val="0"/>
            <w:vAlign w:val="top"/>
          </w:tcPr>
          <w:p w14:paraId="021531D0">
            <w:pPr>
              <w:pStyle w:val="8"/>
              <w:keepNext/>
              <w:spacing w:after="0" w:line="440" w:lineRule="exact"/>
              <w:ind w:left="63" w:right="63"/>
              <w:rPr>
                <w:rFonts w:eastAsia="仿宋_GB2312"/>
                <w:color w:val="auto"/>
                <w:sz w:val="28"/>
                <w:szCs w:val="30"/>
                <w:highlight w:val="none"/>
              </w:rPr>
            </w:pPr>
          </w:p>
        </w:tc>
        <w:tc>
          <w:tcPr>
            <w:tcW w:w="1701" w:type="dxa"/>
            <w:tcBorders>
              <w:top w:val="double" w:color="auto" w:sz="6" w:space="0"/>
              <w:bottom w:val="single" w:color="auto" w:sz="6" w:space="0"/>
            </w:tcBorders>
            <w:noWrap w:val="0"/>
            <w:vAlign w:val="top"/>
          </w:tcPr>
          <w:p w14:paraId="2471005E">
            <w:pPr>
              <w:pStyle w:val="8"/>
              <w:keepNext/>
              <w:spacing w:after="0" w:line="440" w:lineRule="exact"/>
              <w:ind w:left="63" w:right="63"/>
              <w:rPr>
                <w:rFonts w:eastAsia="仿宋_GB2312"/>
                <w:color w:val="auto"/>
                <w:sz w:val="28"/>
                <w:szCs w:val="30"/>
                <w:highlight w:val="none"/>
              </w:rPr>
            </w:pPr>
          </w:p>
        </w:tc>
      </w:tr>
      <w:tr w14:paraId="5B6340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nil"/>
            </w:tcBorders>
            <w:noWrap w:val="0"/>
            <w:vAlign w:val="top"/>
          </w:tcPr>
          <w:p w14:paraId="4EF11E83">
            <w:pPr>
              <w:pStyle w:val="8"/>
              <w:keepNext/>
              <w:spacing w:after="0" w:line="440" w:lineRule="exact"/>
              <w:ind w:left="63" w:right="63"/>
              <w:rPr>
                <w:rFonts w:eastAsia="仿宋_GB2312"/>
                <w:color w:val="auto"/>
                <w:sz w:val="28"/>
                <w:szCs w:val="30"/>
                <w:highlight w:val="none"/>
              </w:rPr>
            </w:pPr>
          </w:p>
        </w:tc>
        <w:tc>
          <w:tcPr>
            <w:tcW w:w="1984" w:type="dxa"/>
            <w:tcBorders>
              <w:top w:val="nil"/>
            </w:tcBorders>
            <w:noWrap w:val="0"/>
            <w:vAlign w:val="top"/>
          </w:tcPr>
          <w:p w14:paraId="542284ED">
            <w:pPr>
              <w:pStyle w:val="8"/>
              <w:keepNext/>
              <w:spacing w:after="0" w:line="440" w:lineRule="exact"/>
              <w:ind w:left="63" w:right="63"/>
              <w:rPr>
                <w:rFonts w:eastAsia="仿宋_GB2312"/>
                <w:color w:val="auto"/>
                <w:sz w:val="28"/>
                <w:szCs w:val="30"/>
                <w:highlight w:val="none"/>
              </w:rPr>
            </w:pPr>
          </w:p>
        </w:tc>
        <w:tc>
          <w:tcPr>
            <w:tcW w:w="851" w:type="dxa"/>
            <w:tcBorders>
              <w:top w:val="nil"/>
            </w:tcBorders>
            <w:noWrap w:val="0"/>
            <w:vAlign w:val="top"/>
          </w:tcPr>
          <w:p w14:paraId="13B3D980">
            <w:pPr>
              <w:pStyle w:val="8"/>
              <w:keepNext/>
              <w:spacing w:after="0" w:line="440" w:lineRule="exact"/>
              <w:ind w:left="63" w:right="63"/>
              <w:rPr>
                <w:rFonts w:eastAsia="仿宋_GB2312"/>
                <w:color w:val="auto"/>
                <w:sz w:val="28"/>
                <w:szCs w:val="30"/>
                <w:highlight w:val="none"/>
              </w:rPr>
            </w:pPr>
          </w:p>
        </w:tc>
        <w:tc>
          <w:tcPr>
            <w:tcW w:w="774" w:type="dxa"/>
            <w:tcBorders>
              <w:top w:val="nil"/>
            </w:tcBorders>
            <w:noWrap w:val="0"/>
            <w:vAlign w:val="top"/>
          </w:tcPr>
          <w:p w14:paraId="485D6711">
            <w:pPr>
              <w:pStyle w:val="8"/>
              <w:keepNext/>
              <w:spacing w:after="0" w:line="440" w:lineRule="exact"/>
              <w:ind w:left="63" w:right="63"/>
              <w:rPr>
                <w:rFonts w:eastAsia="仿宋_GB2312"/>
                <w:color w:val="auto"/>
                <w:sz w:val="28"/>
                <w:szCs w:val="30"/>
                <w:highlight w:val="none"/>
              </w:rPr>
            </w:pPr>
          </w:p>
        </w:tc>
        <w:tc>
          <w:tcPr>
            <w:tcW w:w="1352" w:type="dxa"/>
            <w:tcBorders>
              <w:top w:val="nil"/>
            </w:tcBorders>
            <w:noWrap w:val="0"/>
            <w:vAlign w:val="top"/>
          </w:tcPr>
          <w:p w14:paraId="3EC61C14">
            <w:pPr>
              <w:pStyle w:val="8"/>
              <w:keepNext/>
              <w:spacing w:after="0" w:line="440" w:lineRule="exact"/>
              <w:ind w:left="63" w:right="63"/>
              <w:rPr>
                <w:rFonts w:eastAsia="仿宋_GB2312"/>
                <w:color w:val="auto"/>
                <w:sz w:val="28"/>
                <w:szCs w:val="30"/>
                <w:highlight w:val="none"/>
              </w:rPr>
            </w:pPr>
          </w:p>
        </w:tc>
        <w:tc>
          <w:tcPr>
            <w:tcW w:w="1418" w:type="dxa"/>
            <w:tcBorders>
              <w:top w:val="nil"/>
            </w:tcBorders>
            <w:noWrap w:val="0"/>
            <w:vAlign w:val="top"/>
          </w:tcPr>
          <w:p w14:paraId="0CC5E6DD">
            <w:pPr>
              <w:pStyle w:val="8"/>
              <w:keepNext/>
              <w:spacing w:after="0" w:line="440" w:lineRule="exact"/>
              <w:ind w:left="63" w:right="63"/>
              <w:rPr>
                <w:rFonts w:eastAsia="仿宋_GB2312"/>
                <w:color w:val="auto"/>
                <w:sz w:val="28"/>
                <w:szCs w:val="30"/>
                <w:highlight w:val="none"/>
              </w:rPr>
            </w:pPr>
          </w:p>
        </w:tc>
        <w:tc>
          <w:tcPr>
            <w:tcW w:w="1701" w:type="dxa"/>
            <w:tcBorders>
              <w:top w:val="nil"/>
            </w:tcBorders>
            <w:noWrap w:val="0"/>
            <w:vAlign w:val="top"/>
          </w:tcPr>
          <w:p w14:paraId="2BB12222">
            <w:pPr>
              <w:pStyle w:val="8"/>
              <w:keepNext/>
              <w:spacing w:after="0" w:line="440" w:lineRule="exact"/>
              <w:ind w:left="63" w:right="63"/>
              <w:rPr>
                <w:rFonts w:eastAsia="仿宋_GB2312"/>
                <w:color w:val="auto"/>
                <w:sz w:val="28"/>
                <w:szCs w:val="30"/>
                <w:highlight w:val="none"/>
              </w:rPr>
            </w:pPr>
          </w:p>
        </w:tc>
      </w:tr>
      <w:tr w14:paraId="7053F7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CBD8B1B">
            <w:pPr>
              <w:pStyle w:val="8"/>
              <w:keepNext/>
              <w:spacing w:after="0" w:line="440" w:lineRule="exact"/>
              <w:ind w:left="63" w:right="63"/>
              <w:rPr>
                <w:rFonts w:eastAsia="仿宋_GB2312"/>
                <w:color w:val="auto"/>
                <w:sz w:val="28"/>
                <w:szCs w:val="30"/>
                <w:highlight w:val="none"/>
              </w:rPr>
            </w:pPr>
          </w:p>
        </w:tc>
        <w:tc>
          <w:tcPr>
            <w:tcW w:w="1984" w:type="dxa"/>
            <w:noWrap w:val="0"/>
            <w:vAlign w:val="top"/>
          </w:tcPr>
          <w:p w14:paraId="0576108B">
            <w:pPr>
              <w:pStyle w:val="8"/>
              <w:keepNext/>
              <w:spacing w:after="0" w:line="440" w:lineRule="exact"/>
              <w:ind w:left="63" w:right="63"/>
              <w:rPr>
                <w:rFonts w:eastAsia="仿宋_GB2312"/>
                <w:color w:val="auto"/>
                <w:sz w:val="28"/>
                <w:szCs w:val="30"/>
                <w:highlight w:val="none"/>
              </w:rPr>
            </w:pPr>
          </w:p>
        </w:tc>
        <w:tc>
          <w:tcPr>
            <w:tcW w:w="851" w:type="dxa"/>
            <w:noWrap w:val="0"/>
            <w:vAlign w:val="top"/>
          </w:tcPr>
          <w:p w14:paraId="22E685A8">
            <w:pPr>
              <w:pStyle w:val="8"/>
              <w:keepNext/>
              <w:spacing w:after="0" w:line="440" w:lineRule="exact"/>
              <w:ind w:left="63" w:right="63"/>
              <w:rPr>
                <w:rFonts w:eastAsia="仿宋_GB2312"/>
                <w:color w:val="auto"/>
                <w:sz w:val="28"/>
                <w:szCs w:val="30"/>
                <w:highlight w:val="none"/>
              </w:rPr>
            </w:pPr>
          </w:p>
        </w:tc>
        <w:tc>
          <w:tcPr>
            <w:tcW w:w="774" w:type="dxa"/>
            <w:noWrap w:val="0"/>
            <w:vAlign w:val="top"/>
          </w:tcPr>
          <w:p w14:paraId="1DA390FC">
            <w:pPr>
              <w:pStyle w:val="8"/>
              <w:keepNext/>
              <w:spacing w:after="0" w:line="440" w:lineRule="exact"/>
              <w:ind w:left="63" w:right="63"/>
              <w:rPr>
                <w:rFonts w:eastAsia="仿宋_GB2312"/>
                <w:color w:val="auto"/>
                <w:sz w:val="28"/>
                <w:szCs w:val="30"/>
                <w:highlight w:val="none"/>
              </w:rPr>
            </w:pPr>
          </w:p>
        </w:tc>
        <w:tc>
          <w:tcPr>
            <w:tcW w:w="1352" w:type="dxa"/>
            <w:noWrap w:val="0"/>
            <w:vAlign w:val="top"/>
          </w:tcPr>
          <w:p w14:paraId="19A8D2F1">
            <w:pPr>
              <w:pStyle w:val="8"/>
              <w:keepNext/>
              <w:spacing w:after="0" w:line="440" w:lineRule="exact"/>
              <w:ind w:left="63" w:right="63"/>
              <w:rPr>
                <w:rFonts w:eastAsia="仿宋_GB2312"/>
                <w:color w:val="auto"/>
                <w:sz w:val="28"/>
                <w:szCs w:val="30"/>
                <w:highlight w:val="none"/>
              </w:rPr>
            </w:pPr>
          </w:p>
        </w:tc>
        <w:tc>
          <w:tcPr>
            <w:tcW w:w="1418" w:type="dxa"/>
            <w:noWrap w:val="0"/>
            <w:vAlign w:val="top"/>
          </w:tcPr>
          <w:p w14:paraId="3D8C0AD5">
            <w:pPr>
              <w:pStyle w:val="8"/>
              <w:keepNext/>
              <w:spacing w:after="0" w:line="440" w:lineRule="exact"/>
              <w:ind w:left="63" w:right="63"/>
              <w:rPr>
                <w:rFonts w:eastAsia="仿宋_GB2312"/>
                <w:color w:val="auto"/>
                <w:sz w:val="28"/>
                <w:szCs w:val="30"/>
                <w:highlight w:val="none"/>
              </w:rPr>
            </w:pPr>
          </w:p>
        </w:tc>
        <w:tc>
          <w:tcPr>
            <w:tcW w:w="1701" w:type="dxa"/>
            <w:noWrap w:val="0"/>
            <w:vAlign w:val="top"/>
          </w:tcPr>
          <w:p w14:paraId="52A7702E">
            <w:pPr>
              <w:pStyle w:val="8"/>
              <w:keepNext/>
              <w:spacing w:after="0" w:line="440" w:lineRule="exact"/>
              <w:ind w:left="63" w:right="63"/>
              <w:rPr>
                <w:rFonts w:eastAsia="仿宋_GB2312"/>
                <w:color w:val="auto"/>
                <w:sz w:val="28"/>
                <w:szCs w:val="30"/>
                <w:highlight w:val="none"/>
              </w:rPr>
            </w:pPr>
          </w:p>
        </w:tc>
      </w:tr>
      <w:tr w14:paraId="09D65D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8C2DE59">
            <w:pPr>
              <w:pStyle w:val="8"/>
              <w:keepNext/>
              <w:spacing w:after="0" w:line="440" w:lineRule="exact"/>
              <w:ind w:left="63" w:right="63"/>
              <w:rPr>
                <w:rFonts w:eastAsia="仿宋_GB2312"/>
                <w:color w:val="auto"/>
                <w:sz w:val="28"/>
                <w:szCs w:val="30"/>
                <w:highlight w:val="none"/>
              </w:rPr>
            </w:pPr>
          </w:p>
        </w:tc>
        <w:tc>
          <w:tcPr>
            <w:tcW w:w="1984" w:type="dxa"/>
            <w:noWrap w:val="0"/>
            <w:vAlign w:val="top"/>
          </w:tcPr>
          <w:p w14:paraId="63EFA108">
            <w:pPr>
              <w:pStyle w:val="8"/>
              <w:keepNext/>
              <w:spacing w:after="0" w:line="440" w:lineRule="exact"/>
              <w:ind w:left="63" w:right="63"/>
              <w:rPr>
                <w:rFonts w:eastAsia="仿宋_GB2312"/>
                <w:color w:val="auto"/>
                <w:sz w:val="28"/>
                <w:szCs w:val="30"/>
                <w:highlight w:val="none"/>
              </w:rPr>
            </w:pPr>
          </w:p>
        </w:tc>
        <w:tc>
          <w:tcPr>
            <w:tcW w:w="851" w:type="dxa"/>
            <w:noWrap w:val="0"/>
            <w:vAlign w:val="top"/>
          </w:tcPr>
          <w:p w14:paraId="1A81CD87">
            <w:pPr>
              <w:pStyle w:val="8"/>
              <w:keepNext/>
              <w:spacing w:after="0" w:line="440" w:lineRule="exact"/>
              <w:ind w:left="63" w:right="63"/>
              <w:rPr>
                <w:rFonts w:eastAsia="仿宋_GB2312"/>
                <w:color w:val="auto"/>
                <w:sz w:val="28"/>
                <w:szCs w:val="30"/>
                <w:highlight w:val="none"/>
              </w:rPr>
            </w:pPr>
          </w:p>
        </w:tc>
        <w:tc>
          <w:tcPr>
            <w:tcW w:w="774" w:type="dxa"/>
            <w:noWrap w:val="0"/>
            <w:vAlign w:val="top"/>
          </w:tcPr>
          <w:p w14:paraId="3CDF559E">
            <w:pPr>
              <w:pStyle w:val="8"/>
              <w:keepNext/>
              <w:spacing w:after="0" w:line="440" w:lineRule="exact"/>
              <w:ind w:left="63" w:right="63"/>
              <w:rPr>
                <w:rFonts w:eastAsia="仿宋_GB2312"/>
                <w:color w:val="auto"/>
                <w:sz w:val="28"/>
                <w:szCs w:val="30"/>
                <w:highlight w:val="none"/>
              </w:rPr>
            </w:pPr>
          </w:p>
        </w:tc>
        <w:tc>
          <w:tcPr>
            <w:tcW w:w="1352" w:type="dxa"/>
            <w:noWrap w:val="0"/>
            <w:vAlign w:val="top"/>
          </w:tcPr>
          <w:p w14:paraId="43B89F5E">
            <w:pPr>
              <w:pStyle w:val="8"/>
              <w:keepNext/>
              <w:spacing w:after="0" w:line="440" w:lineRule="exact"/>
              <w:ind w:left="63" w:right="63"/>
              <w:rPr>
                <w:rFonts w:eastAsia="仿宋_GB2312"/>
                <w:color w:val="auto"/>
                <w:sz w:val="28"/>
                <w:szCs w:val="30"/>
                <w:highlight w:val="none"/>
              </w:rPr>
            </w:pPr>
          </w:p>
        </w:tc>
        <w:tc>
          <w:tcPr>
            <w:tcW w:w="1418" w:type="dxa"/>
            <w:noWrap w:val="0"/>
            <w:vAlign w:val="top"/>
          </w:tcPr>
          <w:p w14:paraId="06A3ED5C">
            <w:pPr>
              <w:pStyle w:val="8"/>
              <w:keepNext/>
              <w:spacing w:after="0" w:line="440" w:lineRule="exact"/>
              <w:ind w:left="63" w:right="63"/>
              <w:rPr>
                <w:rFonts w:eastAsia="仿宋_GB2312"/>
                <w:color w:val="auto"/>
                <w:sz w:val="28"/>
                <w:szCs w:val="30"/>
                <w:highlight w:val="none"/>
              </w:rPr>
            </w:pPr>
          </w:p>
        </w:tc>
        <w:tc>
          <w:tcPr>
            <w:tcW w:w="1701" w:type="dxa"/>
            <w:noWrap w:val="0"/>
            <w:vAlign w:val="top"/>
          </w:tcPr>
          <w:p w14:paraId="762A5BC2">
            <w:pPr>
              <w:pStyle w:val="8"/>
              <w:keepNext/>
              <w:spacing w:after="0" w:line="440" w:lineRule="exact"/>
              <w:ind w:left="63" w:right="63"/>
              <w:rPr>
                <w:rFonts w:eastAsia="仿宋_GB2312"/>
                <w:color w:val="auto"/>
                <w:sz w:val="28"/>
                <w:szCs w:val="30"/>
                <w:highlight w:val="none"/>
              </w:rPr>
            </w:pPr>
          </w:p>
        </w:tc>
      </w:tr>
      <w:tr w14:paraId="7B36EF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3CE5919">
            <w:pPr>
              <w:pStyle w:val="8"/>
              <w:keepNext/>
              <w:spacing w:after="0" w:line="440" w:lineRule="exact"/>
              <w:ind w:left="63" w:right="63"/>
              <w:rPr>
                <w:rFonts w:eastAsia="仿宋_GB2312"/>
                <w:color w:val="auto"/>
                <w:sz w:val="28"/>
                <w:szCs w:val="30"/>
                <w:highlight w:val="none"/>
              </w:rPr>
            </w:pPr>
          </w:p>
        </w:tc>
        <w:tc>
          <w:tcPr>
            <w:tcW w:w="1984" w:type="dxa"/>
            <w:noWrap w:val="0"/>
            <w:vAlign w:val="top"/>
          </w:tcPr>
          <w:p w14:paraId="487074FE">
            <w:pPr>
              <w:pStyle w:val="8"/>
              <w:keepNext/>
              <w:spacing w:after="0" w:line="440" w:lineRule="exact"/>
              <w:ind w:left="63" w:right="63"/>
              <w:rPr>
                <w:rFonts w:eastAsia="仿宋_GB2312"/>
                <w:color w:val="auto"/>
                <w:sz w:val="28"/>
                <w:szCs w:val="30"/>
                <w:highlight w:val="none"/>
              </w:rPr>
            </w:pPr>
          </w:p>
        </w:tc>
        <w:tc>
          <w:tcPr>
            <w:tcW w:w="851" w:type="dxa"/>
            <w:noWrap w:val="0"/>
            <w:vAlign w:val="top"/>
          </w:tcPr>
          <w:p w14:paraId="20AF7434">
            <w:pPr>
              <w:pStyle w:val="8"/>
              <w:keepNext/>
              <w:spacing w:after="0" w:line="440" w:lineRule="exact"/>
              <w:ind w:left="63" w:right="63"/>
              <w:rPr>
                <w:rFonts w:eastAsia="仿宋_GB2312"/>
                <w:color w:val="auto"/>
                <w:sz w:val="28"/>
                <w:szCs w:val="30"/>
                <w:highlight w:val="none"/>
              </w:rPr>
            </w:pPr>
          </w:p>
        </w:tc>
        <w:tc>
          <w:tcPr>
            <w:tcW w:w="774" w:type="dxa"/>
            <w:noWrap w:val="0"/>
            <w:vAlign w:val="top"/>
          </w:tcPr>
          <w:p w14:paraId="112F6B55">
            <w:pPr>
              <w:pStyle w:val="8"/>
              <w:keepNext/>
              <w:spacing w:after="0" w:line="440" w:lineRule="exact"/>
              <w:ind w:left="63" w:right="63"/>
              <w:rPr>
                <w:rFonts w:eastAsia="仿宋_GB2312"/>
                <w:color w:val="auto"/>
                <w:sz w:val="28"/>
                <w:szCs w:val="30"/>
                <w:highlight w:val="none"/>
              </w:rPr>
            </w:pPr>
          </w:p>
        </w:tc>
        <w:tc>
          <w:tcPr>
            <w:tcW w:w="1352" w:type="dxa"/>
            <w:noWrap w:val="0"/>
            <w:vAlign w:val="top"/>
          </w:tcPr>
          <w:p w14:paraId="015F8367">
            <w:pPr>
              <w:pStyle w:val="8"/>
              <w:keepNext/>
              <w:spacing w:after="0" w:line="440" w:lineRule="exact"/>
              <w:ind w:left="63" w:right="63"/>
              <w:rPr>
                <w:rFonts w:eastAsia="仿宋_GB2312"/>
                <w:color w:val="auto"/>
                <w:sz w:val="28"/>
                <w:szCs w:val="30"/>
                <w:highlight w:val="none"/>
              </w:rPr>
            </w:pPr>
          </w:p>
        </w:tc>
        <w:tc>
          <w:tcPr>
            <w:tcW w:w="1418" w:type="dxa"/>
            <w:noWrap w:val="0"/>
            <w:vAlign w:val="top"/>
          </w:tcPr>
          <w:p w14:paraId="30502A14">
            <w:pPr>
              <w:pStyle w:val="8"/>
              <w:keepNext/>
              <w:spacing w:after="0" w:line="440" w:lineRule="exact"/>
              <w:ind w:left="63" w:right="63"/>
              <w:rPr>
                <w:rFonts w:eastAsia="仿宋_GB2312"/>
                <w:color w:val="auto"/>
                <w:sz w:val="28"/>
                <w:szCs w:val="30"/>
                <w:highlight w:val="none"/>
              </w:rPr>
            </w:pPr>
          </w:p>
        </w:tc>
        <w:tc>
          <w:tcPr>
            <w:tcW w:w="1701" w:type="dxa"/>
            <w:noWrap w:val="0"/>
            <w:vAlign w:val="top"/>
          </w:tcPr>
          <w:p w14:paraId="16FCD9B3">
            <w:pPr>
              <w:pStyle w:val="8"/>
              <w:keepNext/>
              <w:spacing w:after="0" w:line="440" w:lineRule="exact"/>
              <w:ind w:left="63" w:right="63"/>
              <w:rPr>
                <w:rFonts w:eastAsia="仿宋_GB2312"/>
                <w:color w:val="auto"/>
                <w:sz w:val="28"/>
                <w:szCs w:val="30"/>
                <w:highlight w:val="none"/>
              </w:rPr>
            </w:pPr>
          </w:p>
        </w:tc>
      </w:tr>
      <w:tr w14:paraId="5183FD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D9D9421">
            <w:pPr>
              <w:pStyle w:val="8"/>
              <w:keepNext/>
              <w:spacing w:after="0" w:line="440" w:lineRule="exact"/>
              <w:ind w:left="63" w:right="63"/>
              <w:rPr>
                <w:rFonts w:eastAsia="仿宋_GB2312"/>
                <w:color w:val="auto"/>
                <w:sz w:val="28"/>
                <w:szCs w:val="30"/>
                <w:highlight w:val="none"/>
              </w:rPr>
            </w:pPr>
          </w:p>
        </w:tc>
        <w:tc>
          <w:tcPr>
            <w:tcW w:w="1984" w:type="dxa"/>
            <w:noWrap w:val="0"/>
            <w:vAlign w:val="top"/>
          </w:tcPr>
          <w:p w14:paraId="06D3403D">
            <w:pPr>
              <w:pStyle w:val="8"/>
              <w:keepNext/>
              <w:spacing w:after="0" w:line="440" w:lineRule="exact"/>
              <w:ind w:left="63" w:right="63"/>
              <w:rPr>
                <w:rFonts w:eastAsia="仿宋_GB2312"/>
                <w:color w:val="auto"/>
                <w:sz w:val="28"/>
                <w:szCs w:val="30"/>
                <w:highlight w:val="none"/>
              </w:rPr>
            </w:pPr>
          </w:p>
        </w:tc>
        <w:tc>
          <w:tcPr>
            <w:tcW w:w="851" w:type="dxa"/>
            <w:noWrap w:val="0"/>
            <w:vAlign w:val="top"/>
          </w:tcPr>
          <w:p w14:paraId="1BDEB5BB">
            <w:pPr>
              <w:pStyle w:val="8"/>
              <w:keepNext/>
              <w:spacing w:after="0" w:line="440" w:lineRule="exact"/>
              <w:ind w:left="63" w:right="63"/>
              <w:rPr>
                <w:rFonts w:eastAsia="仿宋_GB2312"/>
                <w:color w:val="auto"/>
                <w:sz w:val="28"/>
                <w:szCs w:val="30"/>
                <w:highlight w:val="none"/>
              </w:rPr>
            </w:pPr>
          </w:p>
        </w:tc>
        <w:tc>
          <w:tcPr>
            <w:tcW w:w="774" w:type="dxa"/>
            <w:noWrap w:val="0"/>
            <w:vAlign w:val="top"/>
          </w:tcPr>
          <w:p w14:paraId="09D3AAA5">
            <w:pPr>
              <w:pStyle w:val="8"/>
              <w:keepNext/>
              <w:spacing w:after="0" w:line="440" w:lineRule="exact"/>
              <w:ind w:left="63" w:right="63"/>
              <w:rPr>
                <w:rFonts w:eastAsia="仿宋_GB2312"/>
                <w:color w:val="auto"/>
                <w:sz w:val="28"/>
                <w:szCs w:val="30"/>
                <w:highlight w:val="none"/>
              </w:rPr>
            </w:pPr>
          </w:p>
        </w:tc>
        <w:tc>
          <w:tcPr>
            <w:tcW w:w="1352" w:type="dxa"/>
            <w:noWrap w:val="0"/>
            <w:vAlign w:val="top"/>
          </w:tcPr>
          <w:p w14:paraId="00F75252">
            <w:pPr>
              <w:pStyle w:val="8"/>
              <w:keepNext/>
              <w:spacing w:after="0" w:line="440" w:lineRule="exact"/>
              <w:ind w:left="63" w:right="63"/>
              <w:rPr>
                <w:rFonts w:eastAsia="仿宋_GB2312"/>
                <w:color w:val="auto"/>
                <w:sz w:val="28"/>
                <w:szCs w:val="30"/>
                <w:highlight w:val="none"/>
              </w:rPr>
            </w:pPr>
          </w:p>
        </w:tc>
        <w:tc>
          <w:tcPr>
            <w:tcW w:w="1418" w:type="dxa"/>
            <w:noWrap w:val="0"/>
            <w:vAlign w:val="top"/>
          </w:tcPr>
          <w:p w14:paraId="60EF2AA7">
            <w:pPr>
              <w:pStyle w:val="8"/>
              <w:keepNext/>
              <w:spacing w:after="0" w:line="440" w:lineRule="exact"/>
              <w:ind w:left="63" w:right="63"/>
              <w:rPr>
                <w:rFonts w:eastAsia="仿宋_GB2312"/>
                <w:color w:val="auto"/>
                <w:sz w:val="28"/>
                <w:szCs w:val="30"/>
                <w:highlight w:val="none"/>
              </w:rPr>
            </w:pPr>
          </w:p>
        </w:tc>
        <w:tc>
          <w:tcPr>
            <w:tcW w:w="1701" w:type="dxa"/>
            <w:noWrap w:val="0"/>
            <w:vAlign w:val="top"/>
          </w:tcPr>
          <w:p w14:paraId="0ADD54A7">
            <w:pPr>
              <w:pStyle w:val="8"/>
              <w:keepNext/>
              <w:spacing w:after="0" w:line="440" w:lineRule="exact"/>
              <w:ind w:left="63" w:right="63"/>
              <w:rPr>
                <w:rFonts w:eastAsia="仿宋_GB2312"/>
                <w:color w:val="auto"/>
                <w:sz w:val="28"/>
                <w:szCs w:val="30"/>
                <w:highlight w:val="none"/>
              </w:rPr>
            </w:pPr>
          </w:p>
        </w:tc>
      </w:tr>
      <w:tr w14:paraId="18EFD7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545ADAB">
            <w:pPr>
              <w:pStyle w:val="8"/>
              <w:keepNext/>
              <w:spacing w:after="0" w:line="440" w:lineRule="exact"/>
              <w:ind w:left="63" w:right="63"/>
              <w:rPr>
                <w:rFonts w:eastAsia="仿宋_GB2312"/>
                <w:color w:val="auto"/>
                <w:sz w:val="28"/>
                <w:szCs w:val="30"/>
                <w:highlight w:val="none"/>
              </w:rPr>
            </w:pPr>
          </w:p>
        </w:tc>
        <w:tc>
          <w:tcPr>
            <w:tcW w:w="1984" w:type="dxa"/>
            <w:noWrap w:val="0"/>
            <w:vAlign w:val="top"/>
          </w:tcPr>
          <w:p w14:paraId="19D8FC41">
            <w:pPr>
              <w:pStyle w:val="8"/>
              <w:keepNext/>
              <w:spacing w:after="0" w:line="440" w:lineRule="exact"/>
              <w:ind w:left="63" w:right="63"/>
              <w:rPr>
                <w:rFonts w:eastAsia="仿宋_GB2312"/>
                <w:color w:val="auto"/>
                <w:sz w:val="28"/>
                <w:szCs w:val="30"/>
                <w:highlight w:val="none"/>
              </w:rPr>
            </w:pPr>
          </w:p>
        </w:tc>
        <w:tc>
          <w:tcPr>
            <w:tcW w:w="851" w:type="dxa"/>
            <w:noWrap w:val="0"/>
            <w:vAlign w:val="top"/>
          </w:tcPr>
          <w:p w14:paraId="597DE968">
            <w:pPr>
              <w:pStyle w:val="8"/>
              <w:keepNext/>
              <w:spacing w:after="0" w:line="440" w:lineRule="exact"/>
              <w:ind w:left="63" w:right="63"/>
              <w:rPr>
                <w:rFonts w:eastAsia="仿宋_GB2312"/>
                <w:color w:val="auto"/>
                <w:sz w:val="28"/>
                <w:szCs w:val="30"/>
                <w:highlight w:val="none"/>
              </w:rPr>
            </w:pPr>
          </w:p>
        </w:tc>
        <w:tc>
          <w:tcPr>
            <w:tcW w:w="774" w:type="dxa"/>
            <w:noWrap w:val="0"/>
            <w:vAlign w:val="top"/>
          </w:tcPr>
          <w:p w14:paraId="2D2DCA30">
            <w:pPr>
              <w:pStyle w:val="8"/>
              <w:keepNext/>
              <w:spacing w:after="0" w:line="440" w:lineRule="exact"/>
              <w:ind w:left="63" w:right="63"/>
              <w:rPr>
                <w:rFonts w:eastAsia="仿宋_GB2312"/>
                <w:color w:val="auto"/>
                <w:sz w:val="28"/>
                <w:szCs w:val="30"/>
                <w:highlight w:val="none"/>
              </w:rPr>
            </w:pPr>
          </w:p>
        </w:tc>
        <w:tc>
          <w:tcPr>
            <w:tcW w:w="1352" w:type="dxa"/>
            <w:noWrap w:val="0"/>
            <w:vAlign w:val="top"/>
          </w:tcPr>
          <w:p w14:paraId="393EC560">
            <w:pPr>
              <w:pStyle w:val="8"/>
              <w:keepNext/>
              <w:spacing w:after="0" w:line="440" w:lineRule="exact"/>
              <w:ind w:left="63" w:right="63"/>
              <w:rPr>
                <w:rFonts w:eastAsia="仿宋_GB2312"/>
                <w:color w:val="auto"/>
                <w:sz w:val="28"/>
                <w:szCs w:val="30"/>
                <w:highlight w:val="none"/>
              </w:rPr>
            </w:pPr>
          </w:p>
        </w:tc>
        <w:tc>
          <w:tcPr>
            <w:tcW w:w="1418" w:type="dxa"/>
            <w:noWrap w:val="0"/>
            <w:vAlign w:val="top"/>
          </w:tcPr>
          <w:p w14:paraId="5995FAAE">
            <w:pPr>
              <w:pStyle w:val="8"/>
              <w:keepNext/>
              <w:spacing w:after="0" w:line="440" w:lineRule="exact"/>
              <w:ind w:left="63" w:right="63"/>
              <w:rPr>
                <w:rFonts w:eastAsia="仿宋_GB2312"/>
                <w:color w:val="auto"/>
                <w:sz w:val="28"/>
                <w:szCs w:val="30"/>
                <w:highlight w:val="none"/>
              </w:rPr>
            </w:pPr>
          </w:p>
        </w:tc>
        <w:tc>
          <w:tcPr>
            <w:tcW w:w="1701" w:type="dxa"/>
            <w:noWrap w:val="0"/>
            <w:vAlign w:val="top"/>
          </w:tcPr>
          <w:p w14:paraId="2CE51776">
            <w:pPr>
              <w:pStyle w:val="8"/>
              <w:keepNext/>
              <w:spacing w:after="0" w:line="440" w:lineRule="exact"/>
              <w:ind w:left="63" w:right="63"/>
              <w:rPr>
                <w:rFonts w:eastAsia="仿宋_GB2312"/>
                <w:color w:val="auto"/>
                <w:sz w:val="28"/>
                <w:szCs w:val="30"/>
                <w:highlight w:val="none"/>
              </w:rPr>
            </w:pPr>
          </w:p>
        </w:tc>
      </w:tr>
      <w:tr w14:paraId="334869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66E80EA">
            <w:pPr>
              <w:pStyle w:val="8"/>
              <w:keepNext/>
              <w:spacing w:after="0" w:line="440" w:lineRule="exact"/>
              <w:ind w:left="63" w:right="63"/>
              <w:rPr>
                <w:rFonts w:eastAsia="仿宋_GB2312"/>
                <w:color w:val="auto"/>
                <w:sz w:val="28"/>
                <w:szCs w:val="30"/>
                <w:highlight w:val="none"/>
              </w:rPr>
            </w:pPr>
          </w:p>
        </w:tc>
        <w:tc>
          <w:tcPr>
            <w:tcW w:w="1984" w:type="dxa"/>
            <w:noWrap w:val="0"/>
            <w:vAlign w:val="top"/>
          </w:tcPr>
          <w:p w14:paraId="4990DF9C">
            <w:pPr>
              <w:pStyle w:val="8"/>
              <w:keepNext/>
              <w:spacing w:after="0" w:line="440" w:lineRule="exact"/>
              <w:ind w:left="63" w:right="63"/>
              <w:rPr>
                <w:rFonts w:eastAsia="仿宋_GB2312"/>
                <w:color w:val="auto"/>
                <w:sz w:val="28"/>
                <w:szCs w:val="30"/>
                <w:highlight w:val="none"/>
              </w:rPr>
            </w:pPr>
          </w:p>
        </w:tc>
        <w:tc>
          <w:tcPr>
            <w:tcW w:w="851" w:type="dxa"/>
            <w:noWrap w:val="0"/>
            <w:vAlign w:val="top"/>
          </w:tcPr>
          <w:p w14:paraId="63894FAB">
            <w:pPr>
              <w:pStyle w:val="8"/>
              <w:keepNext/>
              <w:spacing w:after="0" w:line="440" w:lineRule="exact"/>
              <w:ind w:left="63" w:right="63"/>
              <w:rPr>
                <w:rFonts w:eastAsia="仿宋_GB2312"/>
                <w:color w:val="auto"/>
                <w:sz w:val="28"/>
                <w:szCs w:val="30"/>
                <w:highlight w:val="none"/>
              </w:rPr>
            </w:pPr>
          </w:p>
        </w:tc>
        <w:tc>
          <w:tcPr>
            <w:tcW w:w="774" w:type="dxa"/>
            <w:noWrap w:val="0"/>
            <w:vAlign w:val="top"/>
          </w:tcPr>
          <w:p w14:paraId="0464AB25">
            <w:pPr>
              <w:pStyle w:val="8"/>
              <w:keepNext/>
              <w:spacing w:after="0" w:line="440" w:lineRule="exact"/>
              <w:ind w:left="63" w:right="63"/>
              <w:rPr>
                <w:rFonts w:eastAsia="仿宋_GB2312"/>
                <w:color w:val="auto"/>
                <w:sz w:val="28"/>
                <w:szCs w:val="30"/>
                <w:highlight w:val="none"/>
              </w:rPr>
            </w:pPr>
          </w:p>
        </w:tc>
        <w:tc>
          <w:tcPr>
            <w:tcW w:w="1352" w:type="dxa"/>
            <w:noWrap w:val="0"/>
            <w:vAlign w:val="top"/>
          </w:tcPr>
          <w:p w14:paraId="0CE87A5D">
            <w:pPr>
              <w:pStyle w:val="8"/>
              <w:keepNext/>
              <w:spacing w:after="0" w:line="440" w:lineRule="exact"/>
              <w:ind w:left="63" w:right="63"/>
              <w:rPr>
                <w:rFonts w:eastAsia="仿宋_GB2312"/>
                <w:color w:val="auto"/>
                <w:sz w:val="28"/>
                <w:szCs w:val="30"/>
                <w:highlight w:val="none"/>
              </w:rPr>
            </w:pPr>
          </w:p>
        </w:tc>
        <w:tc>
          <w:tcPr>
            <w:tcW w:w="1418" w:type="dxa"/>
            <w:noWrap w:val="0"/>
            <w:vAlign w:val="top"/>
          </w:tcPr>
          <w:p w14:paraId="5D5D7BBA">
            <w:pPr>
              <w:pStyle w:val="8"/>
              <w:keepNext/>
              <w:spacing w:after="0" w:line="440" w:lineRule="exact"/>
              <w:ind w:left="63" w:right="63"/>
              <w:rPr>
                <w:rFonts w:eastAsia="仿宋_GB2312"/>
                <w:color w:val="auto"/>
                <w:sz w:val="28"/>
                <w:szCs w:val="30"/>
                <w:highlight w:val="none"/>
              </w:rPr>
            </w:pPr>
          </w:p>
        </w:tc>
        <w:tc>
          <w:tcPr>
            <w:tcW w:w="1701" w:type="dxa"/>
            <w:noWrap w:val="0"/>
            <w:vAlign w:val="top"/>
          </w:tcPr>
          <w:p w14:paraId="7246AB17">
            <w:pPr>
              <w:pStyle w:val="8"/>
              <w:keepNext/>
              <w:spacing w:after="0" w:line="440" w:lineRule="exact"/>
              <w:ind w:left="63" w:right="63"/>
              <w:rPr>
                <w:rFonts w:eastAsia="仿宋_GB2312"/>
                <w:color w:val="auto"/>
                <w:sz w:val="28"/>
                <w:szCs w:val="30"/>
                <w:highlight w:val="none"/>
              </w:rPr>
            </w:pPr>
          </w:p>
        </w:tc>
      </w:tr>
      <w:tr w14:paraId="34F85A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A5C08F1">
            <w:pPr>
              <w:pStyle w:val="8"/>
              <w:keepNext/>
              <w:spacing w:after="0" w:line="440" w:lineRule="exact"/>
              <w:ind w:left="63" w:right="63"/>
              <w:rPr>
                <w:rFonts w:eastAsia="仿宋_GB2312"/>
                <w:color w:val="auto"/>
                <w:sz w:val="28"/>
                <w:szCs w:val="30"/>
                <w:highlight w:val="none"/>
              </w:rPr>
            </w:pPr>
          </w:p>
        </w:tc>
        <w:tc>
          <w:tcPr>
            <w:tcW w:w="1984" w:type="dxa"/>
            <w:noWrap w:val="0"/>
            <w:vAlign w:val="top"/>
          </w:tcPr>
          <w:p w14:paraId="40FD7591">
            <w:pPr>
              <w:pStyle w:val="8"/>
              <w:keepNext/>
              <w:spacing w:after="0" w:line="440" w:lineRule="exact"/>
              <w:ind w:left="63" w:right="63"/>
              <w:rPr>
                <w:rFonts w:eastAsia="仿宋_GB2312"/>
                <w:color w:val="auto"/>
                <w:sz w:val="28"/>
                <w:szCs w:val="30"/>
                <w:highlight w:val="none"/>
              </w:rPr>
            </w:pPr>
          </w:p>
        </w:tc>
        <w:tc>
          <w:tcPr>
            <w:tcW w:w="851" w:type="dxa"/>
            <w:noWrap w:val="0"/>
            <w:vAlign w:val="top"/>
          </w:tcPr>
          <w:p w14:paraId="7FAA1361">
            <w:pPr>
              <w:pStyle w:val="8"/>
              <w:keepNext/>
              <w:spacing w:after="0" w:line="440" w:lineRule="exact"/>
              <w:ind w:left="63" w:right="63"/>
              <w:rPr>
                <w:rFonts w:eastAsia="仿宋_GB2312"/>
                <w:color w:val="auto"/>
                <w:sz w:val="28"/>
                <w:szCs w:val="30"/>
                <w:highlight w:val="none"/>
              </w:rPr>
            </w:pPr>
          </w:p>
        </w:tc>
        <w:tc>
          <w:tcPr>
            <w:tcW w:w="774" w:type="dxa"/>
            <w:noWrap w:val="0"/>
            <w:vAlign w:val="top"/>
          </w:tcPr>
          <w:p w14:paraId="21189F75">
            <w:pPr>
              <w:pStyle w:val="8"/>
              <w:keepNext/>
              <w:spacing w:after="0" w:line="440" w:lineRule="exact"/>
              <w:ind w:left="63" w:right="63"/>
              <w:rPr>
                <w:rFonts w:eastAsia="仿宋_GB2312"/>
                <w:color w:val="auto"/>
                <w:sz w:val="28"/>
                <w:szCs w:val="30"/>
                <w:highlight w:val="none"/>
              </w:rPr>
            </w:pPr>
          </w:p>
        </w:tc>
        <w:tc>
          <w:tcPr>
            <w:tcW w:w="1352" w:type="dxa"/>
            <w:noWrap w:val="0"/>
            <w:vAlign w:val="top"/>
          </w:tcPr>
          <w:p w14:paraId="599C2A60">
            <w:pPr>
              <w:pStyle w:val="8"/>
              <w:keepNext/>
              <w:spacing w:after="0" w:line="440" w:lineRule="exact"/>
              <w:ind w:left="63" w:right="63"/>
              <w:rPr>
                <w:rFonts w:eastAsia="仿宋_GB2312"/>
                <w:color w:val="auto"/>
                <w:sz w:val="28"/>
                <w:szCs w:val="30"/>
                <w:highlight w:val="none"/>
              </w:rPr>
            </w:pPr>
          </w:p>
        </w:tc>
        <w:tc>
          <w:tcPr>
            <w:tcW w:w="1418" w:type="dxa"/>
            <w:noWrap w:val="0"/>
            <w:vAlign w:val="top"/>
          </w:tcPr>
          <w:p w14:paraId="49D4FF5A">
            <w:pPr>
              <w:pStyle w:val="8"/>
              <w:keepNext/>
              <w:spacing w:after="0" w:line="440" w:lineRule="exact"/>
              <w:ind w:left="63" w:right="63"/>
              <w:rPr>
                <w:rFonts w:eastAsia="仿宋_GB2312"/>
                <w:color w:val="auto"/>
                <w:sz w:val="28"/>
                <w:szCs w:val="30"/>
                <w:highlight w:val="none"/>
              </w:rPr>
            </w:pPr>
          </w:p>
        </w:tc>
        <w:tc>
          <w:tcPr>
            <w:tcW w:w="1701" w:type="dxa"/>
            <w:noWrap w:val="0"/>
            <w:vAlign w:val="top"/>
          </w:tcPr>
          <w:p w14:paraId="13F2E4BD">
            <w:pPr>
              <w:pStyle w:val="8"/>
              <w:keepNext/>
              <w:spacing w:after="0" w:line="440" w:lineRule="exact"/>
              <w:ind w:left="63" w:right="63"/>
              <w:rPr>
                <w:rFonts w:eastAsia="仿宋_GB2312"/>
                <w:color w:val="auto"/>
                <w:sz w:val="28"/>
                <w:szCs w:val="30"/>
                <w:highlight w:val="none"/>
              </w:rPr>
            </w:pPr>
          </w:p>
        </w:tc>
      </w:tr>
      <w:tr w14:paraId="1B4870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428E4B7">
            <w:pPr>
              <w:pStyle w:val="8"/>
              <w:keepNext/>
              <w:spacing w:after="0" w:line="440" w:lineRule="exact"/>
              <w:ind w:left="63" w:right="63"/>
              <w:rPr>
                <w:rFonts w:eastAsia="仿宋_GB2312"/>
                <w:color w:val="auto"/>
                <w:sz w:val="28"/>
                <w:szCs w:val="30"/>
                <w:highlight w:val="none"/>
              </w:rPr>
            </w:pPr>
          </w:p>
        </w:tc>
        <w:tc>
          <w:tcPr>
            <w:tcW w:w="1984" w:type="dxa"/>
            <w:noWrap w:val="0"/>
            <w:vAlign w:val="top"/>
          </w:tcPr>
          <w:p w14:paraId="369E5B39">
            <w:pPr>
              <w:pStyle w:val="8"/>
              <w:keepNext/>
              <w:spacing w:after="0" w:line="440" w:lineRule="exact"/>
              <w:ind w:left="63" w:right="63"/>
              <w:rPr>
                <w:rFonts w:eastAsia="仿宋_GB2312"/>
                <w:color w:val="auto"/>
                <w:sz w:val="28"/>
                <w:szCs w:val="30"/>
                <w:highlight w:val="none"/>
              </w:rPr>
            </w:pPr>
          </w:p>
        </w:tc>
        <w:tc>
          <w:tcPr>
            <w:tcW w:w="851" w:type="dxa"/>
            <w:noWrap w:val="0"/>
            <w:vAlign w:val="top"/>
          </w:tcPr>
          <w:p w14:paraId="0997C127">
            <w:pPr>
              <w:pStyle w:val="8"/>
              <w:keepNext/>
              <w:spacing w:after="0" w:line="440" w:lineRule="exact"/>
              <w:ind w:left="63" w:right="63"/>
              <w:rPr>
                <w:rFonts w:eastAsia="仿宋_GB2312"/>
                <w:color w:val="auto"/>
                <w:sz w:val="28"/>
                <w:szCs w:val="30"/>
                <w:highlight w:val="none"/>
              </w:rPr>
            </w:pPr>
          </w:p>
        </w:tc>
        <w:tc>
          <w:tcPr>
            <w:tcW w:w="774" w:type="dxa"/>
            <w:noWrap w:val="0"/>
            <w:vAlign w:val="top"/>
          </w:tcPr>
          <w:p w14:paraId="6B9D30A0">
            <w:pPr>
              <w:pStyle w:val="8"/>
              <w:keepNext/>
              <w:spacing w:after="0" w:line="440" w:lineRule="exact"/>
              <w:ind w:left="63" w:right="63"/>
              <w:rPr>
                <w:rFonts w:eastAsia="仿宋_GB2312"/>
                <w:color w:val="auto"/>
                <w:sz w:val="28"/>
                <w:szCs w:val="30"/>
                <w:highlight w:val="none"/>
              </w:rPr>
            </w:pPr>
          </w:p>
        </w:tc>
        <w:tc>
          <w:tcPr>
            <w:tcW w:w="1352" w:type="dxa"/>
            <w:noWrap w:val="0"/>
            <w:vAlign w:val="top"/>
          </w:tcPr>
          <w:p w14:paraId="43066080">
            <w:pPr>
              <w:pStyle w:val="8"/>
              <w:keepNext/>
              <w:spacing w:after="0" w:line="440" w:lineRule="exact"/>
              <w:ind w:left="63" w:right="63"/>
              <w:rPr>
                <w:rFonts w:eastAsia="仿宋_GB2312"/>
                <w:color w:val="auto"/>
                <w:sz w:val="28"/>
                <w:szCs w:val="30"/>
                <w:highlight w:val="none"/>
              </w:rPr>
            </w:pPr>
          </w:p>
        </w:tc>
        <w:tc>
          <w:tcPr>
            <w:tcW w:w="1418" w:type="dxa"/>
            <w:noWrap w:val="0"/>
            <w:vAlign w:val="top"/>
          </w:tcPr>
          <w:p w14:paraId="5F37BE79">
            <w:pPr>
              <w:pStyle w:val="8"/>
              <w:keepNext/>
              <w:spacing w:after="0" w:line="440" w:lineRule="exact"/>
              <w:ind w:left="63" w:right="63"/>
              <w:rPr>
                <w:rFonts w:eastAsia="仿宋_GB2312"/>
                <w:color w:val="auto"/>
                <w:sz w:val="28"/>
                <w:szCs w:val="30"/>
                <w:highlight w:val="none"/>
              </w:rPr>
            </w:pPr>
          </w:p>
        </w:tc>
        <w:tc>
          <w:tcPr>
            <w:tcW w:w="1701" w:type="dxa"/>
            <w:noWrap w:val="0"/>
            <w:vAlign w:val="top"/>
          </w:tcPr>
          <w:p w14:paraId="2E71D189">
            <w:pPr>
              <w:pStyle w:val="8"/>
              <w:keepNext/>
              <w:spacing w:after="0" w:line="440" w:lineRule="exact"/>
              <w:ind w:left="63" w:right="63"/>
              <w:rPr>
                <w:rFonts w:eastAsia="仿宋_GB2312"/>
                <w:color w:val="auto"/>
                <w:sz w:val="28"/>
                <w:szCs w:val="30"/>
                <w:highlight w:val="none"/>
              </w:rPr>
            </w:pPr>
          </w:p>
        </w:tc>
      </w:tr>
      <w:tr w14:paraId="492874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A7B141E">
            <w:pPr>
              <w:pStyle w:val="8"/>
              <w:keepNext/>
              <w:spacing w:after="0" w:line="440" w:lineRule="exact"/>
              <w:ind w:left="63" w:right="63"/>
              <w:rPr>
                <w:rFonts w:eastAsia="仿宋_GB2312"/>
                <w:color w:val="auto"/>
                <w:sz w:val="28"/>
                <w:szCs w:val="30"/>
                <w:highlight w:val="none"/>
              </w:rPr>
            </w:pPr>
          </w:p>
        </w:tc>
        <w:tc>
          <w:tcPr>
            <w:tcW w:w="1984" w:type="dxa"/>
            <w:noWrap w:val="0"/>
            <w:vAlign w:val="top"/>
          </w:tcPr>
          <w:p w14:paraId="066E4285">
            <w:pPr>
              <w:pStyle w:val="8"/>
              <w:keepNext/>
              <w:spacing w:after="0" w:line="440" w:lineRule="exact"/>
              <w:ind w:left="63" w:right="63"/>
              <w:rPr>
                <w:rFonts w:eastAsia="仿宋_GB2312"/>
                <w:color w:val="auto"/>
                <w:sz w:val="28"/>
                <w:szCs w:val="30"/>
                <w:highlight w:val="none"/>
              </w:rPr>
            </w:pPr>
          </w:p>
        </w:tc>
        <w:tc>
          <w:tcPr>
            <w:tcW w:w="851" w:type="dxa"/>
            <w:noWrap w:val="0"/>
            <w:vAlign w:val="top"/>
          </w:tcPr>
          <w:p w14:paraId="070590D2">
            <w:pPr>
              <w:pStyle w:val="8"/>
              <w:keepNext/>
              <w:spacing w:after="0" w:line="440" w:lineRule="exact"/>
              <w:ind w:left="63" w:right="63"/>
              <w:rPr>
                <w:rFonts w:eastAsia="仿宋_GB2312"/>
                <w:color w:val="auto"/>
                <w:sz w:val="28"/>
                <w:szCs w:val="30"/>
                <w:highlight w:val="none"/>
              </w:rPr>
            </w:pPr>
          </w:p>
        </w:tc>
        <w:tc>
          <w:tcPr>
            <w:tcW w:w="774" w:type="dxa"/>
            <w:noWrap w:val="0"/>
            <w:vAlign w:val="top"/>
          </w:tcPr>
          <w:p w14:paraId="651E115A">
            <w:pPr>
              <w:pStyle w:val="8"/>
              <w:keepNext/>
              <w:spacing w:after="0" w:line="440" w:lineRule="exact"/>
              <w:ind w:left="63" w:right="63"/>
              <w:rPr>
                <w:rFonts w:eastAsia="仿宋_GB2312"/>
                <w:color w:val="auto"/>
                <w:sz w:val="28"/>
                <w:szCs w:val="30"/>
                <w:highlight w:val="none"/>
              </w:rPr>
            </w:pPr>
          </w:p>
        </w:tc>
        <w:tc>
          <w:tcPr>
            <w:tcW w:w="1352" w:type="dxa"/>
            <w:noWrap w:val="0"/>
            <w:vAlign w:val="top"/>
          </w:tcPr>
          <w:p w14:paraId="4531AB3F">
            <w:pPr>
              <w:pStyle w:val="8"/>
              <w:keepNext/>
              <w:spacing w:after="0" w:line="440" w:lineRule="exact"/>
              <w:ind w:left="63" w:right="63"/>
              <w:rPr>
                <w:rFonts w:eastAsia="仿宋_GB2312"/>
                <w:color w:val="auto"/>
                <w:sz w:val="28"/>
                <w:szCs w:val="30"/>
                <w:highlight w:val="none"/>
              </w:rPr>
            </w:pPr>
          </w:p>
        </w:tc>
        <w:tc>
          <w:tcPr>
            <w:tcW w:w="1418" w:type="dxa"/>
            <w:noWrap w:val="0"/>
            <w:vAlign w:val="top"/>
          </w:tcPr>
          <w:p w14:paraId="427AF9F1">
            <w:pPr>
              <w:pStyle w:val="8"/>
              <w:keepNext/>
              <w:spacing w:after="0" w:line="440" w:lineRule="exact"/>
              <w:ind w:left="63" w:right="63"/>
              <w:rPr>
                <w:rFonts w:eastAsia="仿宋_GB2312"/>
                <w:color w:val="auto"/>
                <w:sz w:val="28"/>
                <w:szCs w:val="30"/>
                <w:highlight w:val="none"/>
              </w:rPr>
            </w:pPr>
          </w:p>
        </w:tc>
        <w:tc>
          <w:tcPr>
            <w:tcW w:w="1701" w:type="dxa"/>
            <w:noWrap w:val="0"/>
            <w:vAlign w:val="top"/>
          </w:tcPr>
          <w:p w14:paraId="0197343D">
            <w:pPr>
              <w:pStyle w:val="8"/>
              <w:keepNext/>
              <w:spacing w:after="0" w:line="440" w:lineRule="exact"/>
              <w:ind w:left="63" w:right="63"/>
              <w:rPr>
                <w:rFonts w:eastAsia="仿宋_GB2312"/>
                <w:color w:val="auto"/>
                <w:sz w:val="28"/>
                <w:szCs w:val="30"/>
                <w:highlight w:val="none"/>
              </w:rPr>
            </w:pPr>
          </w:p>
        </w:tc>
      </w:tr>
      <w:tr w14:paraId="5383C9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2BB2B70">
            <w:pPr>
              <w:pStyle w:val="8"/>
              <w:keepNext/>
              <w:spacing w:after="0" w:line="440" w:lineRule="exact"/>
              <w:ind w:left="63" w:right="63"/>
              <w:rPr>
                <w:rFonts w:eastAsia="仿宋_GB2312"/>
                <w:color w:val="auto"/>
                <w:sz w:val="28"/>
                <w:szCs w:val="30"/>
                <w:highlight w:val="none"/>
              </w:rPr>
            </w:pPr>
          </w:p>
        </w:tc>
        <w:tc>
          <w:tcPr>
            <w:tcW w:w="1984" w:type="dxa"/>
            <w:noWrap w:val="0"/>
            <w:vAlign w:val="top"/>
          </w:tcPr>
          <w:p w14:paraId="2B1BEC2D">
            <w:pPr>
              <w:pStyle w:val="8"/>
              <w:keepNext/>
              <w:spacing w:after="0" w:line="440" w:lineRule="exact"/>
              <w:ind w:left="63" w:right="63"/>
              <w:rPr>
                <w:rFonts w:eastAsia="仿宋_GB2312"/>
                <w:color w:val="auto"/>
                <w:sz w:val="28"/>
                <w:szCs w:val="30"/>
                <w:highlight w:val="none"/>
              </w:rPr>
            </w:pPr>
          </w:p>
        </w:tc>
        <w:tc>
          <w:tcPr>
            <w:tcW w:w="851" w:type="dxa"/>
            <w:noWrap w:val="0"/>
            <w:vAlign w:val="top"/>
          </w:tcPr>
          <w:p w14:paraId="586C4FBF">
            <w:pPr>
              <w:pStyle w:val="8"/>
              <w:keepNext/>
              <w:spacing w:after="0" w:line="440" w:lineRule="exact"/>
              <w:ind w:left="63" w:right="63"/>
              <w:rPr>
                <w:rFonts w:eastAsia="仿宋_GB2312"/>
                <w:color w:val="auto"/>
                <w:sz w:val="28"/>
                <w:szCs w:val="30"/>
                <w:highlight w:val="none"/>
              </w:rPr>
            </w:pPr>
          </w:p>
        </w:tc>
        <w:tc>
          <w:tcPr>
            <w:tcW w:w="774" w:type="dxa"/>
            <w:noWrap w:val="0"/>
            <w:vAlign w:val="top"/>
          </w:tcPr>
          <w:p w14:paraId="72879DF9">
            <w:pPr>
              <w:pStyle w:val="8"/>
              <w:keepNext/>
              <w:spacing w:after="0" w:line="440" w:lineRule="exact"/>
              <w:ind w:left="63" w:right="63"/>
              <w:rPr>
                <w:rFonts w:eastAsia="仿宋_GB2312"/>
                <w:color w:val="auto"/>
                <w:sz w:val="28"/>
                <w:szCs w:val="30"/>
                <w:highlight w:val="none"/>
              </w:rPr>
            </w:pPr>
          </w:p>
        </w:tc>
        <w:tc>
          <w:tcPr>
            <w:tcW w:w="1352" w:type="dxa"/>
            <w:noWrap w:val="0"/>
            <w:vAlign w:val="top"/>
          </w:tcPr>
          <w:p w14:paraId="1A75112B">
            <w:pPr>
              <w:pStyle w:val="8"/>
              <w:keepNext/>
              <w:spacing w:after="0" w:line="440" w:lineRule="exact"/>
              <w:ind w:left="63" w:right="63"/>
              <w:rPr>
                <w:rFonts w:eastAsia="仿宋_GB2312"/>
                <w:color w:val="auto"/>
                <w:sz w:val="28"/>
                <w:szCs w:val="30"/>
                <w:highlight w:val="none"/>
              </w:rPr>
            </w:pPr>
          </w:p>
        </w:tc>
        <w:tc>
          <w:tcPr>
            <w:tcW w:w="1418" w:type="dxa"/>
            <w:noWrap w:val="0"/>
            <w:vAlign w:val="top"/>
          </w:tcPr>
          <w:p w14:paraId="5771A3DA">
            <w:pPr>
              <w:pStyle w:val="8"/>
              <w:keepNext/>
              <w:spacing w:after="0" w:line="440" w:lineRule="exact"/>
              <w:ind w:left="63" w:right="63"/>
              <w:rPr>
                <w:rFonts w:eastAsia="仿宋_GB2312"/>
                <w:color w:val="auto"/>
                <w:sz w:val="28"/>
                <w:szCs w:val="30"/>
                <w:highlight w:val="none"/>
              </w:rPr>
            </w:pPr>
          </w:p>
        </w:tc>
        <w:tc>
          <w:tcPr>
            <w:tcW w:w="1701" w:type="dxa"/>
            <w:noWrap w:val="0"/>
            <w:vAlign w:val="top"/>
          </w:tcPr>
          <w:p w14:paraId="44142E6B">
            <w:pPr>
              <w:pStyle w:val="8"/>
              <w:keepNext/>
              <w:spacing w:after="0" w:line="440" w:lineRule="exact"/>
              <w:ind w:left="63" w:right="63"/>
              <w:rPr>
                <w:rFonts w:eastAsia="仿宋_GB2312"/>
                <w:color w:val="auto"/>
                <w:sz w:val="28"/>
                <w:szCs w:val="30"/>
                <w:highlight w:val="none"/>
              </w:rPr>
            </w:pPr>
          </w:p>
        </w:tc>
      </w:tr>
      <w:tr w14:paraId="3612D2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5EC548C">
            <w:pPr>
              <w:pStyle w:val="8"/>
              <w:keepNext/>
              <w:spacing w:after="0" w:line="440" w:lineRule="exact"/>
              <w:ind w:left="63" w:right="63"/>
              <w:rPr>
                <w:rFonts w:eastAsia="仿宋_GB2312"/>
                <w:color w:val="auto"/>
                <w:sz w:val="28"/>
                <w:szCs w:val="30"/>
                <w:highlight w:val="none"/>
              </w:rPr>
            </w:pPr>
          </w:p>
        </w:tc>
        <w:tc>
          <w:tcPr>
            <w:tcW w:w="1984" w:type="dxa"/>
            <w:noWrap w:val="0"/>
            <w:vAlign w:val="top"/>
          </w:tcPr>
          <w:p w14:paraId="293DF04D">
            <w:pPr>
              <w:pStyle w:val="8"/>
              <w:keepNext/>
              <w:spacing w:after="0" w:line="440" w:lineRule="exact"/>
              <w:ind w:left="63" w:right="63"/>
              <w:rPr>
                <w:rFonts w:eastAsia="仿宋_GB2312"/>
                <w:color w:val="auto"/>
                <w:sz w:val="28"/>
                <w:szCs w:val="30"/>
                <w:highlight w:val="none"/>
              </w:rPr>
            </w:pPr>
          </w:p>
        </w:tc>
        <w:tc>
          <w:tcPr>
            <w:tcW w:w="851" w:type="dxa"/>
            <w:noWrap w:val="0"/>
            <w:vAlign w:val="top"/>
          </w:tcPr>
          <w:p w14:paraId="13F1BB8B">
            <w:pPr>
              <w:pStyle w:val="8"/>
              <w:keepNext/>
              <w:spacing w:after="0" w:line="440" w:lineRule="exact"/>
              <w:ind w:left="63" w:right="63"/>
              <w:rPr>
                <w:rFonts w:eastAsia="仿宋_GB2312"/>
                <w:color w:val="auto"/>
                <w:sz w:val="28"/>
                <w:szCs w:val="30"/>
                <w:highlight w:val="none"/>
              </w:rPr>
            </w:pPr>
          </w:p>
        </w:tc>
        <w:tc>
          <w:tcPr>
            <w:tcW w:w="774" w:type="dxa"/>
            <w:noWrap w:val="0"/>
            <w:vAlign w:val="top"/>
          </w:tcPr>
          <w:p w14:paraId="6287E208">
            <w:pPr>
              <w:pStyle w:val="8"/>
              <w:keepNext/>
              <w:spacing w:after="0" w:line="440" w:lineRule="exact"/>
              <w:ind w:left="63" w:right="63"/>
              <w:rPr>
                <w:rFonts w:eastAsia="仿宋_GB2312"/>
                <w:color w:val="auto"/>
                <w:sz w:val="28"/>
                <w:szCs w:val="30"/>
                <w:highlight w:val="none"/>
              </w:rPr>
            </w:pPr>
          </w:p>
        </w:tc>
        <w:tc>
          <w:tcPr>
            <w:tcW w:w="1352" w:type="dxa"/>
            <w:noWrap w:val="0"/>
            <w:vAlign w:val="top"/>
          </w:tcPr>
          <w:p w14:paraId="47C5F059">
            <w:pPr>
              <w:pStyle w:val="8"/>
              <w:keepNext/>
              <w:spacing w:after="0" w:line="440" w:lineRule="exact"/>
              <w:ind w:left="63" w:right="63"/>
              <w:rPr>
                <w:rFonts w:eastAsia="仿宋_GB2312"/>
                <w:color w:val="auto"/>
                <w:sz w:val="28"/>
                <w:szCs w:val="30"/>
                <w:highlight w:val="none"/>
              </w:rPr>
            </w:pPr>
          </w:p>
        </w:tc>
        <w:tc>
          <w:tcPr>
            <w:tcW w:w="1418" w:type="dxa"/>
            <w:noWrap w:val="0"/>
            <w:vAlign w:val="top"/>
          </w:tcPr>
          <w:p w14:paraId="60C0C4F3">
            <w:pPr>
              <w:pStyle w:val="8"/>
              <w:keepNext/>
              <w:spacing w:after="0" w:line="440" w:lineRule="exact"/>
              <w:ind w:left="63" w:right="63"/>
              <w:rPr>
                <w:rFonts w:eastAsia="仿宋_GB2312"/>
                <w:color w:val="auto"/>
                <w:sz w:val="28"/>
                <w:szCs w:val="30"/>
                <w:highlight w:val="none"/>
              </w:rPr>
            </w:pPr>
          </w:p>
        </w:tc>
        <w:tc>
          <w:tcPr>
            <w:tcW w:w="1701" w:type="dxa"/>
            <w:noWrap w:val="0"/>
            <w:vAlign w:val="top"/>
          </w:tcPr>
          <w:p w14:paraId="6257E698">
            <w:pPr>
              <w:pStyle w:val="8"/>
              <w:keepNext/>
              <w:spacing w:after="0" w:line="440" w:lineRule="exact"/>
              <w:ind w:left="63" w:right="63"/>
              <w:rPr>
                <w:rFonts w:eastAsia="仿宋_GB2312"/>
                <w:color w:val="auto"/>
                <w:sz w:val="28"/>
                <w:szCs w:val="30"/>
                <w:highlight w:val="none"/>
              </w:rPr>
            </w:pPr>
          </w:p>
        </w:tc>
      </w:tr>
      <w:tr w14:paraId="2819E2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680A56E">
            <w:pPr>
              <w:pStyle w:val="8"/>
              <w:keepNext/>
              <w:spacing w:after="0" w:line="440" w:lineRule="exact"/>
              <w:ind w:left="63" w:right="63"/>
              <w:rPr>
                <w:rFonts w:eastAsia="仿宋_GB2312"/>
                <w:color w:val="auto"/>
                <w:sz w:val="28"/>
                <w:szCs w:val="30"/>
                <w:highlight w:val="none"/>
              </w:rPr>
            </w:pPr>
          </w:p>
        </w:tc>
        <w:tc>
          <w:tcPr>
            <w:tcW w:w="1984" w:type="dxa"/>
            <w:noWrap w:val="0"/>
            <w:vAlign w:val="top"/>
          </w:tcPr>
          <w:p w14:paraId="6BFA03E1">
            <w:pPr>
              <w:pStyle w:val="8"/>
              <w:keepNext/>
              <w:spacing w:after="0" w:line="440" w:lineRule="exact"/>
              <w:ind w:left="63" w:right="63"/>
              <w:rPr>
                <w:rFonts w:eastAsia="仿宋_GB2312"/>
                <w:color w:val="auto"/>
                <w:sz w:val="28"/>
                <w:szCs w:val="30"/>
                <w:highlight w:val="none"/>
              </w:rPr>
            </w:pPr>
          </w:p>
        </w:tc>
        <w:tc>
          <w:tcPr>
            <w:tcW w:w="851" w:type="dxa"/>
            <w:noWrap w:val="0"/>
            <w:vAlign w:val="top"/>
          </w:tcPr>
          <w:p w14:paraId="6C2738A8">
            <w:pPr>
              <w:pStyle w:val="8"/>
              <w:keepNext/>
              <w:spacing w:after="0" w:line="440" w:lineRule="exact"/>
              <w:ind w:left="63" w:right="63"/>
              <w:rPr>
                <w:rFonts w:eastAsia="仿宋_GB2312"/>
                <w:color w:val="auto"/>
                <w:sz w:val="28"/>
                <w:szCs w:val="30"/>
                <w:highlight w:val="none"/>
              </w:rPr>
            </w:pPr>
          </w:p>
        </w:tc>
        <w:tc>
          <w:tcPr>
            <w:tcW w:w="774" w:type="dxa"/>
            <w:noWrap w:val="0"/>
            <w:vAlign w:val="top"/>
          </w:tcPr>
          <w:p w14:paraId="125194EB">
            <w:pPr>
              <w:pStyle w:val="8"/>
              <w:keepNext/>
              <w:spacing w:after="0" w:line="440" w:lineRule="exact"/>
              <w:ind w:left="63" w:right="63"/>
              <w:rPr>
                <w:rFonts w:eastAsia="仿宋_GB2312"/>
                <w:color w:val="auto"/>
                <w:sz w:val="28"/>
                <w:szCs w:val="30"/>
                <w:highlight w:val="none"/>
              </w:rPr>
            </w:pPr>
          </w:p>
        </w:tc>
        <w:tc>
          <w:tcPr>
            <w:tcW w:w="1352" w:type="dxa"/>
            <w:noWrap w:val="0"/>
            <w:vAlign w:val="top"/>
          </w:tcPr>
          <w:p w14:paraId="41C3C0D5">
            <w:pPr>
              <w:pStyle w:val="8"/>
              <w:keepNext/>
              <w:spacing w:after="0" w:line="440" w:lineRule="exact"/>
              <w:ind w:left="63" w:right="63"/>
              <w:rPr>
                <w:rFonts w:eastAsia="仿宋_GB2312"/>
                <w:color w:val="auto"/>
                <w:sz w:val="28"/>
                <w:szCs w:val="30"/>
                <w:highlight w:val="none"/>
              </w:rPr>
            </w:pPr>
          </w:p>
        </w:tc>
        <w:tc>
          <w:tcPr>
            <w:tcW w:w="1418" w:type="dxa"/>
            <w:noWrap w:val="0"/>
            <w:vAlign w:val="top"/>
          </w:tcPr>
          <w:p w14:paraId="638908F2">
            <w:pPr>
              <w:pStyle w:val="8"/>
              <w:keepNext/>
              <w:spacing w:after="0" w:line="440" w:lineRule="exact"/>
              <w:ind w:left="63" w:right="63"/>
              <w:rPr>
                <w:rFonts w:eastAsia="仿宋_GB2312"/>
                <w:color w:val="auto"/>
                <w:sz w:val="28"/>
                <w:szCs w:val="30"/>
                <w:highlight w:val="none"/>
              </w:rPr>
            </w:pPr>
          </w:p>
        </w:tc>
        <w:tc>
          <w:tcPr>
            <w:tcW w:w="1701" w:type="dxa"/>
            <w:noWrap w:val="0"/>
            <w:vAlign w:val="top"/>
          </w:tcPr>
          <w:p w14:paraId="21A569C0">
            <w:pPr>
              <w:pStyle w:val="8"/>
              <w:keepNext/>
              <w:spacing w:after="0" w:line="440" w:lineRule="exact"/>
              <w:ind w:left="63" w:right="63"/>
              <w:rPr>
                <w:rFonts w:eastAsia="仿宋_GB2312"/>
                <w:color w:val="auto"/>
                <w:sz w:val="28"/>
                <w:szCs w:val="30"/>
                <w:highlight w:val="none"/>
              </w:rPr>
            </w:pPr>
          </w:p>
        </w:tc>
      </w:tr>
      <w:tr w14:paraId="0A577A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D14EE81">
            <w:pPr>
              <w:pStyle w:val="8"/>
              <w:keepNext/>
              <w:spacing w:after="0" w:line="440" w:lineRule="exact"/>
              <w:ind w:left="63" w:right="63"/>
              <w:rPr>
                <w:rFonts w:eastAsia="仿宋_GB2312"/>
                <w:color w:val="auto"/>
                <w:sz w:val="28"/>
                <w:szCs w:val="30"/>
                <w:highlight w:val="none"/>
              </w:rPr>
            </w:pPr>
          </w:p>
        </w:tc>
        <w:tc>
          <w:tcPr>
            <w:tcW w:w="1984" w:type="dxa"/>
            <w:noWrap w:val="0"/>
            <w:vAlign w:val="top"/>
          </w:tcPr>
          <w:p w14:paraId="628FCF3E">
            <w:pPr>
              <w:pStyle w:val="8"/>
              <w:keepNext/>
              <w:spacing w:after="0" w:line="440" w:lineRule="exact"/>
              <w:ind w:left="63" w:right="63"/>
              <w:rPr>
                <w:rFonts w:eastAsia="仿宋_GB2312"/>
                <w:color w:val="auto"/>
                <w:sz w:val="28"/>
                <w:szCs w:val="30"/>
                <w:highlight w:val="none"/>
              </w:rPr>
            </w:pPr>
          </w:p>
        </w:tc>
        <w:tc>
          <w:tcPr>
            <w:tcW w:w="851" w:type="dxa"/>
            <w:noWrap w:val="0"/>
            <w:vAlign w:val="top"/>
          </w:tcPr>
          <w:p w14:paraId="2088B4EE">
            <w:pPr>
              <w:pStyle w:val="8"/>
              <w:keepNext/>
              <w:spacing w:after="0" w:line="440" w:lineRule="exact"/>
              <w:ind w:left="63" w:right="63"/>
              <w:rPr>
                <w:rFonts w:eastAsia="仿宋_GB2312"/>
                <w:color w:val="auto"/>
                <w:sz w:val="28"/>
                <w:szCs w:val="30"/>
                <w:highlight w:val="none"/>
              </w:rPr>
            </w:pPr>
          </w:p>
        </w:tc>
        <w:tc>
          <w:tcPr>
            <w:tcW w:w="774" w:type="dxa"/>
            <w:noWrap w:val="0"/>
            <w:vAlign w:val="top"/>
          </w:tcPr>
          <w:p w14:paraId="6C2A7A13">
            <w:pPr>
              <w:pStyle w:val="8"/>
              <w:keepNext/>
              <w:spacing w:after="0" w:line="440" w:lineRule="exact"/>
              <w:ind w:left="63" w:right="63"/>
              <w:rPr>
                <w:rFonts w:eastAsia="仿宋_GB2312"/>
                <w:color w:val="auto"/>
                <w:sz w:val="28"/>
                <w:szCs w:val="30"/>
                <w:highlight w:val="none"/>
              </w:rPr>
            </w:pPr>
          </w:p>
        </w:tc>
        <w:tc>
          <w:tcPr>
            <w:tcW w:w="1352" w:type="dxa"/>
            <w:noWrap w:val="0"/>
            <w:vAlign w:val="top"/>
          </w:tcPr>
          <w:p w14:paraId="2334FB8E">
            <w:pPr>
              <w:pStyle w:val="8"/>
              <w:keepNext/>
              <w:spacing w:after="0" w:line="440" w:lineRule="exact"/>
              <w:ind w:left="63" w:right="63"/>
              <w:rPr>
                <w:rFonts w:eastAsia="仿宋_GB2312"/>
                <w:color w:val="auto"/>
                <w:sz w:val="28"/>
                <w:szCs w:val="30"/>
                <w:highlight w:val="none"/>
              </w:rPr>
            </w:pPr>
          </w:p>
        </w:tc>
        <w:tc>
          <w:tcPr>
            <w:tcW w:w="1418" w:type="dxa"/>
            <w:noWrap w:val="0"/>
            <w:vAlign w:val="top"/>
          </w:tcPr>
          <w:p w14:paraId="6DBB62DA">
            <w:pPr>
              <w:pStyle w:val="8"/>
              <w:keepNext/>
              <w:spacing w:after="0" w:line="440" w:lineRule="exact"/>
              <w:ind w:left="63" w:right="63"/>
              <w:rPr>
                <w:rFonts w:eastAsia="仿宋_GB2312"/>
                <w:color w:val="auto"/>
                <w:sz w:val="28"/>
                <w:szCs w:val="30"/>
                <w:highlight w:val="none"/>
              </w:rPr>
            </w:pPr>
          </w:p>
        </w:tc>
        <w:tc>
          <w:tcPr>
            <w:tcW w:w="1701" w:type="dxa"/>
            <w:noWrap w:val="0"/>
            <w:vAlign w:val="top"/>
          </w:tcPr>
          <w:p w14:paraId="2902F5FD">
            <w:pPr>
              <w:pStyle w:val="8"/>
              <w:keepNext/>
              <w:spacing w:after="0" w:line="440" w:lineRule="exact"/>
              <w:ind w:left="63" w:right="63"/>
              <w:rPr>
                <w:rFonts w:eastAsia="仿宋_GB2312"/>
                <w:color w:val="auto"/>
                <w:sz w:val="28"/>
                <w:szCs w:val="30"/>
                <w:highlight w:val="none"/>
              </w:rPr>
            </w:pPr>
          </w:p>
        </w:tc>
      </w:tr>
      <w:tr w14:paraId="358462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C1A329E">
            <w:pPr>
              <w:pStyle w:val="8"/>
              <w:keepNext/>
              <w:spacing w:after="0" w:line="440" w:lineRule="exact"/>
              <w:ind w:left="63" w:right="63"/>
              <w:rPr>
                <w:rFonts w:eastAsia="仿宋_GB2312"/>
                <w:color w:val="auto"/>
                <w:sz w:val="28"/>
                <w:szCs w:val="30"/>
                <w:highlight w:val="none"/>
              </w:rPr>
            </w:pPr>
          </w:p>
        </w:tc>
        <w:tc>
          <w:tcPr>
            <w:tcW w:w="1984" w:type="dxa"/>
            <w:noWrap w:val="0"/>
            <w:vAlign w:val="top"/>
          </w:tcPr>
          <w:p w14:paraId="1604E58D">
            <w:pPr>
              <w:pStyle w:val="8"/>
              <w:keepNext/>
              <w:spacing w:after="0" w:line="440" w:lineRule="exact"/>
              <w:ind w:left="63" w:right="63"/>
              <w:rPr>
                <w:rFonts w:eastAsia="仿宋_GB2312"/>
                <w:color w:val="auto"/>
                <w:sz w:val="28"/>
                <w:szCs w:val="30"/>
                <w:highlight w:val="none"/>
              </w:rPr>
            </w:pPr>
          </w:p>
        </w:tc>
        <w:tc>
          <w:tcPr>
            <w:tcW w:w="851" w:type="dxa"/>
            <w:noWrap w:val="0"/>
            <w:vAlign w:val="top"/>
          </w:tcPr>
          <w:p w14:paraId="5A02F243">
            <w:pPr>
              <w:pStyle w:val="8"/>
              <w:keepNext/>
              <w:spacing w:after="0" w:line="440" w:lineRule="exact"/>
              <w:ind w:left="63" w:right="63"/>
              <w:rPr>
                <w:rFonts w:eastAsia="仿宋_GB2312"/>
                <w:color w:val="auto"/>
                <w:sz w:val="28"/>
                <w:szCs w:val="30"/>
                <w:highlight w:val="none"/>
              </w:rPr>
            </w:pPr>
          </w:p>
        </w:tc>
        <w:tc>
          <w:tcPr>
            <w:tcW w:w="774" w:type="dxa"/>
            <w:noWrap w:val="0"/>
            <w:vAlign w:val="top"/>
          </w:tcPr>
          <w:p w14:paraId="2C480355">
            <w:pPr>
              <w:pStyle w:val="8"/>
              <w:keepNext/>
              <w:spacing w:after="0" w:line="440" w:lineRule="exact"/>
              <w:ind w:left="63" w:right="63"/>
              <w:rPr>
                <w:rFonts w:eastAsia="仿宋_GB2312"/>
                <w:color w:val="auto"/>
                <w:sz w:val="28"/>
                <w:szCs w:val="30"/>
                <w:highlight w:val="none"/>
              </w:rPr>
            </w:pPr>
          </w:p>
        </w:tc>
        <w:tc>
          <w:tcPr>
            <w:tcW w:w="1352" w:type="dxa"/>
            <w:noWrap w:val="0"/>
            <w:vAlign w:val="top"/>
          </w:tcPr>
          <w:p w14:paraId="1B6D05DB">
            <w:pPr>
              <w:pStyle w:val="8"/>
              <w:keepNext/>
              <w:spacing w:after="0" w:line="440" w:lineRule="exact"/>
              <w:ind w:left="63" w:right="63"/>
              <w:rPr>
                <w:rFonts w:eastAsia="仿宋_GB2312"/>
                <w:color w:val="auto"/>
                <w:sz w:val="28"/>
                <w:szCs w:val="30"/>
                <w:highlight w:val="none"/>
              </w:rPr>
            </w:pPr>
          </w:p>
        </w:tc>
        <w:tc>
          <w:tcPr>
            <w:tcW w:w="1418" w:type="dxa"/>
            <w:noWrap w:val="0"/>
            <w:vAlign w:val="top"/>
          </w:tcPr>
          <w:p w14:paraId="43DBBC3D">
            <w:pPr>
              <w:pStyle w:val="8"/>
              <w:keepNext/>
              <w:spacing w:after="0" w:line="440" w:lineRule="exact"/>
              <w:ind w:left="63" w:right="63"/>
              <w:rPr>
                <w:rFonts w:eastAsia="仿宋_GB2312"/>
                <w:color w:val="auto"/>
                <w:sz w:val="28"/>
                <w:szCs w:val="30"/>
                <w:highlight w:val="none"/>
              </w:rPr>
            </w:pPr>
          </w:p>
        </w:tc>
        <w:tc>
          <w:tcPr>
            <w:tcW w:w="1701" w:type="dxa"/>
            <w:noWrap w:val="0"/>
            <w:vAlign w:val="top"/>
          </w:tcPr>
          <w:p w14:paraId="6522E62D">
            <w:pPr>
              <w:pStyle w:val="8"/>
              <w:keepNext/>
              <w:spacing w:after="0" w:line="440" w:lineRule="exact"/>
              <w:ind w:left="63" w:right="63"/>
              <w:rPr>
                <w:rFonts w:eastAsia="仿宋_GB2312"/>
                <w:color w:val="auto"/>
                <w:sz w:val="28"/>
                <w:szCs w:val="30"/>
                <w:highlight w:val="none"/>
              </w:rPr>
            </w:pPr>
          </w:p>
        </w:tc>
      </w:tr>
      <w:tr w14:paraId="3317AE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08958FC">
            <w:pPr>
              <w:pStyle w:val="8"/>
              <w:keepNext/>
              <w:spacing w:after="0" w:line="440" w:lineRule="exact"/>
              <w:ind w:left="63" w:right="63"/>
              <w:rPr>
                <w:rFonts w:eastAsia="仿宋_GB2312"/>
                <w:color w:val="auto"/>
                <w:sz w:val="28"/>
                <w:szCs w:val="30"/>
                <w:highlight w:val="none"/>
              </w:rPr>
            </w:pPr>
          </w:p>
        </w:tc>
        <w:tc>
          <w:tcPr>
            <w:tcW w:w="1984" w:type="dxa"/>
            <w:noWrap w:val="0"/>
            <w:vAlign w:val="top"/>
          </w:tcPr>
          <w:p w14:paraId="021F886A">
            <w:pPr>
              <w:pStyle w:val="8"/>
              <w:keepNext/>
              <w:spacing w:after="0" w:line="440" w:lineRule="exact"/>
              <w:ind w:left="63" w:right="63"/>
              <w:rPr>
                <w:rFonts w:eastAsia="仿宋_GB2312"/>
                <w:color w:val="auto"/>
                <w:sz w:val="28"/>
                <w:szCs w:val="30"/>
                <w:highlight w:val="none"/>
              </w:rPr>
            </w:pPr>
          </w:p>
        </w:tc>
        <w:tc>
          <w:tcPr>
            <w:tcW w:w="851" w:type="dxa"/>
            <w:noWrap w:val="0"/>
            <w:vAlign w:val="top"/>
          </w:tcPr>
          <w:p w14:paraId="46D0407A">
            <w:pPr>
              <w:pStyle w:val="8"/>
              <w:keepNext/>
              <w:spacing w:after="0" w:line="440" w:lineRule="exact"/>
              <w:ind w:left="63" w:right="63"/>
              <w:rPr>
                <w:rFonts w:eastAsia="仿宋_GB2312"/>
                <w:color w:val="auto"/>
                <w:sz w:val="28"/>
                <w:szCs w:val="30"/>
                <w:highlight w:val="none"/>
              </w:rPr>
            </w:pPr>
          </w:p>
        </w:tc>
        <w:tc>
          <w:tcPr>
            <w:tcW w:w="774" w:type="dxa"/>
            <w:noWrap w:val="0"/>
            <w:vAlign w:val="top"/>
          </w:tcPr>
          <w:p w14:paraId="7A8A3126">
            <w:pPr>
              <w:pStyle w:val="8"/>
              <w:keepNext/>
              <w:spacing w:after="0" w:line="440" w:lineRule="exact"/>
              <w:ind w:left="63" w:right="63"/>
              <w:rPr>
                <w:rFonts w:eastAsia="仿宋_GB2312"/>
                <w:color w:val="auto"/>
                <w:sz w:val="28"/>
                <w:szCs w:val="30"/>
                <w:highlight w:val="none"/>
              </w:rPr>
            </w:pPr>
          </w:p>
        </w:tc>
        <w:tc>
          <w:tcPr>
            <w:tcW w:w="1352" w:type="dxa"/>
            <w:noWrap w:val="0"/>
            <w:vAlign w:val="top"/>
          </w:tcPr>
          <w:p w14:paraId="29EDE76E">
            <w:pPr>
              <w:pStyle w:val="8"/>
              <w:keepNext/>
              <w:spacing w:after="0" w:line="440" w:lineRule="exact"/>
              <w:ind w:left="63" w:right="63"/>
              <w:rPr>
                <w:rFonts w:eastAsia="仿宋_GB2312"/>
                <w:color w:val="auto"/>
                <w:sz w:val="28"/>
                <w:szCs w:val="30"/>
                <w:highlight w:val="none"/>
              </w:rPr>
            </w:pPr>
          </w:p>
        </w:tc>
        <w:tc>
          <w:tcPr>
            <w:tcW w:w="1418" w:type="dxa"/>
            <w:noWrap w:val="0"/>
            <w:vAlign w:val="top"/>
          </w:tcPr>
          <w:p w14:paraId="062EED87">
            <w:pPr>
              <w:pStyle w:val="8"/>
              <w:keepNext/>
              <w:spacing w:after="0" w:line="440" w:lineRule="exact"/>
              <w:ind w:left="63" w:right="63"/>
              <w:rPr>
                <w:rFonts w:eastAsia="仿宋_GB2312"/>
                <w:color w:val="auto"/>
                <w:sz w:val="28"/>
                <w:szCs w:val="30"/>
                <w:highlight w:val="none"/>
              </w:rPr>
            </w:pPr>
          </w:p>
        </w:tc>
        <w:tc>
          <w:tcPr>
            <w:tcW w:w="1701" w:type="dxa"/>
            <w:noWrap w:val="0"/>
            <w:vAlign w:val="top"/>
          </w:tcPr>
          <w:p w14:paraId="69219F61">
            <w:pPr>
              <w:pStyle w:val="8"/>
              <w:keepNext/>
              <w:spacing w:after="0" w:line="440" w:lineRule="exact"/>
              <w:ind w:left="63" w:right="63"/>
              <w:rPr>
                <w:rFonts w:eastAsia="仿宋_GB2312"/>
                <w:color w:val="auto"/>
                <w:sz w:val="28"/>
                <w:szCs w:val="30"/>
                <w:highlight w:val="none"/>
              </w:rPr>
            </w:pPr>
          </w:p>
        </w:tc>
      </w:tr>
      <w:tr w14:paraId="77359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3BC3EAC">
            <w:pPr>
              <w:pStyle w:val="8"/>
              <w:keepNext/>
              <w:spacing w:after="0" w:line="440" w:lineRule="exact"/>
              <w:ind w:left="63" w:right="63"/>
              <w:rPr>
                <w:rFonts w:eastAsia="仿宋_GB2312"/>
                <w:color w:val="auto"/>
                <w:sz w:val="28"/>
                <w:szCs w:val="30"/>
                <w:highlight w:val="none"/>
              </w:rPr>
            </w:pPr>
          </w:p>
        </w:tc>
        <w:tc>
          <w:tcPr>
            <w:tcW w:w="1984" w:type="dxa"/>
            <w:noWrap w:val="0"/>
            <w:vAlign w:val="top"/>
          </w:tcPr>
          <w:p w14:paraId="545DADA6">
            <w:pPr>
              <w:pStyle w:val="8"/>
              <w:keepNext/>
              <w:spacing w:after="0" w:line="440" w:lineRule="exact"/>
              <w:ind w:left="63" w:right="63"/>
              <w:rPr>
                <w:rFonts w:eastAsia="仿宋_GB2312"/>
                <w:color w:val="auto"/>
                <w:sz w:val="28"/>
                <w:szCs w:val="30"/>
                <w:highlight w:val="none"/>
              </w:rPr>
            </w:pPr>
          </w:p>
        </w:tc>
        <w:tc>
          <w:tcPr>
            <w:tcW w:w="851" w:type="dxa"/>
            <w:noWrap w:val="0"/>
            <w:vAlign w:val="top"/>
          </w:tcPr>
          <w:p w14:paraId="101BB39E">
            <w:pPr>
              <w:pStyle w:val="8"/>
              <w:keepNext/>
              <w:spacing w:after="0" w:line="440" w:lineRule="exact"/>
              <w:ind w:left="63" w:right="63"/>
              <w:rPr>
                <w:rFonts w:eastAsia="仿宋_GB2312"/>
                <w:color w:val="auto"/>
                <w:sz w:val="28"/>
                <w:szCs w:val="30"/>
                <w:highlight w:val="none"/>
              </w:rPr>
            </w:pPr>
          </w:p>
        </w:tc>
        <w:tc>
          <w:tcPr>
            <w:tcW w:w="774" w:type="dxa"/>
            <w:noWrap w:val="0"/>
            <w:vAlign w:val="top"/>
          </w:tcPr>
          <w:p w14:paraId="4D581DCF">
            <w:pPr>
              <w:pStyle w:val="8"/>
              <w:keepNext/>
              <w:spacing w:after="0" w:line="440" w:lineRule="exact"/>
              <w:ind w:left="63" w:right="63"/>
              <w:rPr>
                <w:rFonts w:eastAsia="仿宋_GB2312"/>
                <w:color w:val="auto"/>
                <w:sz w:val="28"/>
                <w:szCs w:val="30"/>
                <w:highlight w:val="none"/>
              </w:rPr>
            </w:pPr>
          </w:p>
        </w:tc>
        <w:tc>
          <w:tcPr>
            <w:tcW w:w="1352" w:type="dxa"/>
            <w:noWrap w:val="0"/>
            <w:vAlign w:val="top"/>
          </w:tcPr>
          <w:p w14:paraId="21CC24D0">
            <w:pPr>
              <w:pStyle w:val="8"/>
              <w:keepNext/>
              <w:spacing w:after="0" w:line="440" w:lineRule="exact"/>
              <w:ind w:left="63" w:right="63"/>
              <w:rPr>
                <w:rFonts w:eastAsia="仿宋_GB2312"/>
                <w:color w:val="auto"/>
                <w:sz w:val="28"/>
                <w:szCs w:val="30"/>
                <w:highlight w:val="none"/>
              </w:rPr>
            </w:pPr>
          </w:p>
        </w:tc>
        <w:tc>
          <w:tcPr>
            <w:tcW w:w="1418" w:type="dxa"/>
            <w:noWrap w:val="0"/>
            <w:vAlign w:val="top"/>
          </w:tcPr>
          <w:p w14:paraId="139F0C25">
            <w:pPr>
              <w:pStyle w:val="8"/>
              <w:keepNext/>
              <w:spacing w:after="0" w:line="440" w:lineRule="exact"/>
              <w:ind w:left="63" w:right="63"/>
              <w:rPr>
                <w:rFonts w:eastAsia="仿宋_GB2312"/>
                <w:color w:val="auto"/>
                <w:sz w:val="28"/>
                <w:szCs w:val="30"/>
                <w:highlight w:val="none"/>
              </w:rPr>
            </w:pPr>
          </w:p>
        </w:tc>
        <w:tc>
          <w:tcPr>
            <w:tcW w:w="1701" w:type="dxa"/>
            <w:noWrap w:val="0"/>
            <w:vAlign w:val="top"/>
          </w:tcPr>
          <w:p w14:paraId="1E521FE9">
            <w:pPr>
              <w:pStyle w:val="8"/>
              <w:keepNext/>
              <w:spacing w:after="0" w:line="440" w:lineRule="exact"/>
              <w:ind w:left="63" w:right="63"/>
              <w:rPr>
                <w:rFonts w:eastAsia="仿宋_GB2312"/>
                <w:color w:val="auto"/>
                <w:sz w:val="28"/>
                <w:szCs w:val="30"/>
                <w:highlight w:val="none"/>
              </w:rPr>
            </w:pPr>
          </w:p>
        </w:tc>
      </w:tr>
      <w:tr w14:paraId="739A40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A1A2DF7">
            <w:pPr>
              <w:pStyle w:val="8"/>
              <w:keepNext/>
              <w:spacing w:after="0" w:line="440" w:lineRule="exact"/>
              <w:ind w:left="63" w:right="63"/>
              <w:rPr>
                <w:rFonts w:eastAsia="仿宋_GB2312"/>
                <w:color w:val="auto"/>
                <w:sz w:val="28"/>
                <w:szCs w:val="30"/>
                <w:highlight w:val="none"/>
              </w:rPr>
            </w:pPr>
          </w:p>
        </w:tc>
        <w:tc>
          <w:tcPr>
            <w:tcW w:w="1984" w:type="dxa"/>
            <w:noWrap w:val="0"/>
            <w:vAlign w:val="top"/>
          </w:tcPr>
          <w:p w14:paraId="25E14396">
            <w:pPr>
              <w:pStyle w:val="8"/>
              <w:keepNext/>
              <w:spacing w:after="0" w:line="440" w:lineRule="exact"/>
              <w:ind w:left="63" w:right="63"/>
              <w:rPr>
                <w:rFonts w:eastAsia="仿宋_GB2312"/>
                <w:color w:val="auto"/>
                <w:sz w:val="28"/>
                <w:szCs w:val="30"/>
                <w:highlight w:val="none"/>
              </w:rPr>
            </w:pPr>
          </w:p>
        </w:tc>
        <w:tc>
          <w:tcPr>
            <w:tcW w:w="851" w:type="dxa"/>
            <w:noWrap w:val="0"/>
            <w:vAlign w:val="top"/>
          </w:tcPr>
          <w:p w14:paraId="087A3972">
            <w:pPr>
              <w:pStyle w:val="8"/>
              <w:keepNext/>
              <w:spacing w:after="0" w:line="440" w:lineRule="exact"/>
              <w:ind w:left="63" w:right="63"/>
              <w:rPr>
                <w:rFonts w:eastAsia="仿宋_GB2312"/>
                <w:color w:val="auto"/>
                <w:sz w:val="28"/>
                <w:szCs w:val="30"/>
                <w:highlight w:val="none"/>
              </w:rPr>
            </w:pPr>
          </w:p>
        </w:tc>
        <w:tc>
          <w:tcPr>
            <w:tcW w:w="774" w:type="dxa"/>
            <w:noWrap w:val="0"/>
            <w:vAlign w:val="top"/>
          </w:tcPr>
          <w:p w14:paraId="4E6275D7">
            <w:pPr>
              <w:pStyle w:val="8"/>
              <w:keepNext/>
              <w:spacing w:after="0" w:line="440" w:lineRule="exact"/>
              <w:ind w:left="63" w:right="63"/>
              <w:rPr>
                <w:rFonts w:eastAsia="仿宋_GB2312"/>
                <w:color w:val="auto"/>
                <w:sz w:val="28"/>
                <w:szCs w:val="30"/>
                <w:highlight w:val="none"/>
              </w:rPr>
            </w:pPr>
          </w:p>
        </w:tc>
        <w:tc>
          <w:tcPr>
            <w:tcW w:w="1352" w:type="dxa"/>
            <w:noWrap w:val="0"/>
            <w:vAlign w:val="top"/>
          </w:tcPr>
          <w:p w14:paraId="330FE3B5">
            <w:pPr>
              <w:pStyle w:val="8"/>
              <w:keepNext/>
              <w:spacing w:after="0" w:line="440" w:lineRule="exact"/>
              <w:ind w:left="63" w:right="63"/>
              <w:rPr>
                <w:rFonts w:eastAsia="仿宋_GB2312"/>
                <w:color w:val="auto"/>
                <w:sz w:val="28"/>
                <w:szCs w:val="30"/>
                <w:highlight w:val="none"/>
              </w:rPr>
            </w:pPr>
          </w:p>
        </w:tc>
        <w:tc>
          <w:tcPr>
            <w:tcW w:w="1418" w:type="dxa"/>
            <w:noWrap w:val="0"/>
            <w:vAlign w:val="top"/>
          </w:tcPr>
          <w:p w14:paraId="4BA8B9D0">
            <w:pPr>
              <w:pStyle w:val="8"/>
              <w:keepNext/>
              <w:spacing w:after="0" w:line="440" w:lineRule="exact"/>
              <w:ind w:left="63" w:right="63"/>
              <w:rPr>
                <w:rFonts w:eastAsia="仿宋_GB2312"/>
                <w:color w:val="auto"/>
                <w:sz w:val="28"/>
                <w:szCs w:val="30"/>
                <w:highlight w:val="none"/>
              </w:rPr>
            </w:pPr>
          </w:p>
        </w:tc>
        <w:tc>
          <w:tcPr>
            <w:tcW w:w="1701" w:type="dxa"/>
            <w:noWrap w:val="0"/>
            <w:vAlign w:val="top"/>
          </w:tcPr>
          <w:p w14:paraId="644B88F5">
            <w:pPr>
              <w:pStyle w:val="8"/>
              <w:keepNext/>
              <w:spacing w:after="0" w:line="440" w:lineRule="exact"/>
              <w:ind w:left="63" w:right="63"/>
              <w:rPr>
                <w:rFonts w:eastAsia="仿宋_GB2312"/>
                <w:color w:val="auto"/>
                <w:sz w:val="28"/>
                <w:szCs w:val="30"/>
                <w:highlight w:val="none"/>
              </w:rPr>
            </w:pPr>
          </w:p>
        </w:tc>
      </w:tr>
      <w:tr w14:paraId="6E9540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51411FA">
            <w:pPr>
              <w:pStyle w:val="8"/>
              <w:keepNext/>
              <w:spacing w:after="0" w:line="440" w:lineRule="exact"/>
              <w:ind w:left="63" w:right="63"/>
              <w:rPr>
                <w:rFonts w:eastAsia="仿宋_GB2312"/>
                <w:color w:val="auto"/>
                <w:sz w:val="28"/>
                <w:szCs w:val="30"/>
                <w:highlight w:val="none"/>
              </w:rPr>
            </w:pPr>
          </w:p>
        </w:tc>
        <w:tc>
          <w:tcPr>
            <w:tcW w:w="1984" w:type="dxa"/>
            <w:noWrap w:val="0"/>
            <w:vAlign w:val="top"/>
          </w:tcPr>
          <w:p w14:paraId="5A4ECA65">
            <w:pPr>
              <w:pStyle w:val="8"/>
              <w:keepNext/>
              <w:spacing w:after="0" w:line="440" w:lineRule="exact"/>
              <w:ind w:left="63" w:right="63"/>
              <w:rPr>
                <w:rFonts w:eastAsia="仿宋_GB2312"/>
                <w:color w:val="auto"/>
                <w:sz w:val="28"/>
                <w:szCs w:val="30"/>
                <w:highlight w:val="none"/>
              </w:rPr>
            </w:pPr>
          </w:p>
        </w:tc>
        <w:tc>
          <w:tcPr>
            <w:tcW w:w="851" w:type="dxa"/>
            <w:noWrap w:val="0"/>
            <w:vAlign w:val="top"/>
          </w:tcPr>
          <w:p w14:paraId="16DB5545">
            <w:pPr>
              <w:pStyle w:val="8"/>
              <w:keepNext/>
              <w:spacing w:after="0" w:line="440" w:lineRule="exact"/>
              <w:ind w:left="63" w:right="63"/>
              <w:rPr>
                <w:rFonts w:eastAsia="仿宋_GB2312"/>
                <w:color w:val="auto"/>
                <w:sz w:val="28"/>
                <w:szCs w:val="30"/>
                <w:highlight w:val="none"/>
              </w:rPr>
            </w:pPr>
          </w:p>
        </w:tc>
        <w:tc>
          <w:tcPr>
            <w:tcW w:w="774" w:type="dxa"/>
            <w:noWrap w:val="0"/>
            <w:vAlign w:val="top"/>
          </w:tcPr>
          <w:p w14:paraId="06149506">
            <w:pPr>
              <w:pStyle w:val="8"/>
              <w:keepNext/>
              <w:spacing w:after="0" w:line="440" w:lineRule="exact"/>
              <w:ind w:left="63" w:right="63"/>
              <w:rPr>
                <w:rFonts w:eastAsia="仿宋_GB2312"/>
                <w:color w:val="auto"/>
                <w:sz w:val="28"/>
                <w:szCs w:val="30"/>
                <w:highlight w:val="none"/>
              </w:rPr>
            </w:pPr>
          </w:p>
        </w:tc>
        <w:tc>
          <w:tcPr>
            <w:tcW w:w="1352" w:type="dxa"/>
            <w:noWrap w:val="0"/>
            <w:vAlign w:val="top"/>
          </w:tcPr>
          <w:p w14:paraId="5DBE9D93">
            <w:pPr>
              <w:pStyle w:val="8"/>
              <w:keepNext/>
              <w:spacing w:after="0" w:line="440" w:lineRule="exact"/>
              <w:ind w:left="63" w:right="63"/>
              <w:rPr>
                <w:rFonts w:eastAsia="仿宋_GB2312"/>
                <w:color w:val="auto"/>
                <w:sz w:val="28"/>
                <w:szCs w:val="30"/>
                <w:highlight w:val="none"/>
              </w:rPr>
            </w:pPr>
          </w:p>
        </w:tc>
        <w:tc>
          <w:tcPr>
            <w:tcW w:w="1418" w:type="dxa"/>
            <w:noWrap w:val="0"/>
            <w:vAlign w:val="top"/>
          </w:tcPr>
          <w:p w14:paraId="26B36938">
            <w:pPr>
              <w:pStyle w:val="8"/>
              <w:keepNext/>
              <w:spacing w:after="0" w:line="440" w:lineRule="exact"/>
              <w:ind w:left="63" w:right="63"/>
              <w:rPr>
                <w:rFonts w:eastAsia="仿宋_GB2312"/>
                <w:color w:val="auto"/>
                <w:sz w:val="28"/>
                <w:szCs w:val="30"/>
                <w:highlight w:val="none"/>
              </w:rPr>
            </w:pPr>
          </w:p>
        </w:tc>
        <w:tc>
          <w:tcPr>
            <w:tcW w:w="1701" w:type="dxa"/>
            <w:noWrap w:val="0"/>
            <w:vAlign w:val="top"/>
          </w:tcPr>
          <w:p w14:paraId="509146FA">
            <w:pPr>
              <w:pStyle w:val="8"/>
              <w:keepNext/>
              <w:spacing w:after="0" w:line="440" w:lineRule="exact"/>
              <w:ind w:left="63" w:right="63"/>
              <w:rPr>
                <w:rFonts w:eastAsia="仿宋_GB2312"/>
                <w:color w:val="auto"/>
                <w:sz w:val="28"/>
                <w:szCs w:val="30"/>
                <w:highlight w:val="none"/>
              </w:rPr>
            </w:pPr>
          </w:p>
        </w:tc>
      </w:tr>
      <w:tr w14:paraId="033B2D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B72AF44">
            <w:pPr>
              <w:pStyle w:val="8"/>
              <w:keepNext/>
              <w:spacing w:after="0" w:line="440" w:lineRule="exact"/>
              <w:ind w:left="63" w:right="63"/>
              <w:rPr>
                <w:rFonts w:eastAsia="仿宋_GB2312"/>
                <w:color w:val="auto"/>
                <w:sz w:val="28"/>
                <w:szCs w:val="30"/>
                <w:highlight w:val="none"/>
              </w:rPr>
            </w:pPr>
          </w:p>
        </w:tc>
        <w:tc>
          <w:tcPr>
            <w:tcW w:w="1984" w:type="dxa"/>
            <w:noWrap w:val="0"/>
            <w:vAlign w:val="top"/>
          </w:tcPr>
          <w:p w14:paraId="6908CEC4">
            <w:pPr>
              <w:pStyle w:val="8"/>
              <w:keepNext/>
              <w:spacing w:after="0" w:line="440" w:lineRule="exact"/>
              <w:ind w:left="63" w:right="63"/>
              <w:rPr>
                <w:rFonts w:eastAsia="仿宋_GB2312"/>
                <w:color w:val="auto"/>
                <w:sz w:val="28"/>
                <w:szCs w:val="30"/>
                <w:highlight w:val="none"/>
              </w:rPr>
            </w:pPr>
          </w:p>
        </w:tc>
        <w:tc>
          <w:tcPr>
            <w:tcW w:w="851" w:type="dxa"/>
            <w:noWrap w:val="0"/>
            <w:vAlign w:val="top"/>
          </w:tcPr>
          <w:p w14:paraId="17CF2E2E">
            <w:pPr>
              <w:pStyle w:val="8"/>
              <w:keepNext/>
              <w:spacing w:after="0" w:line="440" w:lineRule="exact"/>
              <w:ind w:left="63" w:right="63"/>
              <w:rPr>
                <w:rFonts w:eastAsia="仿宋_GB2312"/>
                <w:color w:val="auto"/>
                <w:sz w:val="28"/>
                <w:szCs w:val="30"/>
                <w:highlight w:val="none"/>
              </w:rPr>
            </w:pPr>
          </w:p>
        </w:tc>
        <w:tc>
          <w:tcPr>
            <w:tcW w:w="774" w:type="dxa"/>
            <w:noWrap w:val="0"/>
            <w:vAlign w:val="top"/>
          </w:tcPr>
          <w:p w14:paraId="7A4D8CD8">
            <w:pPr>
              <w:pStyle w:val="8"/>
              <w:keepNext/>
              <w:spacing w:after="0" w:line="440" w:lineRule="exact"/>
              <w:ind w:left="63" w:right="63"/>
              <w:rPr>
                <w:rFonts w:eastAsia="仿宋_GB2312"/>
                <w:color w:val="auto"/>
                <w:sz w:val="28"/>
                <w:szCs w:val="30"/>
                <w:highlight w:val="none"/>
              </w:rPr>
            </w:pPr>
          </w:p>
        </w:tc>
        <w:tc>
          <w:tcPr>
            <w:tcW w:w="1352" w:type="dxa"/>
            <w:noWrap w:val="0"/>
            <w:vAlign w:val="top"/>
          </w:tcPr>
          <w:p w14:paraId="1EF8E6A6">
            <w:pPr>
              <w:pStyle w:val="8"/>
              <w:keepNext/>
              <w:spacing w:after="0" w:line="440" w:lineRule="exact"/>
              <w:ind w:left="63" w:right="63"/>
              <w:rPr>
                <w:rFonts w:eastAsia="仿宋_GB2312"/>
                <w:color w:val="auto"/>
                <w:sz w:val="28"/>
                <w:szCs w:val="30"/>
                <w:highlight w:val="none"/>
              </w:rPr>
            </w:pPr>
          </w:p>
        </w:tc>
        <w:tc>
          <w:tcPr>
            <w:tcW w:w="1418" w:type="dxa"/>
            <w:noWrap w:val="0"/>
            <w:vAlign w:val="top"/>
          </w:tcPr>
          <w:p w14:paraId="0069E76B">
            <w:pPr>
              <w:pStyle w:val="8"/>
              <w:keepNext/>
              <w:spacing w:after="0" w:line="440" w:lineRule="exact"/>
              <w:ind w:left="63" w:right="63"/>
              <w:rPr>
                <w:rFonts w:eastAsia="仿宋_GB2312"/>
                <w:color w:val="auto"/>
                <w:sz w:val="28"/>
                <w:szCs w:val="30"/>
                <w:highlight w:val="none"/>
              </w:rPr>
            </w:pPr>
          </w:p>
        </w:tc>
        <w:tc>
          <w:tcPr>
            <w:tcW w:w="1701" w:type="dxa"/>
            <w:noWrap w:val="0"/>
            <w:vAlign w:val="top"/>
          </w:tcPr>
          <w:p w14:paraId="446BA440">
            <w:pPr>
              <w:pStyle w:val="8"/>
              <w:keepNext/>
              <w:spacing w:after="0" w:line="440" w:lineRule="exact"/>
              <w:ind w:left="63" w:right="63"/>
              <w:rPr>
                <w:rFonts w:eastAsia="仿宋_GB2312"/>
                <w:color w:val="auto"/>
                <w:sz w:val="28"/>
                <w:szCs w:val="30"/>
                <w:highlight w:val="none"/>
              </w:rPr>
            </w:pPr>
          </w:p>
        </w:tc>
      </w:tr>
      <w:tr w14:paraId="7B7314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02C3CE0">
            <w:pPr>
              <w:pStyle w:val="8"/>
              <w:keepNext/>
              <w:spacing w:after="0" w:line="440" w:lineRule="exact"/>
              <w:ind w:left="63" w:right="63"/>
              <w:rPr>
                <w:rFonts w:eastAsia="仿宋_GB2312"/>
                <w:color w:val="auto"/>
                <w:sz w:val="28"/>
                <w:szCs w:val="30"/>
                <w:highlight w:val="none"/>
              </w:rPr>
            </w:pPr>
          </w:p>
        </w:tc>
        <w:tc>
          <w:tcPr>
            <w:tcW w:w="1984" w:type="dxa"/>
            <w:noWrap w:val="0"/>
            <w:vAlign w:val="top"/>
          </w:tcPr>
          <w:p w14:paraId="2D81A0BB">
            <w:pPr>
              <w:pStyle w:val="8"/>
              <w:keepNext/>
              <w:spacing w:after="0" w:line="440" w:lineRule="exact"/>
              <w:ind w:left="63" w:right="63"/>
              <w:rPr>
                <w:rFonts w:eastAsia="仿宋_GB2312"/>
                <w:color w:val="auto"/>
                <w:sz w:val="28"/>
                <w:szCs w:val="30"/>
                <w:highlight w:val="none"/>
              </w:rPr>
            </w:pPr>
          </w:p>
        </w:tc>
        <w:tc>
          <w:tcPr>
            <w:tcW w:w="851" w:type="dxa"/>
            <w:noWrap w:val="0"/>
            <w:vAlign w:val="top"/>
          </w:tcPr>
          <w:p w14:paraId="592920DA">
            <w:pPr>
              <w:pStyle w:val="8"/>
              <w:keepNext/>
              <w:spacing w:after="0" w:line="440" w:lineRule="exact"/>
              <w:ind w:left="63" w:right="63"/>
              <w:rPr>
                <w:rFonts w:eastAsia="仿宋_GB2312"/>
                <w:color w:val="auto"/>
                <w:sz w:val="28"/>
                <w:szCs w:val="30"/>
                <w:highlight w:val="none"/>
              </w:rPr>
            </w:pPr>
          </w:p>
        </w:tc>
        <w:tc>
          <w:tcPr>
            <w:tcW w:w="774" w:type="dxa"/>
            <w:noWrap w:val="0"/>
            <w:vAlign w:val="top"/>
          </w:tcPr>
          <w:p w14:paraId="1764C545">
            <w:pPr>
              <w:pStyle w:val="8"/>
              <w:keepNext/>
              <w:spacing w:after="0" w:line="440" w:lineRule="exact"/>
              <w:ind w:left="63" w:right="63"/>
              <w:rPr>
                <w:rFonts w:eastAsia="仿宋_GB2312"/>
                <w:color w:val="auto"/>
                <w:sz w:val="28"/>
                <w:szCs w:val="30"/>
                <w:highlight w:val="none"/>
              </w:rPr>
            </w:pPr>
          </w:p>
        </w:tc>
        <w:tc>
          <w:tcPr>
            <w:tcW w:w="1352" w:type="dxa"/>
            <w:noWrap w:val="0"/>
            <w:vAlign w:val="top"/>
          </w:tcPr>
          <w:p w14:paraId="039FA8BE">
            <w:pPr>
              <w:pStyle w:val="8"/>
              <w:keepNext/>
              <w:spacing w:after="0" w:line="440" w:lineRule="exact"/>
              <w:ind w:left="63" w:right="63"/>
              <w:rPr>
                <w:rFonts w:eastAsia="仿宋_GB2312"/>
                <w:color w:val="auto"/>
                <w:sz w:val="28"/>
                <w:szCs w:val="30"/>
                <w:highlight w:val="none"/>
              </w:rPr>
            </w:pPr>
          </w:p>
        </w:tc>
        <w:tc>
          <w:tcPr>
            <w:tcW w:w="1418" w:type="dxa"/>
            <w:noWrap w:val="0"/>
            <w:vAlign w:val="top"/>
          </w:tcPr>
          <w:p w14:paraId="63A828F6">
            <w:pPr>
              <w:pStyle w:val="8"/>
              <w:keepNext/>
              <w:spacing w:after="0" w:line="440" w:lineRule="exact"/>
              <w:ind w:left="63" w:right="63"/>
              <w:rPr>
                <w:rFonts w:eastAsia="仿宋_GB2312"/>
                <w:color w:val="auto"/>
                <w:sz w:val="28"/>
                <w:szCs w:val="30"/>
                <w:highlight w:val="none"/>
              </w:rPr>
            </w:pPr>
          </w:p>
        </w:tc>
        <w:tc>
          <w:tcPr>
            <w:tcW w:w="1701" w:type="dxa"/>
            <w:noWrap w:val="0"/>
            <w:vAlign w:val="top"/>
          </w:tcPr>
          <w:p w14:paraId="2D45BFA3">
            <w:pPr>
              <w:pStyle w:val="8"/>
              <w:keepNext/>
              <w:spacing w:after="0" w:line="440" w:lineRule="exact"/>
              <w:ind w:left="63" w:right="63"/>
              <w:rPr>
                <w:rFonts w:eastAsia="仿宋_GB2312"/>
                <w:color w:val="auto"/>
                <w:sz w:val="28"/>
                <w:szCs w:val="30"/>
                <w:highlight w:val="none"/>
              </w:rPr>
            </w:pPr>
          </w:p>
        </w:tc>
      </w:tr>
      <w:tr w14:paraId="4753DA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9F0AD6F">
            <w:pPr>
              <w:pStyle w:val="8"/>
              <w:keepNext/>
              <w:spacing w:after="0" w:line="440" w:lineRule="exact"/>
              <w:ind w:left="63" w:right="63"/>
              <w:rPr>
                <w:rFonts w:eastAsia="仿宋_GB2312"/>
                <w:color w:val="auto"/>
                <w:sz w:val="28"/>
                <w:szCs w:val="30"/>
                <w:highlight w:val="none"/>
              </w:rPr>
            </w:pPr>
          </w:p>
        </w:tc>
        <w:tc>
          <w:tcPr>
            <w:tcW w:w="1984" w:type="dxa"/>
            <w:noWrap w:val="0"/>
            <w:vAlign w:val="top"/>
          </w:tcPr>
          <w:p w14:paraId="259C814D">
            <w:pPr>
              <w:pStyle w:val="8"/>
              <w:keepNext/>
              <w:spacing w:after="0" w:line="440" w:lineRule="exact"/>
              <w:ind w:left="63" w:right="63"/>
              <w:rPr>
                <w:rFonts w:eastAsia="仿宋_GB2312"/>
                <w:color w:val="auto"/>
                <w:sz w:val="28"/>
                <w:szCs w:val="30"/>
                <w:highlight w:val="none"/>
              </w:rPr>
            </w:pPr>
          </w:p>
        </w:tc>
        <w:tc>
          <w:tcPr>
            <w:tcW w:w="851" w:type="dxa"/>
            <w:noWrap w:val="0"/>
            <w:vAlign w:val="top"/>
          </w:tcPr>
          <w:p w14:paraId="25FDAF31">
            <w:pPr>
              <w:pStyle w:val="8"/>
              <w:keepNext/>
              <w:spacing w:after="0" w:line="440" w:lineRule="exact"/>
              <w:ind w:left="63" w:right="63"/>
              <w:rPr>
                <w:rFonts w:eastAsia="仿宋_GB2312"/>
                <w:color w:val="auto"/>
                <w:sz w:val="28"/>
                <w:szCs w:val="30"/>
                <w:highlight w:val="none"/>
              </w:rPr>
            </w:pPr>
          </w:p>
        </w:tc>
        <w:tc>
          <w:tcPr>
            <w:tcW w:w="774" w:type="dxa"/>
            <w:noWrap w:val="0"/>
            <w:vAlign w:val="top"/>
          </w:tcPr>
          <w:p w14:paraId="65166732">
            <w:pPr>
              <w:pStyle w:val="8"/>
              <w:keepNext/>
              <w:spacing w:after="0" w:line="440" w:lineRule="exact"/>
              <w:ind w:left="63" w:right="63"/>
              <w:rPr>
                <w:rFonts w:eastAsia="仿宋_GB2312"/>
                <w:color w:val="auto"/>
                <w:sz w:val="28"/>
                <w:szCs w:val="30"/>
                <w:highlight w:val="none"/>
              </w:rPr>
            </w:pPr>
          </w:p>
        </w:tc>
        <w:tc>
          <w:tcPr>
            <w:tcW w:w="1352" w:type="dxa"/>
            <w:noWrap w:val="0"/>
            <w:vAlign w:val="top"/>
          </w:tcPr>
          <w:p w14:paraId="688EC197">
            <w:pPr>
              <w:pStyle w:val="8"/>
              <w:keepNext/>
              <w:spacing w:after="0" w:line="440" w:lineRule="exact"/>
              <w:ind w:left="63" w:right="63"/>
              <w:rPr>
                <w:rFonts w:eastAsia="仿宋_GB2312"/>
                <w:color w:val="auto"/>
                <w:sz w:val="28"/>
                <w:szCs w:val="30"/>
                <w:highlight w:val="none"/>
              </w:rPr>
            </w:pPr>
          </w:p>
        </w:tc>
        <w:tc>
          <w:tcPr>
            <w:tcW w:w="1418" w:type="dxa"/>
            <w:noWrap w:val="0"/>
            <w:vAlign w:val="top"/>
          </w:tcPr>
          <w:p w14:paraId="5BDE5E2A">
            <w:pPr>
              <w:pStyle w:val="8"/>
              <w:keepNext/>
              <w:spacing w:after="0" w:line="440" w:lineRule="exact"/>
              <w:ind w:left="63" w:right="63"/>
              <w:rPr>
                <w:rFonts w:eastAsia="仿宋_GB2312"/>
                <w:color w:val="auto"/>
                <w:sz w:val="28"/>
                <w:szCs w:val="30"/>
                <w:highlight w:val="none"/>
              </w:rPr>
            </w:pPr>
          </w:p>
        </w:tc>
        <w:tc>
          <w:tcPr>
            <w:tcW w:w="1701" w:type="dxa"/>
            <w:noWrap w:val="0"/>
            <w:vAlign w:val="top"/>
          </w:tcPr>
          <w:p w14:paraId="097859B6">
            <w:pPr>
              <w:pStyle w:val="8"/>
              <w:keepNext/>
              <w:spacing w:after="0" w:line="440" w:lineRule="exact"/>
              <w:ind w:left="63" w:right="63"/>
              <w:rPr>
                <w:rFonts w:eastAsia="仿宋_GB2312"/>
                <w:color w:val="auto"/>
                <w:sz w:val="28"/>
                <w:szCs w:val="30"/>
                <w:highlight w:val="none"/>
              </w:rPr>
            </w:pPr>
          </w:p>
        </w:tc>
      </w:tr>
      <w:tr w14:paraId="505AB8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D37A665">
            <w:pPr>
              <w:pStyle w:val="8"/>
              <w:keepNext/>
              <w:spacing w:after="0" w:line="440" w:lineRule="exact"/>
              <w:ind w:left="63" w:right="63"/>
              <w:rPr>
                <w:rFonts w:eastAsia="仿宋_GB2312"/>
                <w:color w:val="auto"/>
                <w:sz w:val="28"/>
                <w:szCs w:val="30"/>
                <w:highlight w:val="none"/>
              </w:rPr>
            </w:pPr>
          </w:p>
        </w:tc>
        <w:tc>
          <w:tcPr>
            <w:tcW w:w="1984" w:type="dxa"/>
            <w:noWrap w:val="0"/>
            <w:vAlign w:val="top"/>
          </w:tcPr>
          <w:p w14:paraId="7220BCCC">
            <w:pPr>
              <w:pStyle w:val="8"/>
              <w:keepNext/>
              <w:spacing w:after="0" w:line="440" w:lineRule="exact"/>
              <w:ind w:left="63" w:right="63"/>
              <w:rPr>
                <w:rFonts w:eastAsia="仿宋_GB2312"/>
                <w:color w:val="auto"/>
                <w:sz w:val="28"/>
                <w:szCs w:val="30"/>
                <w:highlight w:val="none"/>
              </w:rPr>
            </w:pPr>
          </w:p>
        </w:tc>
        <w:tc>
          <w:tcPr>
            <w:tcW w:w="851" w:type="dxa"/>
            <w:noWrap w:val="0"/>
            <w:vAlign w:val="top"/>
          </w:tcPr>
          <w:p w14:paraId="2F683489">
            <w:pPr>
              <w:pStyle w:val="8"/>
              <w:keepNext/>
              <w:spacing w:after="0" w:line="440" w:lineRule="exact"/>
              <w:ind w:left="63" w:right="63"/>
              <w:rPr>
                <w:rFonts w:eastAsia="仿宋_GB2312"/>
                <w:color w:val="auto"/>
                <w:sz w:val="28"/>
                <w:szCs w:val="30"/>
                <w:highlight w:val="none"/>
              </w:rPr>
            </w:pPr>
          </w:p>
        </w:tc>
        <w:tc>
          <w:tcPr>
            <w:tcW w:w="774" w:type="dxa"/>
            <w:noWrap w:val="0"/>
            <w:vAlign w:val="top"/>
          </w:tcPr>
          <w:p w14:paraId="02D2E896">
            <w:pPr>
              <w:pStyle w:val="8"/>
              <w:keepNext/>
              <w:spacing w:after="0" w:line="440" w:lineRule="exact"/>
              <w:ind w:left="63" w:right="63"/>
              <w:rPr>
                <w:rFonts w:eastAsia="仿宋_GB2312"/>
                <w:color w:val="auto"/>
                <w:sz w:val="28"/>
                <w:szCs w:val="30"/>
                <w:highlight w:val="none"/>
              </w:rPr>
            </w:pPr>
          </w:p>
        </w:tc>
        <w:tc>
          <w:tcPr>
            <w:tcW w:w="1352" w:type="dxa"/>
            <w:noWrap w:val="0"/>
            <w:vAlign w:val="top"/>
          </w:tcPr>
          <w:p w14:paraId="5CC80388">
            <w:pPr>
              <w:pStyle w:val="8"/>
              <w:keepNext/>
              <w:spacing w:after="0" w:line="440" w:lineRule="exact"/>
              <w:ind w:left="63" w:right="63"/>
              <w:rPr>
                <w:rFonts w:eastAsia="仿宋_GB2312"/>
                <w:color w:val="auto"/>
                <w:sz w:val="28"/>
                <w:szCs w:val="30"/>
                <w:highlight w:val="none"/>
              </w:rPr>
            </w:pPr>
          </w:p>
        </w:tc>
        <w:tc>
          <w:tcPr>
            <w:tcW w:w="1418" w:type="dxa"/>
            <w:noWrap w:val="0"/>
            <w:vAlign w:val="top"/>
          </w:tcPr>
          <w:p w14:paraId="494F093C">
            <w:pPr>
              <w:pStyle w:val="8"/>
              <w:keepNext/>
              <w:spacing w:after="0" w:line="440" w:lineRule="exact"/>
              <w:ind w:left="63" w:right="63"/>
              <w:rPr>
                <w:rFonts w:eastAsia="仿宋_GB2312"/>
                <w:color w:val="auto"/>
                <w:sz w:val="28"/>
                <w:szCs w:val="30"/>
                <w:highlight w:val="none"/>
              </w:rPr>
            </w:pPr>
          </w:p>
        </w:tc>
        <w:tc>
          <w:tcPr>
            <w:tcW w:w="1701" w:type="dxa"/>
            <w:noWrap w:val="0"/>
            <w:vAlign w:val="top"/>
          </w:tcPr>
          <w:p w14:paraId="53AC2DA1">
            <w:pPr>
              <w:pStyle w:val="8"/>
              <w:keepNext/>
              <w:spacing w:after="0" w:line="440" w:lineRule="exact"/>
              <w:ind w:left="63" w:right="63"/>
              <w:rPr>
                <w:rFonts w:eastAsia="仿宋_GB2312"/>
                <w:color w:val="auto"/>
                <w:sz w:val="28"/>
                <w:szCs w:val="30"/>
                <w:highlight w:val="none"/>
              </w:rPr>
            </w:pPr>
          </w:p>
        </w:tc>
      </w:tr>
      <w:tr w14:paraId="3DE4DB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4FAC2F2">
            <w:pPr>
              <w:pStyle w:val="8"/>
              <w:keepNext/>
              <w:spacing w:after="0" w:line="440" w:lineRule="exact"/>
              <w:ind w:left="63" w:right="63"/>
              <w:rPr>
                <w:rFonts w:eastAsia="仿宋_GB2312"/>
                <w:color w:val="auto"/>
                <w:sz w:val="28"/>
                <w:szCs w:val="30"/>
                <w:highlight w:val="none"/>
              </w:rPr>
            </w:pPr>
          </w:p>
        </w:tc>
        <w:tc>
          <w:tcPr>
            <w:tcW w:w="1984" w:type="dxa"/>
            <w:noWrap w:val="0"/>
            <w:vAlign w:val="top"/>
          </w:tcPr>
          <w:p w14:paraId="728D30F2">
            <w:pPr>
              <w:pStyle w:val="8"/>
              <w:keepNext/>
              <w:spacing w:after="0" w:line="440" w:lineRule="exact"/>
              <w:ind w:left="63" w:right="63"/>
              <w:rPr>
                <w:rFonts w:eastAsia="仿宋_GB2312"/>
                <w:color w:val="auto"/>
                <w:sz w:val="28"/>
                <w:szCs w:val="30"/>
                <w:highlight w:val="none"/>
              </w:rPr>
            </w:pPr>
          </w:p>
        </w:tc>
        <w:tc>
          <w:tcPr>
            <w:tcW w:w="851" w:type="dxa"/>
            <w:noWrap w:val="0"/>
            <w:vAlign w:val="top"/>
          </w:tcPr>
          <w:p w14:paraId="27E8F2DB">
            <w:pPr>
              <w:pStyle w:val="8"/>
              <w:keepNext/>
              <w:spacing w:after="0" w:line="440" w:lineRule="exact"/>
              <w:ind w:left="63" w:right="63"/>
              <w:rPr>
                <w:rFonts w:eastAsia="仿宋_GB2312"/>
                <w:color w:val="auto"/>
                <w:sz w:val="28"/>
                <w:szCs w:val="30"/>
                <w:highlight w:val="none"/>
              </w:rPr>
            </w:pPr>
          </w:p>
        </w:tc>
        <w:tc>
          <w:tcPr>
            <w:tcW w:w="774" w:type="dxa"/>
            <w:noWrap w:val="0"/>
            <w:vAlign w:val="top"/>
          </w:tcPr>
          <w:p w14:paraId="0CE37093">
            <w:pPr>
              <w:pStyle w:val="8"/>
              <w:keepNext/>
              <w:spacing w:after="0" w:line="440" w:lineRule="exact"/>
              <w:ind w:left="63" w:right="63"/>
              <w:rPr>
                <w:rFonts w:eastAsia="仿宋_GB2312"/>
                <w:color w:val="auto"/>
                <w:sz w:val="28"/>
                <w:szCs w:val="30"/>
                <w:highlight w:val="none"/>
              </w:rPr>
            </w:pPr>
          </w:p>
        </w:tc>
        <w:tc>
          <w:tcPr>
            <w:tcW w:w="1352" w:type="dxa"/>
            <w:noWrap w:val="0"/>
            <w:vAlign w:val="top"/>
          </w:tcPr>
          <w:p w14:paraId="65E654AC">
            <w:pPr>
              <w:pStyle w:val="8"/>
              <w:keepNext/>
              <w:spacing w:after="0" w:line="440" w:lineRule="exact"/>
              <w:ind w:left="63" w:right="63"/>
              <w:rPr>
                <w:rFonts w:eastAsia="仿宋_GB2312"/>
                <w:color w:val="auto"/>
                <w:sz w:val="28"/>
                <w:szCs w:val="30"/>
                <w:highlight w:val="none"/>
              </w:rPr>
            </w:pPr>
          </w:p>
        </w:tc>
        <w:tc>
          <w:tcPr>
            <w:tcW w:w="1418" w:type="dxa"/>
            <w:noWrap w:val="0"/>
            <w:vAlign w:val="top"/>
          </w:tcPr>
          <w:p w14:paraId="718C791C">
            <w:pPr>
              <w:pStyle w:val="8"/>
              <w:keepNext/>
              <w:spacing w:after="0" w:line="440" w:lineRule="exact"/>
              <w:ind w:left="63" w:right="63"/>
              <w:rPr>
                <w:rFonts w:eastAsia="仿宋_GB2312"/>
                <w:color w:val="auto"/>
                <w:sz w:val="28"/>
                <w:szCs w:val="30"/>
                <w:highlight w:val="none"/>
              </w:rPr>
            </w:pPr>
          </w:p>
        </w:tc>
        <w:tc>
          <w:tcPr>
            <w:tcW w:w="1701" w:type="dxa"/>
            <w:noWrap w:val="0"/>
            <w:vAlign w:val="top"/>
          </w:tcPr>
          <w:p w14:paraId="1B498B11">
            <w:pPr>
              <w:pStyle w:val="8"/>
              <w:keepNext/>
              <w:spacing w:after="0" w:line="440" w:lineRule="exact"/>
              <w:ind w:left="63" w:right="63"/>
              <w:rPr>
                <w:rFonts w:eastAsia="仿宋_GB2312"/>
                <w:color w:val="auto"/>
                <w:sz w:val="28"/>
                <w:szCs w:val="30"/>
                <w:highlight w:val="none"/>
              </w:rPr>
            </w:pPr>
          </w:p>
        </w:tc>
      </w:tr>
    </w:tbl>
    <w:p w14:paraId="5A931548">
      <w:pPr>
        <w:spacing w:before="156" w:beforeLines="50" w:after="156" w:afterLines="50" w:line="440" w:lineRule="exact"/>
        <w:rPr>
          <w:rFonts w:hint="eastAsia" w:ascii="Times New Roman" w:hAnsi="Times New Roman" w:eastAsia="黑体"/>
          <w:color w:val="auto"/>
          <w:sz w:val="30"/>
          <w:szCs w:val="30"/>
          <w:highlight w:val="none"/>
        </w:rPr>
      </w:pPr>
    </w:p>
    <w:p w14:paraId="607D6B1E">
      <w:pPr>
        <w:spacing w:before="156" w:beforeLines="50" w:after="156" w:afterLines="50" w:line="440" w:lineRule="exact"/>
        <w:jc w:val="center"/>
        <w:outlineLvl w:val="4"/>
        <w:rPr>
          <w:rFonts w:ascii="Times New Roman" w:hAnsi="Times New Roman" w:eastAsia="黑体"/>
          <w:color w:val="auto"/>
          <w:sz w:val="30"/>
          <w:szCs w:val="30"/>
          <w:highlight w:val="none"/>
        </w:rPr>
      </w:pPr>
      <w:r>
        <w:rPr>
          <w:rFonts w:ascii="Times New Roman" w:hAnsi="Times New Roman" w:eastAsia="仿宋_GB2312"/>
          <w:color w:val="auto"/>
          <w:sz w:val="30"/>
          <w:szCs w:val="30"/>
          <w:highlight w:val="none"/>
        </w:rPr>
        <w:br w:type="page"/>
      </w:r>
      <w:r>
        <w:rPr>
          <w:rFonts w:ascii="Times New Roman" w:hAnsi="Times New Roman" w:eastAsia="黑体"/>
          <w:color w:val="auto"/>
          <w:sz w:val="30"/>
          <w:szCs w:val="30"/>
          <w:highlight w:val="none"/>
        </w:rPr>
        <w:t>11-2：工程设备暂估价表</w:t>
      </w:r>
      <w:bookmarkEnd w:id="1957"/>
      <w:bookmarkEnd w:id="1958"/>
    </w:p>
    <w:tbl>
      <w:tblPr>
        <w:tblStyle w:val="18"/>
        <w:tblW w:w="0" w:type="auto"/>
        <w:tblInd w:w="-11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281D3A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bottom w:val="double" w:color="auto" w:sz="6" w:space="0"/>
            </w:tcBorders>
            <w:noWrap w:val="0"/>
            <w:vAlign w:val="top"/>
          </w:tcPr>
          <w:p w14:paraId="2032C46C">
            <w:pPr>
              <w:pStyle w:val="8"/>
              <w:keepNext/>
              <w:spacing w:after="0" w:line="440" w:lineRule="exact"/>
              <w:ind w:left="63" w:right="63"/>
              <w:rPr>
                <w:rFonts w:eastAsia="仿宋_GB2312"/>
                <w:color w:val="auto"/>
                <w:sz w:val="21"/>
                <w:szCs w:val="21"/>
                <w:highlight w:val="none"/>
              </w:rPr>
            </w:pPr>
            <w:r>
              <w:rPr>
                <w:rFonts w:eastAsia="仿宋_GB2312"/>
                <w:color w:val="auto"/>
                <w:sz w:val="21"/>
                <w:szCs w:val="21"/>
                <w:highlight w:val="none"/>
              </w:rPr>
              <w:t>序号</w:t>
            </w:r>
          </w:p>
        </w:tc>
        <w:tc>
          <w:tcPr>
            <w:tcW w:w="1984" w:type="dxa"/>
            <w:tcBorders>
              <w:top w:val="single" w:color="auto" w:sz="12" w:space="0"/>
              <w:bottom w:val="double" w:color="auto" w:sz="6" w:space="0"/>
            </w:tcBorders>
            <w:noWrap w:val="0"/>
            <w:vAlign w:val="top"/>
          </w:tcPr>
          <w:p w14:paraId="255649F9">
            <w:pPr>
              <w:pStyle w:val="8"/>
              <w:keepNext/>
              <w:spacing w:after="0" w:line="440" w:lineRule="exact"/>
              <w:ind w:left="63" w:right="63"/>
              <w:rPr>
                <w:rFonts w:eastAsia="仿宋_GB2312"/>
                <w:color w:val="auto"/>
                <w:sz w:val="21"/>
                <w:szCs w:val="21"/>
                <w:highlight w:val="none"/>
              </w:rPr>
            </w:pPr>
            <w:r>
              <w:rPr>
                <w:rFonts w:eastAsia="仿宋_GB2312"/>
                <w:color w:val="auto"/>
                <w:sz w:val="21"/>
                <w:szCs w:val="21"/>
                <w:highlight w:val="none"/>
              </w:rPr>
              <w:t>名称</w:t>
            </w:r>
          </w:p>
        </w:tc>
        <w:tc>
          <w:tcPr>
            <w:tcW w:w="851" w:type="dxa"/>
            <w:tcBorders>
              <w:top w:val="single" w:color="auto" w:sz="12" w:space="0"/>
              <w:bottom w:val="double" w:color="auto" w:sz="6" w:space="0"/>
            </w:tcBorders>
            <w:noWrap w:val="0"/>
            <w:vAlign w:val="top"/>
          </w:tcPr>
          <w:p w14:paraId="41AC7EB1">
            <w:pPr>
              <w:pStyle w:val="8"/>
              <w:keepNext/>
              <w:spacing w:after="0" w:line="440" w:lineRule="exact"/>
              <w:ind w:left="63" w:right="63"/>
              <w:rPr>
                <w:rFonts w:eastAsia="仿宋_GB2312"/>
                <w:color w:val="auto"/>
                <w:sz w:val="21"/>
                <w:szCs w:val="21"/>
                <w:highlight w:val="none"/>
              </w:rPr>
            </w:pPr>
            <w:r>
              <w:rPr>
                <w:rFonts w:eastAsia="仿宋_GB2312"/>
                <w:color w:val="auto"/>
                <w:sz w:val="21"/>
                <w:szCs w:val="21"/>
                <w:highlight w:val="none"/>
              </w:rPr>
              <w:t>单位</w:t>
            </w:r>
          </w:p>
        </w:tc>
        <w:tc>
          <w:tcPr>
            <w:tcW w:w="774" w:type="dxa"/>
            <w:tcBorders>
              <w:top w:val="single" w:color="auto" w:sz="12" w:space="0"/>
              <w:bottom w:val="double" w:color="auto" w:sz="6" w:space="0"/>
            </w:tcBorders>
            <w:noWrap w:val="0"/>
            <w:vAlign w:val="top"/>
          </w:tcPr>
          <w:p w14:paraId="11F6A0FA">
            <w:pPr>
              <w:pStyle w:val="8"/>
              <w:keepNext/>
              <w:spacing w:after="0" w:line="440" w:lineRule="exact"/>
              <w:ind w:left="63" w:right="63"/>
              <w:rPr>
                <w:rFonts w:eastAsia="仿宋_GB2312"/>
                <w:color w:val="auto"/>
                <w:sz w:val="21"/>
                <w:szCs w:val="21"/>
                <w:highlight w:val="none"/>
              </w:rPr>
            </w:pPr>
            <w:r>
              <w:rPr>
                <w:rFonts w:eastAsia="仿宋_GB2312"/>
                <w:color w:val="auto"/>
                <w:sz w:val="21"/>
                <w:szCs w:val="21"/>
                <w:highlight w:val="none"/>
              </w:rPr>
              <w:t>数量</w:t>
            </w:r>
          </w:p>
        </w:tc>
        <w:tc>
          <w:tcPr>
            <w:tcW w:w="1352" w:type="dxa"/>
            <w:tcBorders>
              <w:top w:val="single" w:color="auto" w:sz="12" w:space="0"/>
              <w:bottom w:val="double" w:color="auto" w:sz="6" w:space="0"/>
            </w:tcBorders>
            <w:noWrap w:val="0"/>
            <w:vAlign w:val="top"/>
          </w:tcPr>
          <w:p w14:paraId="04250036">
            <w:pPr>
              <w:pStyle w:val="8"/>
              <w:keepNext/>
              <w:spacing w:after="0" w:line="440" w:lineRule="exact"/>
              <w:ind w:left="63" w:right="63"/>
              <w:rPr>
                <w:rFonts w:eastAsia="仿宋_GB2312"/>
                <w:color w:val="auto"/>
                <w:sz w:val="21"/>
                <w:szCs w:val="21"/>
                <w:highlight w:val="none"/>
              </w:rPr>
            </w:pPr>
            <w:r>
              <w:rPr>
                <w:rFonts w:eastAsia="仿宋_GB2312"/>
                <w:color w:val="auto"/>
                <w:sz w:val="21"/>
                <w:szCs w:val="21"/>
                <w:highlight w:val="none"/>
              </w:rPr>
              <w:t>单价</w:t>
            </w:r>
            <w:r>
              <w:rPr>
                <w:rFonts w:hint="eastAsia" w:eastAsia="仿宋_GB2312"/>
                <w:color w:val="auto"/>
                <w:sz w:val="21"/>
                <w:szCs w:val="21"/>
                <w:highlight w:val="none"/>
              </w:rPr>
              <w:t>（元）</w:t>
            </w:r>
          </w:p>
        </w:tc>
        <w:tc>
          <w:tcPr>
            <w:tcW w:w="1418" w:type="dxa"/>
            <w:tcBorders>
              <w:top w:val="single" w:color="auto" w:sz="12" w:space="0"/>
              <w:bottom w:val="double" w:color="auto" w:sz="6" w:space="0"/>
            </w:tcBorders>
            <w:noWrap w:val="0"/>
            <w:vAlign w:val="top"/>
          </w:tcPr>
          <w:p w14:paraId="5D624802">
            <w:pPr>
              <w:pStyle w:val="8"/>
              <w:keepNext/>
              <w:spacing w:after="0" w:line="440" w:lineRule="exact"/>
              <w:ind w:left="63" w:right="63"/>
              <w:rPr>
                <w:rFonts w:eastAsia="仿宋_GB2312"/>
                <w:color w:val="auto"/>
                <w:sz w:val="21"/>
                <w:szCs w:val="21"/>
                <w:highlight w:val="none"/>
              </w:rPr>
            </w:pPr>
            <w:r>
              <w:rPr>
                <w:rFonts w:eastAsia="仿宋_GB2312"/>
                <w:color w:val="auto"/>
                <w:sz w:val="21"/>
                <w:szCs w:val="21"/>
                <w:highlight w:val="none"/>
              </w:rPr>
              <w:t>合价</w:t>
            </w:r>
            <w:r>
              <w:rPr>
                <w:rFonts w:hint="eastAsia" w:eastAsia="仿宋_GB2312"/>
                <w:color w:val="auto"/>
                <w:sz w:val="21"/>
                <w:szCs w:val="21"/>
                <w:highlight w:val="none"/>
              </w:rPr>
              <w:t>（元）</w:t>
            </w:r>
          </w:p>
        </w:tc>
        <w:tc>
          <w:tcPr>
            <w:tcW w:w="1701" w:type="dxa"/>
            <w:tcBorders>
              <w:top w:val="single" w:color="auto" w:sz="12" w:space="0"/>
              <w:bottom w:val="double" w:color="auto" w:sz="6" w:space="0"/>
            </w:tcBorders>
            <w:noWrap w:val="0"/>
            <w:vAlign w:val="top"/>
          </w:tcPr>
          <w:p w14:paraId="5440D70C">
            <w:pPr>
              <w:pStyle w:val="8"/>
              <w:keepNext/>
              <w:spacing w:after="0" w:line="440" w:lineRule="exact"/>
              <w:ind w:left="63" w:right="63"/>
              <w:rPr>
                <w:rFonts w:eastAsia="仿宋_GB2312"/>
                <w:color w:val="auto"/>
                <w:sz w:val="21"/>
                <w:szCs w:val="21"/>
                <w:highlight w:val="none"/>
              </w:rPr>
            </w:pPr>
            <w:r>
              <w:rPr>
                <w:rFonts w:eastAsia="仿宋_GB2312"/>
                <w:color w:val="auto"/>
                <w:sz w:val="21"/>
                <w:szCs w:val="21"/>
                <w:highlight w:val="none"/>
              </w:rPr>
              <w:t>备注</w:t>
            </w:r>
          </w:p>
        </w:tc>
      </w:tr>
      <w:tr w14:paraId="45D32D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double" w:color="auto" w:sz="6" w:space="0"/>
              <w:bottom w:val="single" w:color="auto" w:sz="6" w:space="0"/>
            </w:tcBorders>
            <w:noWrap w:val="0"/>
            <w:vAlign w:val="top"/>
          </w:tcPr>
          <w:p w14:paraId="195693A3">
            <w:pPr>
              <w:pStyle w:val="8"/>
              <w:keepNext/>
              <w:spacing w:after="0" w:line="440" w:lineRule="exact"/>
              <w:ind w:left="63" w:right="63"/>
              <w:rPr>
                <w:rFonts w:eastAsia="仿宋_GB2312"/>
                <w:color w:val="auto"/>
                <w:sz w:val="28"/>
                <w:szCs w:val="30"/>
                <w:highlight w:val="none"/>
              </w:rPr>
            </w:pPr>
          </w:p>
        </w:tc>
        <w:tc>
          <w:tcPr>
            <w:tcW w:w="1984" w:type="dxa"/>
            <w:tcBorders>
              <w:top w:val="double" w:color="auto" w:sz="6" w:space="0"/>
              <w:bottom w:val="single" w:color="auto" w:sz="6" w:space="0"/>
            </w:tcBorders>
            <w:noWrap w:val="0"/>
            <w:vAlign w:val="top"/>
          </w:tcPr>
          <w:p w14:paraId="0CC8D863">
            <w:pPr>
              <w:pStyle w:val="8"/>
              <w:keepNext/>
              <w:spacing w:after="0" w:line="440" w:lineRule="exact"/>
              <w:ind w:left="63" w:right="63"/>
              <w:rPr>
                <w:rFonts w:eastAsia="仿宋_GB2312"/>
                <w:color w:val="auto"/>
                <w:sz w:val="28"/>
                <w:szCs w:val="30"/>
                <w:highlight w:val="none"/>
              </w:rPr>
            </w:pPr>
          </w:p>
        </w:tc>
        <w:tc>
          <w:tcPr>
            <w:tcW w:w="851" w:type="dxa"/>
            <w:tcBorders>
              <w:top w:val="double" w:color="auto" w:sz="6" w:space="0"/>
              <w:bottom w:val="single" w:color="auto" w:sz="6" w:space="0"/>
            </w:tcBorders>
            <w:noWrap w:val="0"/>
            <w:vAlign w:val="top"/>
          </w:tcPr>
          <w:p w14:paraId="1A07B8C2">
            <w:pPr>
              <w:pStyle w:val="8"/>
              <w:keepNext/>
              <w:spacing w:after="0" w:line="440" w:lineRule="exact"/>
              <w:ind w:left="63" w:right="63"/>
              <w:rPr>
                <w:rFonts w:eastAsia="仿宋_GB2312"/>
                <w:color w:val="auto"/>
                <w:sz w:val="28"/>
                <w:szCs w:val="30"/>
                <w:highlight w:val="none"/>
              </w:rPr>
            </w:pPr>
          </w:p>
        </w:tc>
        <w:tc>
          <w:tcPr>
            <w:tcW w:w="774" w:type="dxa"/>
            <w:tcBorders>
              <w:top w:val="double" w:color="auto" w:sz="6" w:space="0"/>
              <w:bottom w:val="single" w:color="auto" w:sz="6" w:space="0"/>
            </w:tcBorders>
            <w:noWrap w:val="0"/>
            <w:vAlign w:val="top"/>
          </w:tcPr>
          <w:p w14:paraId="3BCECD97">
            <w:pPr>
              <w:pStyle w:val="8"/>
              <w:keepNext/>
              <w:spacing w:after="0" w:line="440" w:lineRule="exact"/>
              <w:ind w:left="63" w:right="63"/>
              <w:rPr>
                <w:rFonts w:eastAsia="仿宋_GB2312"/>
                <w:color w:val="auto"/>
                <w:sz w:val="28"/>
                <w:szCs w:val="30"/>
                <w:highlight w:val="none"/>
              </w:rPr>
            </w:pPr>
          </w:p>
        </w:tc>
        <w:tc>
          <w:tcPr>
            <w:tcW w:w="1352" w:type="dxa"/>
            <w:tcBorders>
              <w:top w:val="double" w:color="auto" w:sz="6" w:space="0"/>
              <w:bottom w:val="single" w:color="auto" w:sz="6" w:space="0"/>
            </w:tcBorders>
            <w:noWrap w:val="0"/>
            <w:vAlign w:val="top"/>
          </w:tcPr>
          <w:p w14:paraId="2DD3D737">
            <w:pPr>
              <w:pStyle w:val="8"/>
              <w:keepNext/>
              <w:spacing w:after="0" w:line="440" w:lineRule="exact"/>
              <w:ind w:left="63" w:right="63"/>
              <w:rPr>
                <w:rFonts w:eastAsia="仿宋_GB2312"/>
                <w:color w:val="auto"/>
                <w:sz w:val="28"/>
                <w:szCs w:val="30"/>
                <w:highlight w:val="none"/>
              </w:rPr>
            </w:pPr>
          </w:p>
        </w:tc>
        <w:tc>
          <w:tcPr>
            <w:tcW w:w="1418" w:type="dxa"/>
            <w:tcBorders>
              <w:top w:val="double" w:color="auto" w:sz="6" w:space="0"/>
              <w:bottom w:val="single" w:color="auto" w:sz="6" w:space="0"/>
            </w:tcBorders>
            <w:noWrap w:val="0"/>
            <w:vAlign w:val="top"/>
          </w:tcPr>
          <w:p w14:paraId="141D2673">
            <w:pPr>
              <w:pStyle w:val="8"/>
              <w:keepNext/>
              <w:spacing w:after="0" w:line="440" w:lineRule="exact"/>
              <w:ind w:left="63" w:right="63"/>
              <w:rPr>
                <w:rFonts w:eastAsia="仿宋_GB2312"/>
                <w:color w:val="auto"/>
                <w:sz w:val="28"/>
                <w:szCs w:val="30"/>
                <w:highlight w:val="none"/>
              </w:rPr>
            </w:pPr>
          </w:p>
        </w:tc>
        <w:tc>
          <w:tcPr>
            <w:tcW w:w="1701" w:type="dxa"/>
            <w:tcBorders>
              <w:top w:val="double" w:color="auto" w:sz="6" w:space="0"/>
              <w:bottom w:val="single" w:color="auto" w:sz="6" w:space="0"/>
            </w:tcBorders>
            <w:noWrap w:val="0"/>
            <w:vAlign w:val="top"/>
          </w:tcPr>
          <w:p w14:paraId="1766F151">
            <w:pPr>
              <w:pStyle w:val="8"/>
              <w:keepNext/>
              <w:spacing w:after="0" w:line="440" w:lineRule="exact"/>
              <w:ind w:left="63" w:right="63"/>
              <w:rPr>
                <w:rFonts w:eastAsia="仿宋_GB2312"/>
                <w:color w:val="auto"/>
                <w:sz w:val="28"/>
                <w:szCs w:val="30"/>
                <w:highlight w:val="none"/>
              </w:rPr>
            </w:pPr>
          </w:p>
        </w:tc>
      </w:tr>
      <w:tr w14:paraId="2DA7DC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nil"/>
            </w:tcBorders>
            <w:noWrap w:val="0"/>
            <w:vAlign w:val="top"/>
          </w:tcPr>
          <w:p w14:paraId="2F487787">
            <w:pPr>
              <w:pStyle w:val="8"/>
              <w:keepNext/>
              <w:spacing w:after="0" w:line="440" w:lineRule="exact"/>
              <w:ind w:left="63" w:right="63"/>
              <w:rPr>
                <w:rFonts w:eastAsia="仿宋_GB2312"/>
                <w:color w:val="auto"/>
                <w:sz w:val="28"/>
                <w:szCs w:val="30"/>
                <w:highlight w:val="none"/>
              </w:rPr>
            </w:pPr>
          </w:p>
        </w:tc>
        <w:tc>
          <w:tcPr>
            <w:tcW w:w="1984" w:type="dxa"/>
            <w:tcBorders>
              <w:top w:val="nil"/>
            </w:tcBorders>
            <w:noWrap w:val="0"/>
            <w:vAlign w:val="top"/>
          </w:tcPr>
          <w:p w14:paraId="6436DB81">
            <w:pPr>
              <w:pStyle w:val="8"/>
              <w:keepNext/>
              <w:spacing w:after="0" w:line="440" w:lineRule="exact"/>
              <w:ind w:left="63" w:right="63"/>
              <w:rPr>
                <w:rFonts w:eastAsia="仿宋_GB2312"/>
                <w:color w:val="auto"/>
                <w:sz w:val="28"/>
                <w:szCs w:val="30"/>
                <w:highlight w:val="none"/>
              </w:rPr>
            </w:pPr>
          </w:p>
        </w:tc>
        <w:tc>
          <w:tcPr>
            <w:tcW w:w="851" w:type="dxa"/>
            <w:tcBorders>
              <w:top w:val="nil"/>
            </w:tcBorders>
            <w:noWrap w:val="0"/>
            <w:vAlign w:val="top"/>
          </w:tcPr>
          <w:p w14:paraId="38D66B01">
            <w:pPr>
              <w:pStyle w:val="8"/>
              <w:keepNext/>
              <w:spacing w:after="0" w:line="440" w:lineRule="exact"/>
              <w:ind w:left="63" w:right="63"/>
              <w:rPr>
                <w:rFonts w:eastAsia="仿宋_GB2312"/>
                <w:color w:val="auto"/>
                <w:sz w:val="28"/>
                <w:szCs w:val="30"/>
                <w:highlight w:val="none"/>
              </w:rPr>
            </w:pPr>
          </w:p>
        </w:tc>
        <w:tc>
          <w:tcPr>
            <w:tcW w:w="774" w:type="dxa"/>
            <w:tcBorders>
              <w:top w:val="nil"/>
            </w:tcBorders>
            <w:noWrap w:val="0"/>
            <w:vAlign w:val="top"/>
          </w:tcPr>
          <w:p w14:paraId="2B3A9017">
            <w:pPr>
              <w:pStyle w:val="8"/>
              <w:keepNext/>
              <w:spacing w:after="0" w:line="440" w:lineRule="exact"/>
              <w:ind w:left="63" w:right="63"/>
              <w:rPr>
                <w:rFonts w:eastAsia="仿宋_GB2312"/>
                <w:color w:val="auto"/>
                <w:sz w:val="28"/>
                <w:szCs w:val="30"/>
                <w:highlight w:val="none"/>
              </w:rPr>
            </w:pPr>
          </w:p>
        </w:tc>
        <w:tc>
          <w:tcPr>
            <w:tcW w:w="1352" w:type="dxa"/>
            <w:tcBorders>
              <w:top w:val="nil"/>
            </w:tcBorders>
            <w:noWrap w:val="0"/>
            <w:vAlign w:val="top"/>
          </w:tcPr>
          <w:p w14:paraId="187A633B">
            <w:pPr>
              <w:pStyle w:val="8"/>
              <w:keepNext/>
              <w:spacing w:after="0" w:line="440" w:lineRule="exact"/>
              <w:ind w:left="63" w:right="63"/>
              <w:rPr>
                <w:rFonts w:eastAsia="仿宋_GB2312"/>
                <w:color w:val="auto"/>
                <w:sz w:val="28"/>
                <w:szCs w:val="30"/>
                <w:highlight w:val="none"/>
              </w:rPr>
            </w:pPr>
          </w:p>
        </w:tc>
        <w:tc>
          <w:tcPr>
            <w:tcW w:w="1418" w:type="dxa"/>
            <w:tcBorders>
              <w:top w:val="nil"/>
            </w:tcBorders>
            <w:noWrap w:val="0"/>
            <w:vAlign w:val="top"/>
          </w:tcPr>
          <w:p w14:paraId="2F8CB77E">
            <w:pPr>
              <w:pStyle w:val="8"/>
              <w:keepNext/>
              <w:spacing w:after="0" w:line="440" w:lineRule="exact"/>
              <w:ind w:left="63" w:right="63"/>
              <w:rPr>
                <w:rFonts w:eastAsia="仿宋_GB2312"/>
                <w:color w:val="auto"/>
                <w:sz w:val="28"/>
                <w:szCs w:val="30"/>
                <w:highlight w:val="none"/>
              </w:rPr>
            </w:pPr>
          </w:p>
        </w:tc>
        <w:tc>
          <w:tcPr>
            <w:tcW w:w="1701" w:type="dxa"/>
            <w:tcBorders>
              <w:top w:val="nil"/>
            </w:tcBorders>
            <w:noWrap w:val="0"/>
            <w:vAlign w:val="top"/>
          </w:tcPr>
          <w:p w14:paraId="44AE3D3E">
            <w:pPr>
              <w:pStyle w:val="8"/>
              <w:keepNext/>
              <w:spacing w:after="0" w:line="440" w:lineRule="exact"/>
              <w:ind w:left="63" w:right="63"/>
              <w:rPr>
                <w:rFonts w:eastAsia="仿宋_GB2312"/>
                <w:color w:val="auto"/>
                <w:sz w:val="28"/>
                <w:szCs w:val="30"/>
                <w:highlight w:val="none"/>
              </w:rPr>
            </w:pPr>
          </w:p>
        </w:tc>
      </w:tr>
      <w:tr w14:paraId="5088DA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A63F38A">
            <w:pPr>
              <w:pStyle w:val="8"/>
              <w:keepNext/>
              <w:spacing w:after="0" w:line="440" w:lineRule="exact"/>
              <w:ind w:left="63" w:right="63"/>
              <w:rPr>
                <w:rFonts w:eastAsia="仿宋_GB2312"/>
                <w:color w:val="auto"/>
                <w:sz w:val="28"/>
                <w:szCs w:val="30"/>
                <w:highlight w:val="none"/>
              </w:rPr>
            </w:pPr>
          </w:p>
        </w:tc>
        <w:tc>
          <w:tcPr>
            <w:tcW w:w="1984" w:type="dxa"/>
            <w:noWrap w:val="0"/>
            <w:vAlign w:val="top"/>
          </w:tcPr>
          <w:p w14:paraId="6995D6F0">
            <w:pPr>
              <w:pStyle w:val="8"/>
              <w:keepNext/>
              <w:spacing w:after="0" w:line="440" w:lineRule="exact"/>
              <w:ind w:left="63" w:right="63"/>
              <w:rPr>
                <w:rFonts w:eastAsia="仿宋_GB2312"/>
                <w:color w:val="auto"/>
                <w:sz w:val="28"/>
                <w:szCs w:val="30"/>
                <w:highlight w:val="none"/>
              </w:rPr>
            </w:pPr>
          </w:p>
        </w:tc>
        <w:tc>
          <w:tcPr>
            <w:tcW w:w="851" w:type="dxa"/>
            <w:noWrap w:val="0"/>
            <w:vAlign w:val="top"/>
          </w:tcPr>
          <w:p w14:paraId="0F52927D">
            <w:pPr>
              <w:pStyle w:val="8"/>
              <w:keepNext/>
              <w:spacing w:after="0" w:line="440" w:lineRule="exact"/>
              <w:ind w:left="63" w:right="63"/>
              <w:rPr>
                <w:rFonts w:eastAsia="仿宋_GB2312"/>
                <w:color w:val="auto"/>
                <w:sz w:val="28"/>
                <w:szCs w:val="30"/>
                <w:highlight w:val="none"/>
              </w:rPr>
            </w:pPr>
          </w:p>
        </w:tc>
        <w:tc>
          <w:tcPr>
            <w:tcW w:w="774" w:type="dxa"/>
            <w:noWrap w:val="0"/>
            <w:vAlign w:val="top"/>
          </w:tcPr>
          <w:p w14:paraId="5664E707">
            <w:pPr>
              <w:pStyle w:val="8"/>
              <w:keepNext/>
              <w:spacing w:after="0" w:line="440" w:lineRule="exact"/>
              <w:ind w:left="63" w:right="63"/>
              <w:rPr>
                <w:rFonts w:eastAsia="仿宋_GB2312"/>
                <w:color w:val="auto"/>
                <w:sz w:val="28"/>
                <w:szCs w:val="30"/>
                <w:highlight w:val="none"/>
              </w:rPr>
            </w:pPr>
          </w:p>
        </w:tc>
        <w:tc>
          <w:tcPr>
            <w:tcW w:w="1352" w:type="dxa"/>
            <w:noWrap w:val="0"/>
            <w:vAlign w:val="top"/>
          </w:tcPr>
          <w:p w14:paraId="5A00A0B7">
            <w:pPr>
              <w:pStyle w:val="8"/>
              <w:keepNext/>
              <w:spacing w:after="0" w:line="440" w:lineRule="exact"/>
              <w:ind w:left="63" w:right="63"/>
              <w:rPr>
                <w:rFonts w:eastAsia="仿宋_GB2312"/>
                <w:color w:val="auto"/>
                <w:sz w:val="28"/>
                <w:szCs w:val="30"/>
                <w:highlight w:val="none"/>
              </w:rPr>
            </w:pPr>
          </w:p>
        </w:tc>
        <w:tc>
          <w:tcPr>
            <w:tcW w:w="1418" w:type="dxa"/>
            <w:noWrap w:val="0"/>
            <w:vAlign w:val="top"/>
          </w:tcPr>
          <w:p w14:paraId="6EA7E099">
            <w:pPr>
              <w:pStyle w:val="8"/>
              <w:keepNext/>
              <w:spacing w:after="0" w:line="440" w:lineRule="exact"/>
              <w:ind w:left="63" w:right="63"/>
              <w:rPr>
                <w:rFonts w:eastAsia="仿宋_GB2312"/>
                <w:color w:val="auto"/>
                <w:sz w:val="28"/>
                <w:szCs w:val="30"/>
                <w:highlight w:val="none"/>
              </w:rPr>
            </w:pPr>
          </w:p>
        </w:tc>
        <w:tc>
          <w:tcPr>
            <w:tcW w:w="1701" w:type="dxa"/>
            <w:noWrap w:val="0"/>
            <w:vAlign w:val="top"/>
          </w:tcPr>
          <w:p w14:paraId="1C8FAF8C">
            <w:pPr>
              <w:pStyle w:val="8"/>
              <w:keepNext/>
              <w:spacing w:after="0" w:line="440" w:lineRule="exact"/>
              <w:ind w:left="63" w:right="63"/>
              <w:rPr>
                <w:rFonts w:eastAsia="仿宋_GB2312"/>
                <w:color w:val="auto"/>
                <w:sz w:val="28"/>
                <w:szCs w:val="30"/>
                <w:highlight w:val="none"/>
              </w:rPr>
            </w:pPr>
          </w:p>
        </w:tc>
      </w:tr>
      <w:tr w14:paraId="759D9D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8AA415A">
            <w:pPr>
              <w:pStyle w:val="8"/>
              <w:keepNext/>
              <w:spacing w:after="0" w:line="440" w:lineRule="exact"/>
              <w:ind w:left="63" w:right="63"/>
              <w:rPr>
                <w:rFonts w:eastAsia="仿宋_GB2312"/>
                <w:color w:val="auto"/>
                <w:sz w:val="28"/>
                <w:szCs w:val="30"/>
                <w:highlight w:val="none"/>
              </w:rPr>
            </w:pPr>
          </w:p>
        </w:tc>
        <w:tc>
          <w:tcPr>
            <w:tcW w:w="1984" w:type="dxa"/>
            <w:noWrap w:val="0"/>
            <w:vAlign w:val="top"/>
          </w:tcPr>
          <w:p w14:paraId="4975024C">
            <w:pPr>
              <w:pStyle w:val="8"/>
              <w:keepNext/>
              <w:spacing w:after="0" w:line="440" w:lineRule="exact"/>
              <w:ind w:left="63" w:right="63"/>
              <w:rPr>
                <w:rFonts w:eastAsia="仿宋_GB2312"/>
                <w:color w:val="auto"/>
                <w:sz w:val="28"/>
                <w:szCs w:val="30"/>
                <w:highlight w:val="none"/>
              </w:rPr>
            </w:pPr>
          </w:p>
        </w:tc>
        <w:tc>
          <w:tcPr>
            <w:tcW w:w="851" w:type="dxa"/>
            <w:noWrap w:val="0"/>
            <w:vAlign w:val="top"/>
          </w:tcPr>
          <w:p w14:paraId="0124A163">
            <w:pPr>
              <w:pStyle w:val="8"/>
              <w:keepNext/>
              <w:spacing w:after="0" w:line="440" w:lineRule="exact"/>
              <w:ind w:left="63" w:right="63"/>
              <w:rPr>
                <w:rFonts w:eastAsia="仿宋_GB2312"/>
                <w:color w:val="auto"/>
                <w:sz w:val="28"/>
                <w:szCs w:val="30"/>
                <w:highlight w:val="none"/>
              </w:rPr>
            </w:pPr>
          </w:p>
        </w:tc>
        <w:tc>
          <w:tcPr>
            <w:tcW w:w="774" w:type="dxa"/>
            <w:noWrap w:val="0"/>
            <w:vAlign w:val="top"/>
          </w:tcPr>
          <w:p w14:paraId="364E36A7">
            <w:pPr>
              <w:pStyle w:val="8"/>
              <w:keepNext/>
              <w:spacing w:after="0" w:line="440" w:lineRule="exact"/>
              <w:ind w:left="63" w:right="63"/>
              <w:rPr>
                <w:rFonts w:eastAsia="仿宋_GB2312"/>
                <w:color w:val="auto"/>
                <w:sz w:val="28"/>
                <w:szCs w:val="30"/>
                <w:highlight w:val="none"/>
              </w:rPr>
            </w:pPr>
          </w:p>
        </w:tc>
        <w:tc>
          <w:tcPr>
            <w:tcW w:w="1352" w:type="dxa"/>
            <w:noWrap w:val="0"/>
            <w:vAlign w:val="top"/>
          </w:tcPr>
          <w:p w14:paraId="7827344F">
            <w:pPr>
              <w:pStyle w:val="8"/>
              <w:keepNext/>
              <w:spacing w:after="0" w:line="440" w:lineRule="exact"/>
              <w:ind w:left="63" w:right="63"/>
              <w:rPr>
                <w:rFonts w:eastAsia="仿宋_GB2312"/>
                <w:color w:val="auto"/>
                <w:sz w:val="28"/>
                <w:szCs w:val="30"/>
                <w:highlight w:val="none"/>
              </w:rPr>
            </w:pPr>
          </w:p>
        </w:tc>
        <w:tc>
          <w:tcPr>
            <w:tcW w:w="1418" w:type="dxa"/>
            <w:noWrap w:val="0"/>
            <w:vAlign w:val="top"/>
          </w:tcPr>
          <w:p w14:paraId="64E22011">
            <w:pPr>
              <w:pStyle w:val="8"/>
              <w:keepNext/>
              <w:spacing w:after="0" w:line="440" w:lineRule="exact"/>
              <w:ind w:left="63" w:right="63"/>
              <w:rPr>
                <w:rFonts w:eastAsia="仿宋_GB2312"/>
                <w:color w:val="auto"/>
                <w:sz w:val="28"/>
                <w:szCs w:val="30"/>
                <w:highlight w:val="none"/>
              </w:rPr>
            </w:pPr>
          </w:p>
        </w:tc>
        <w:tc>
          <w:tcPr>
            <w:tcW w:w="1701" w:type="dxa"/>
            <w:noWrap w:val="0"/>
            <w:vAlign w:val="top"/>
          </w:tcPr>
          <w:p w14:paraId="4B06398C">
            <w:pPr>
              <w:pStyle w:val="8"/>
              <w:keepNext/>
              <w:spacing w:after="0" w:line="440" w:lineRule="exact"/>
              <w:ind w:left="63" w:right="63"/>
              <w:rPr>
                <w:rFonts w:eastAsia="仿宋_GB2312"/>
                <w:color w:val="auto"/>
                <w:sz w:val="28"/>
                <w:szCs w:val="30"/>
                <w:highlight w:val="none"/>
              </w:rPr>
            </w:pPr>
          </w:p>
        </w:tc>
      </w:tr>
      <w:tr w14:paraId="3E1F11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1B8D154">
            <w:pPr>
              <w:pStyle w:val="8"/>
              <w:keepNext/>
              <w:spacing w:after="0" w:line="440" w:lineRule="exact"/>
              <w:ind w:left="63" w:right="63"/>
              <w:rPr>
                <w:rFonts w:eastAsia="仿宋_GB2312"/>
                <w:color w:val="auto"/>
                <w:sz w:val="28"/>
                <w:szCs w:val="30"/>
                <w:highlight w:val="none"/>
              </w:rPr>
            </w:pPr>
          </w:p>
        </w:tc>
        <w:tc>
          <w:tcPr>
            <w:tcW w:w="1984" w:type="dxa"/>
            <w:noWrap w:val="0"/>
            <w:vAlign w:val="top"/>
          </w:tcPr>
          <w:p w14:paraId="17799D8B">
            <w:pPr>
              <w:pStyle w:val="8"/>
              <w:keepNext/>
              <w:spacing w:after="0" w:line="440" w:lineRule="exact"/>
              <w:ind w:left="63" w:right="63"/>
              <w:rPr>
                <w:rFonts w:eastAsia="仿宋_GB2312"/>
                <w:color w:val="auto"/>
                <w:sz w:val="28"/>
                <w:szCs w:val="30"/>
                <w:highlight w:val="none"/>
              </w:rPr>
            </w:pPr>
          </w:p>
        </w:tc>
        <w:tc>
          <w:tcPr>
            <w:tcW w:w="851" w:type="dxa"/>
            <w:noWrap w:val="0"/>
            <w:vAlign w:val="top"/>
          </w:tcPr>
          <w:p w14:paraId="772C027B">
            <w:pPr>
              <w:pStyle w:val="8"/>
              <w:keepNext/>
              <w:spacing w:after="0" w:line="440" w:lineRule="exact"/>
              <w:ind w:left="63" w:right="63"/>
              <w:rPr>
                <w:rFonts w:eastAsia="仿宋_GB2312"/>
                <w:color w:val="auto"/>
                <w:sz w:val="28"/>
                <w:szCs w:val="30"/>
                <w:highlight w:val="none"/>
              </w:rPr>
            </w:pPr>
          </w:p>
        </w:tc>
        <w:tc>
          <w:tcPr>
            <w:tcW w:w="774" w:type="dxa"/>
            <w:noWrap w:val="0"/>
            <w:vAlign w:val="top"/>
          </w:tcPr>
          <w:p w14:paraId="71B6EFE8">
            <w:pPr>
              <w:pStyle w:val="8"/>
              <w:keepNext/>
              <w:spacing w:after="0" w:line="440" w:lineRule="exact"/>
              <w:ind w:left="63" w:right="63"/>
              <w:rPr>
                <w:rFonts w:eastAsia="仿宋_GB2312"/>
                <w:color w:val="auto"/>
                <w:sz w:val="28"/>
                <w:szCs w:val="30"/>
                <w:highlight w:val="none"/>
              </w:rPr>
            </w:pPr>
          </w:p>
        </w:tc>
        <w:tc>
          <w:tcPr>
            <w:tcW w:w="1352" w:type="dxa"/>
            <w:noWrap w:val="0"/>
            <w:vAlign w:val="top"/>
          </w:tcPr>
          <w:p w14:paraId="4B9E1275">
            <w:pPr>
              <w:pStyle w:val="8"/>
              <w:keepNext/>
              <w:spacing w:after="0" w:line="440" w:lineRule="exact"/>
              <w:ind w:left="63" w:right="63"/>
              <w:rPr>
                <w:rFonts w:eastAsia="仿宋_GB2312"/>
                <w:color w:val="auto"/>
                <w:sz w:val="28"/>
                <w:szCs w:val="30"/>
                <w:highlight w:val="none"/>
              </w:rPr>
            </w:pPr>
          </w:p>
        </w:tc>
        <w:tc>
          <w:tcPr>
            <w:tcW w:w="1418" w:type="dxa"/>
            <w:noWrap w:val="0"/>
            <w:vAlign w:val="top"/>
          </w:tcPr>
          <w:p w14:paraId="205A6C48">
            <w:pPr>
              <w:pStyle w:val="8"/>
              <w:keepNext/>
              <w:spacing w:after="0" w:line="440" w:lineRule="exact"/>
              <w:ind w:left="63" w:right="63"/>
              <w:rPr>
                <w:rFonts w:eastAsia="仿宋_GB2312"/>
                <w:color w:val="auto"/>
                <w:sz w:val="28"/>
                <w:szCs w:val="30"/>
                <w:highlight w:val="none"/>
              </w:rPr>
            </w:pPr>
          </w:p>
        </w:tc>
        <w:tc>
          <w:tcPr>
            <w:tcW w:w="1701" w:type="dxa"/>
            <w:noWrap w:val="0"/>
            <w:vAlign w:val="top"/>
          </w:tcPr>
          <w:p w14:paraId="1EAC32E1">
            <w:pPr>
              <w:pStyle w:val="8"/>
              <w:keepNext/>
              <w:spacing w:after="0" w:line="440" w:lineRule="exact"/>
              <w:ind w:left="63" w:right="63"/>
              <w:rPr>
                <w:rFonts w:eastAsia="仿宋_GB2312"/>
                <w:color w:val="auto"/>
                <w:sz w:val="28"/>
                <w:szCs w:val="30"/>
                <w:highlight w:val="none"/>
              </w:rPr>
            </w:pPr>
          </w:p>
        </w:tc>
      </w:tr>
      <w:tr w14:paraId="265E90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BDAD597">
            <w:pPr>
              <w:pStyle w:val="8"/>
              <w:keepNext/>
              <w:spacing w:after="0" w:line="440" w:lineRule="exact"/>
              <w:ind w:left="63" w:right="63"/>
              <w:rPr>
                <w:rFonts w:eastAsia="仿宋_GB2312"/>
                <w:color w:val="auto"/>
                <w:sz w:val="28"/>
                <w:szCs w:val="30"/>
                <w:highlight w:val="none"/>
              </w:rPr>
            </w:pPr>
          </w:p>
        </w:tc>
        <w:tc>
          <w:tcPr>
            <w:tcW w:w="1984" w:type="dxa"/>
            <w:noWrap w:val="0"/>
            <w:vAlign w:val="top"/>
          </w:tcPr>
          <w:p w14:paraId="258E042F">
            <w:pPr>
              <w:pStyle w:val="8"/>
              <w:keepNext/>
              <w:spacing w:after="0" w:line="440" w:lineRule="exact"/>
              <w:ind w:left="63" w:right="63"/>
              <w:rPr>
                <w:rFonts w:eastAsia="仿宋_GB2312"/>
                <w:color w:val="auto"/>
                <w:sz w:val="28"/>
                <w:szCs w:val="30"/>
                <w:highlight w:val="none"/>
              </w:rPr>
            </w:pPr>
          </w:p>
        </w:tc>
        <w:tc>
          <w:tcPr>
            <w:tcW w:w="851" w:type="dxa"/>
            <w:noWrap w:val="0"/>
            <w:vAlign w:val="top"/>
          </w:tcPr>
          <w:p w14:paraId="669EC304">
            <w:pPr>
              <w:pStyle w:val="8"/>
              <w:keepNext/>
              <w:spacing w:after="0" w:line="440" w:lineRule="exact"/>
              <w:ind w:left="63" w:right="63"/>
              <w:rPr>
                <w:rFonts w:eastAsia="仿宋_GB2312"/>
                <w:color w:val="auto"/>
                <w:sz w:val="28"/>
                <w:szCs w:val="30"/>
                <w:highlight w:val="none"/>
              </w:rPr>
            </w:pPr>
          </w:p>
        </w:tc>
        <w:tc>
          <w:tcPr>
            <w:tcW w:w="774" w:type="dxa"/>
            <w:noWrap w:val="0"/>
            <w:vAlign w:val="top"/>
          </w:tcPr>
          <w:p w14:paraId="6CC28DAF">
            <w:pPr>
              <w:pStyle w:val="8"/>
              <w:keepNext/>
              <w:spacing w:after="0" w:line="440" w:lineRule="exact"/>
              <w:ind w:left="63" w:right="63"/>
              <w:rPr>
                <w:rFonts w:eastAsia="仿宋_GB2312"/>
                <w:color w:val="auto"/>
                <w:sz w:val="28"/>
                <w:szCs w:val="30"/>
                <w:highlight w:val="none"/>
              </w:rPr>
            </w:pPr>
          </w:p>
        </w:tc>
        <w:tc>
          <w:tcPr>
            <w:tcW w:w="1352" w:type="dxa"/>
            <w:noWrap w:val="0"/>
            <w:vAlign w:val="top"/>
          </w:tcPr>
          <w:p w14:paraId="1A474904">
            <w:pPr>
              <w:pStyle w:val="8"/>
              <w:keepNext/>
              <w:spacing w:after="0" w:line="440" w:lineRule="exact"/>
              <w:ind w:left="63" w:right="63"/>
              <w:rPr>
                <w:rFonts w:eastAsia="仿宋_GB2312"/>
                <w:color w:val="auto"/>
                <w:sz w:val="28"/>
                <w:szCs w:val="30"/>
                <w:highlight w:val="none"/>
              </w:rPr>
            </w:pPr>
          </w:p>
        </w:tc>
        <w:tc>
          <w:tcPr>
            <w:tcW w:w="1418" w:type="dxa"/>
            <w:noWrap w:val="0"/>
            <w:vAlign w:val="top"/>
          </w:tcPr>
          <w:p w14:paraId="61DB5392">
            <w:pPr>
              <w:pStyle w:val="8"/>
              <w:keepNext/>
              <w:spacing w:after="0" w:line="440" w:lineRule="exact"/>
              <w:ind w:left="63" w:right="63"/>
              <w:rPr>
                <w:rFonts w:eastAsia="仿宋_GB2312"/>
                <w:color w:val="auto"/>
                <w:sz w:val="28"/>
                <w:szCs w:val="30"/>
                <w:highlight w:val="none"/>
              </w:rPr>
            </w:pPr>
          </w:p>
        </w:tc>
        <w:tc>
          <w:tcPr>
            <w:tcW w:w="1701" w:type="dxa"/>
            <w:noWrap w:val="0"/>
            <w:vAlign w:val="top"/>
          </w:tcPr>
          <w:p w14:paraId="218498EE">
            <w:pPr>
              <w:pStyle w:val="8"/>
              <w:keepNext/>
              <w:spacing w:after="0" w:line="440" w:lineRule="exact"/>
              <w:ind w:left="63" w:right="63"/>
              <w:rPr>
                <w:rFonts w:eastAsia="仿宋_GB2312"/>
                <w:color w:val="auto"/>
                <w:sz w:val="28"/>
                <w:szCs w:val="30"/>
                <w:highlight w:val="none"/>
              </w:rPr>
            </w:pPr>
          </w:p>
        </w:tc>
      </w:tr>
      <w:tr w14:paraId="7C25BF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D729FC6">
            <w:pPr>
              <w:pStyle w:val="8"/>
              <w:keepNext/>
              <w:spacing w:after="0" w:line="440" w:lineRule="exact"/>
              <w:ind w:left="63" w:right="63"/>
              <w:rPr>
                <w:rFonts w:eastAsia="仿宋_GB2312"/>
                <w:color w:val="auto"/>
                <w:sz w:val="28"/>
                <w:szCs w:val="30"/>
                <w:highlight w:val="none"/>
              </w:rPr>
            </w:pPr>
          </w:p>
        </w:tc>
        <w:tc>
          <w:tcPr>
            <w:tcW w:w="1984" w:type="dxa"/>
            <w:noWrap w:val="0"/>
            <w:vAlign w:val="top"/>
          </w:tcPr>
          <w:p w14:paraId="09CB0B8C">
            <w:pPr>
              <w:pStyle w:val="8"/>
              <w:keepNext/>
              <w:spacing w:after="0" w:line="440" w:lineRule="exact"/>
              <w:ind w:left="63" w:right="63"/>
              <w:rPr>
                <w:rFonts w:eastAsia="仿宋_GB2312"/>
                <w:color w:val="auto"/>
                <w:sz w:val="28"/>
                <w:szCs w:val="30"/>
                <w:highlight w:val="none"/>
              </w:rPr>
            </w:pPr>
          </w:p>
        </w:tc>
        <w:tc>
          <w:tcPr>
            <w:tcW w:w="851" w:type="dxa"/>
            <w:noWrap w:val="0"/>
            <w:vAlign w:val="top"/>
          </w:tcPr>
          <w:p w14:paraId="3EA5709C">
            <w:pPr>
              <w:pStyle w:val="8"/>
              <w:keepNext/>
              <w:spacing w:after="0" w:line="440" w:lineRule="exact"/>
              <w:ind w:left="63" w:right="63"/>
              <w:rPr>
                <w:rFonts w:eastAsia="仿宋_GB2312"/>
                <w:color w:val="auto"/>
                <w:sz w:val="28"/>
                <w:szCs w:val="30"/>
                <w:highlight w:val="none"/>
              </w:rPr>
            </w:pPr>
          </w:p>
        </w:tc>
        <w:tc>
          <w:tcPr>
            <w:tcW w:w="774" w:type="dxa"/>
            <w:noWrap w:val="0"/>
            <w:vAlign w:val="top"/>
          </w:tcPr>
          <w:p w14:paraId="360B9592">
            <w:pPr>
              <w:pStyle w:val="8"/>
              <w:keepNext/>
              <w:spacing w:after="0" w:line="440" w:lineRule="exact"/>
              <w:ind w:left="63" w:right="63"/>
              <w:rPr>
                <w:rFonts w:eastAsia="仿宋_GB2312"/>
                <w:color w:val="auto"/>
                <w:sz w:val="28"/>
                <w:szCs w:val="30"/>
                <w:highlight w:val="none"/>
              </w:rPr>
            </w:pPr>
          </w:p>
        </w:tc>
        <w:tc>
          <w:tcPr>
            <w:tcW w:w="1352" w:type="dxa"/>
            <w:noWrap w:val="0"/>
            <w:vAlign w:val="top"/>
          </w:tcPr>
          <w:p w14:paraId="4E348D7A">
            <w:pPr>
              <w:pStyle w:val="8"/>
              <w:keepNext/>
              <w:spacing w:after="0" w:line="440" w:lineRule="exact"/>
              <w:ind w:left="63" w:right="63"/>
              <w:rPr>
                <w:rFonts w:eastAsia="仿宋_GB2312"/>
                <w:color w:val="auto"/>
                <w:sz w:val="28"/>
                <w:szCs w:val="30"/>
                <w:highlight w:val="none"/>
              </w:rPr>
            </w:pPr>
          </w:p>
        </w:tc>
        <w:tc>
          <w:tcPr>
            <w:tcW w:w="1418" w:type="dxa"/>
            <w:noWrap w:val="0"/>
            <w:vAlign w:val="top"/>
          </w:tcPr>
          <w:p w14:paraId="605712C2">
            <w:pPr>
              <w:pStyle w:val="8"/>
              <w:keepNext/>
              <w:spacing w:after="0" w:line="440" w:lineRule="exact"/>
              <w:ind w:left="63" w:right="63"/>
              <w:rPr>
                <w:rFonts w:eastAsia="仿宋_GB2312"/>
                <w:color w:val="auto"/>
                <w:sz w:val="28"/>
                <w:szCs w:val="30"/>
                <w:highlight w:val="none"/>
              </w:rPr>
            </w:pPr>
          </w:p>
        </w:tc>
        <w:tc>
          <w:tcPr>
            <w:tcW w:w="1701" w:type="dxa"/>
            <w:noWrap w:val="0"/>
            <w:vAlign w:val="top"/>
          </w:tcPr>
          <w:p w14:paraId="7E68F04C">
            <w:pPr>
              <w:pStyle w:val="8"/>
              <w:keepNext/>
              <w:spacing w:after="0" w:line="440" w:lineRule="exact"/>
              <w:ind w:left="63" w:right="63"/>
              <w:rPr>
                <w:rFonts w:eastAsia="仿宋_GB2312"/>
                <w:color w:val="auto"/>
                <w:sz w:val="28"/>
                <w:szCs w:val="30"/>
                <w:highlight w:val="none"/>
              </w:rPr>
            </w:pPr>
          </w:p>
        </w:tc>
      </w:tr>
      <w:tr w14:paraId="54AFB9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C5CC248">
            <w:pPr>
              <w:pStyle w:val="8"/>
              <w:keepNext/>
              <w:spacing w:after="0" w:line="440" w:lineRule="exact"/>
              <w:ind w:left="63" w:right="63"/>
              <w:rPr>
                <w:rFonts w:eastAsia="仿宋_GB2312"/>
                <w:color w:val="auto"/>
                <w:sz w:val="28"/>
                <w:szCs w:val="30"/>
                <w:highlight w:val="none"/>
              </w:rPr>
            </w:pPr>
          </w:p>
        </w:tc>
        <w:tc>
          <w:tcPr>
            <w:tcW w:w="1984" w:type="dxa"/>
            <w:noWrap w:val="0"/>
            <w:vAlign w:val="top"/>
          </w:tcPr>
          <w:p w14:paraId="7D699D81">
            <w:pPr>
              <w:pStyle w:val="8"/>
              <w:keepNext/>
              <w:spacing w:after="0" w:line="440" w:lineRule="exact"/>
              <w:ind w:left="63" w:right="63"/>
              <w:rPr>
                <w:rFonts w:eastAsia="仿宋_GB2312"/>
                <w:color w:val="auto"/>
                <w:sz w:val="28"/>
                <w:szCs w:val="30"/>
                <w:highlight w:val="none"/>
              </w:rPr>
            </w:pPr>
          </w:p>
        </w:tc>
        <w:tc>
          <w:tcPr>
            <w:tcW w:w="851" w:type="dxa"/>
            <w:noWrap w:val="0"/>
            <w:vAlign w:val="top"/>
          </w:tcPr>
          <w:p w14:paraId="3B511732">
            <w:pPr>
              <w:pStyle w:val="8"/>
              <w:keepNext/>
              <w:spacing w:after="0" w:line="440" w:lineRule="exact"/>
              <w:ind w:left="63" w:right="63"/>
              <w:rPr>
                <w:rFonts w:eastAsia="仿宋_GB2312"/>
                <w:color w:val="auto"/>
                <w:sz w:val="28"/>
                <w:szCs w:val="30"/>
                <w:highlight w:val="none"/>
              </w:rPr>
            </w:pPr>
          </w:p>
        </w:tc>
        <w:tc>
          <w:tcPr>
            <w:tcW w:w="774" w:type="dxa"/>
            <w:noWrap w:val="0"/>
            <w:vAlign w:val="top"/>
          </w:tcPr>
          <w:p w14:paraId="16275356">
            <w:pPr>
              <w:pStyle w:val="8"/>
              <w:keepNext/>
              <w:spacing w:after="0" w:line="440" w:lineRule="exact"/>
              <w:ind w:left="63" w:right="63"/>
              <w:rPr>
                <w:rFonts w:eastAsia="仿宋_GB2312"/>
                <w:color w:val="auto"/>
                <w:sz w:val="28"/>
                <w:szCs w:val="30"/>
                <w:highlight w:val="none"/>
              </w:rPr>
            </w:pPr>
          </w:p>
        </w:tc>
        <w:tc>
          <w:tcPr>
            <w:tcW w:w="1352" w:type="dxa"/>
            <w:noWrap w:val="0"/>
            <w:vAlign w:val="top"/>
          </w:tcPr>
          <w:p w14:paraId="476A8884">
            <w:pPr>
              <w:pStyle w:val="8"/>
              <w:keepNext/>
              <w:spacing w:after="0" w:line="440" w:lineRule="exact"/>
              <w:ind w:left="63" w:right="63"/>
              <w:rPr>
                <w:rFonts w:eastAsia="仿宋_GB2312"/>
                <w:color w:val="auto"/>
                <w:sz w:val="28"/>
                <w:szCs w:val="30"/>
                <w:highlight w:val="none"/>
              </w:rPr>
            </w:pPr>
          </w:p>
        </w:tc>
        <w:tc>
          <w:tcPr>
            <w:tcW w:w="1418" w:type="dxa"/>
            <w:noWrap w:val="0"/>
            <w:vAlign w:val="top"/>
          </w:tcPr>
          <w:p w14:paraId="7D68BF64">
            <w:pPr>
              <w:pStyle w:val="8"/>
              <w:keepNext/>
              <w:spacing w:after="0" w:line="440" w:lineRule="exact"/>
              <w:ind w:left="63" w:right="63"/>
              <w:rPr>
                <w:rFonts w:eastAsia="仿宋_GB2312"/>
                <w:color w:val="auto"/>
                <w:sz w:val="28"/>
                <w:szCs w:val="30"/>
                <w:highlight w:val="none"/>
              </w:rPr>
            </w:pPr>
          </w:p>
        </w:tc>
        <w:tc>
          <w:tcPr>
            <w:tcW w:w="1701" w:type="dxa"/>
            <w:noWrap w:val="0"/>
            <w:vAlign w:val="top"/>
          </w:tcPr>
          <w:p w14:paraId="7C504A64">
            <w:pPr>
              <w:pStyle w:val="8"/>
              <w:keepNext/>
              <w:spacing w:after="0" w:line="440" w:lineRule="exact"/>
              <w:ind w:left="63" w:right="63"/>
              <w:rPr>
                <w:rFonts w:eastAsia="仿宋_GB2312"/>
                <w:color w:val="auto"/>
                <w:sz w:val="28"/>
                <w:szCs w:val="30"/>
                <w:highlight w:val="none"/>
              </w:rPr>
            </w:pPr>
          </w:p>
        </w:tc>
      </w:tr>
      <w:tr w14:paraId="54ACB0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1C6B581">
            <w:pPr>
              <w:pStyle w:val="8"/>
              <w:keepNext/>
              <w:spacing w:after="0" w:line="440" w:lineRule="exact"/>
              <w:ind w:left="63" w:right="63"/>
              <w:rPr>
                <w:rFonts w:eastAsia="仿宋_GB2312"/>
                <w:color w:val="auto"/>
                <w:sz w:val="28"/>
                <w:szCs w:val="30"/>
                <w:highlight w:val="none"/>
              </w:rPr>
            </w:pPr>
          </w:p>
        </w:tc>
        <w:tc>
          <w:tcPr>
            <w:tcW w:w="1984" w:type="dxa"/>
            <w:noWrap w:val="0"/>
            <w:vAlign w:val="top"/>
          </w:tcPr>
          <w:p w14:paraId="7761557E">
            <w:pPr>
              <w:pStyle w:val="8"/>
              <w:keepNext/>
              <w:spacing w:after="0" w:line="440" w:lineRule="exact"/>
              <w:ind w:left="63" w:right="63"/>
              <w:rPr>
                <w:rFonts w:eastAsia="仿宋_GB2312"/>
                <w:color w:val="auto"/>
                <w:sz w:val="28"/>
                <w:szCs w:val="30"/>
                <w:highlight w:val="none"/>
              </w:rPr>
            </w:pPr>
          </w:p>
        </w:tc>
        <w:tc>
          <w:tcPr>
            <w:tcW w:w="851" w:type="dxa"/>
            <w:noWrap w:val="0"/>
            <w:vAlign w:val="top"/>
          </w:tcPr>
          <w:p w14:paraId="6498D58B">
            <w:pPr>
              <w:pStyle w:val="8"/>
              <w:keepNext/>
              <w:spacing w:after="0" w:line="440" w:lineRule="exact"/>
              <w:ind w:left="63" w:right="63"/>
              <w:rPr>
                <w:rFonts w:eastAsia="仿宋_GB2312"/>
                <w:color w:val="auto"/>
                <w:sz w:val="28"/>
                <w:szCs w:val="30"/>
                <w:highlight w:val="none"/>
              </w:rPr>
            </w:pPr>
          </w:p>
        </w:tc>
        <w:tc>
          <w:tcPr>
            <w:tcW w:w="774" w:type="dxa"/>
            <w:noWrap w:val="0"/>
            <w:vAlign w:val="top"/>
          </w:tcPr>
          <w:p w14:paraId="0ACE7CDF">
            <w:pPr>
              <w:pStyle w:val="8"/>
              <w:keepNext/>
              <w:spacing w:after="0" w:line="440" w:lineRule="exact"/>
              <w:ind w:left="63" w:right="63"/>
              <w:rPr>
                <w:rFonts w:eastAsia="仿宋_GB2312"/>
                <w:color w:val="auto"/>
                <w:sz w:val="28"/>
                <w:szCs w:val="30"/>
                <w:highlight w:val="none"/>
              </w:rPr>
            </w:pPr>
          </w:p>
        </w:tc>
        <w:tc>
          <w:tcPr>
            <w:tcW w:w="1352" w:type="dxa"/>
            <w:noWrap w:val="0"/>
            <w:vAlign w:val="top"/>
          </w:tcPr>
          <w:p w14:paraId="5C66736C">
            <w:pPr>
              <w:pStyle w:val="8"/>
              <w:keepNext/>
              <w:spacing w:after="0" w:line="440" w:lineRule="exact"/>
              <w:ind w:left="63" w:right="63"/>
              <w:rPr>
                <w:rFonts w:eastAsia="仿宋_GB2312"/>
                <w:color w:val="auto"/>
                <w:sz w:val="28"/>
                <w:szCs w:val="30"/>
                <w:highlight w:val="none"/>
              </w:rPr>
            </w:pPr>
          </w:p>
        </w:tc>
        <w:tc>
          <w:tcPr>
            <w:tcW w:w="1418" w:type="dxa"/>
            <w:noWrap w:val="0"/>
            <w:vAlign w:val="top"/>
          </w:tcPr>
          <w:p w14:paraId="25B45E1A">
            <w:pPr>
              <w:pStyle w:val="8"/>
              <w:keepNext/>
              <w:spacing w:after="0" w:line="440" w:lineRule="exact"/>
              <w:ind w:left="63" w:right="63"/>
              <w:rPr>
                <w:rFonts w:eastAsia="仿宋_GB2312"/>
                <w:color w:val="auto"/>
                <w:sz w:val="28"/>
                <w:szCs w:val="30"/>
                <w:highlight w:val="none"/>
              </w:rPr>
            </w:pPr>
          </w:p>
        </w:tc>
        <w:tc>
          <w:tcPr>
            <w:tcW w:w="1701" w:type="dxa"/>
            <w:noWrap w:val="0"/>
            <w:vAlign w:val="top"/>
          </w:tcPr>
          <w:p w14:paraId="4196041C">
            <w:pPr>
              <w:pStyle w:val="8"/>
              <w:keepNext/>
              <w:spacing w:after="0" w:line="440" w:lineRule="exact"/>
              <w:ind w:left="63" w:right="63"/>
              <w:rPr>
                <w:rFonts w:eastAsia="仿宋_GB2312"/>
                <w:color w:val="auto"/>
                <w:sz w:val="28"/>
                <w:szCs w:val="30"/>
                <w:highlight w:val="none"/>
              </w:rPr>
            </w:pPr>
          </w:p>
        </w:tc>
      </w:tr>
      <w:tr w14:paraId="6B4B53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6BC1FC9">
            <w:pPr>
              <w:pStyle w:val="8"/>
              <w:keepNext/>
              <w:spacing w:after="0" w:line="440" w:lineRule="exact"/>
              <w:ind w:left="63" w:right="63"/>
              <w:rPr>
                <w:rFonts w:eastAsia="仿宋_GB2312"/>
                <w:color w:val="auto"/>
                <w:sz w:val="28"/>
                <w:szCs w:val="30"/>
                <w:highlight w:val="none"/>
              </w:rPr>
            </w:pPr>
          </w:p>
        </w:tc>
        <w:tc>
          <w:tcPr>
            <w:tcW w:w="1984" w:type="dxa"/>
            <w:noWrap w:val="0"/>
            <w:vAlign w:val="top"/>
          </w:tcPr>
          <w:p w14:paraId="33880053">
            <w:pPr>
              <w:pStyle w:val="8"/>
              <w:keepNext/>
              <w:spacing w:after="0" w:line="440" w:lineRule="exact"/>
              <w:ind w:left="63" w:right="63"/>
              <w:rPr>
                <w:rFonts w:eastAsia="仿宋_GB2312"/>
                <w:color w:val="auto"/>
                <w:sz w:val="28"/>
                <w:szCs w:val="30"/>
                <w:highlight w:val="none"/>
              </w:rPr>
            </w:pPr>
          </w:p>
        </w:tc>
        <w:tc>
          <w:tcPr>
            <w:tcW w:w="851" w:type="dxa"/>
            <w:noWrap w:val="0"/>
            <w:vAlign w:val="top"/>
          </w:tcPr>
          <w:p w14:paraId="57ABF811">
            <w:pPr>
              <w:pStyle w:val="8"/>
              <w:keepNext/>
              <w:spacing w:after="0" w:line="440" w:lineRule="exact"/>
              <w:ind w:left="63" w:right="63"/>
              <w:rPr>
                <w:rFonts w:eastAsia="仿宋_GB2312"/>
                <w:color w:val="auto"/>
                <w:sz w:val="28"/>
                <w:szCs w:val="30"/>
                <w:highlight w:val="none"/>
              </w:rPr>
            </w:pPr>
          </w:p>
        </w:tc>
        <w:tc>
          <w:tcPr>
            <w:tcW w:w="774" w:type="dxa"/>
            <w:noWrap w:val="0"/>
            <w:vAlign w:val="top"/>
          </w:tcPr>
          <w:p w14:paraId="33747DCF">
            <w:pPr>
              <w:pStyle w:val="8"/>
              <w:keepNext/>
              <w:spacing w:after="0" w:line="440" w:lineRule="exact"/>
              <w:ind w:left="63" w:right="63"/>
              <w:rPr>
                <w:rFonts w:eastAsia="仿宋_GB2312"/>
                <w:color w:val="auto"/>
                <w:sz w:val="28"/>
                <w:szCs w:val="30"/>
                <w:highlight w:val="none"/>
              </w:rPr>
            </w:pPr>
          </w:p>
        </w:tc>
        <w:tc>
          <w:tcPr>
            <w:tcW w:w="1352" w:type="dxa"/>
            <w:noWrap w:val="0"/>
            <w:vAlign w:val="top"/>
          </w:tcPr>
          <w:p w14:paraId="5DA38197">
            <w:pPr>
              <w:pStyle w:val="8"/>
              <w:keepNext/>
              <w:spacing w:after="0" w:line="440" w:lineRule="exact"/>
              <w:ind w:left="63" w:right="63"/>
              <w:rPr>
                <w:rFonts w:eastAsia="仿宋_GB2312"/>
                <w:color w:val="auto"/>
                <w:sz w:val="28"/>
                <w:szCs w:val="30"/>
                <w:highlight w:val="none"/>
              </w:rPr>
            </w:pPr>
          </w:p>
        </w:tc>
        <w:tc>
          <w:tcPr>
            <w:tcW w:w="1418" w:type="dxa"/>
            <w:noWrap w:val="0"/>
            <w:vAlign w:val="top"/>
          </w:tcPr>
          <w:p w14:paraId="204881A0">
            <w:pPr>
              <w:pStyle w:val="8"/>
              <w:keepNext/>
              <w:spacing w:after="0" w:line="440" w:lineRule="exact"/>
              <w:ind w:left="63" w:right="63"/>
              <w:rPr>
                <w:rFonts w:eastAsia="仿宋_GB2312"/>
                <w:color w:val="auto"/>
                <w:sz w:val="28"/>
                <w:szCs w:val="30"/>
                <w:highlight w:val="none"/>
              </w:rPr>
            </w:pPr>
          </w:p>
        </w:tc>
        <w:tc>
          <w:tcPr>
            <w:tcW w:w="1701" w:type="dxa"/>
            <w:noWrap w:val="0"/>
            <w:vAlign w:val="top"/>
          </w:tcPr>
          <w:p w14:paraId="24B23E9A">
            <w:pPr>
              <w:pStyle w:val="8"/>
              <w:keepNext/>
              <w:spacing w:after="0" w:line="440" w:lineRule="exact"/>
              <w:ind w:left="63" w:right="63"/>
              <w:rPr>
                <w:rFonts w:eastAsia="仿宋_GB2312"/>
                <w:color w:val="auto"/>
                <w:sz w:val="28"/>
                <w:szCs w:val="30"/>
                <w:highlight w:val="none"/>
              </w:rPr>
            </w:pPr>
          </w:p>
        </w:tc>
      </w:tr>
      <w:tr w14:paraId="3FF9A9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A5A91E8">
            <w:pPr>
              <w:pStyle w:val="8"/>
              <w:keepNext/>
              <w:spacing w:after="0" w:line="440" w:lineRule="exact"/>
              <w:ind w:left="63" w:right="63"/>
              <w:rPr>
                <w:rFonts w:eastAsia="仿宋_GB2312"/>
                <w:color w:val="auto"/>
                <w:sz w:val="28"/>
                <w:szCs w:val="30"/>
                <w:highlight w:val="none"/>
              </w:rPr>
            </w:pPr>
          </w:p>
        </w:tc>
        <w:tc>
          <w:tcPr>
            <w:tcW w:w="1984" w:type="dxa"/>
            <w:noWrap w:val="0"/>
            <w:vAlign w:val="top"/>
          </w:tcPr>
          <w:p w14:paraId="5706B059">
            <w:pPr>
              <w:pStyle w:val="8"/>
              <w:keepNext/>
              <w:spacing w:after="0" w:line="440" w:lineRule="exact"/>
              <w:ind w:left="63" w:right="63"/>
              <w:rPr>
                <w:rFonts w:eastAsia="仿宋_GB2312"/>
                <w:color w:val="auto"/>
                <w:sz w:val="28"/>
                <w:szCs w:val="30"/>
                <w:highlight w:val="none"/>
              </w:rPr>
            </w:pPr>
          </w:p>
        </w:tc>
        <w:tc>
          <w:tcPr>
            <w:tcW w:w="851" w:type="dxa"/>
            <w:noWrap w:val="0"/>
            <w:vAlign w:val="top"/>
          </w:tcPr>
          <w:p w14:paraId="02A7F150">
            <w:pPr>
              <w:pStyle w:val="8"/>
              <w:keepNext/>
              <w:spacing w:after="0" w:line="440" w:lineRule="exact"/>
              <w:ind w:left="63" w:right="63"/>
              <w:rPr>
                <w:rFonts w:eastAsia="仿宋_GB2312"/>
                <w:color w:val="auto"/>
                <w:sz w:val="28"/>
                <w:szCs w:val="30"/>
                <w:highlight w:val="none"/>
              </w:rPr>
            </w:pPr>
          </w:p>
        </w:tc>
        <w:tc>
          <w:tcPr>
            <w:tcW w:w="774" w:type="dxa"/>
            <w:noWrap w:val="0"/>
            <w:vAlign w:val="top"/>
          </w:tcPr>
          <w:p w14:paraId="3679F7EA">
            <w:pPr>
              <w:pStyle w:val="8"/>
              <w:keepNext/>
              <w:spacing w:after="0" w:line="440" w:lineRule="exact"/>
              <w:ind w:left="63" w:right="63"/>
              <w:rPr>
                <w:rFonts w:eastAsia="仿宋_GB2312"/>
                <w:color w:val="auto"/>
                <w:sz w:val="28"/>
                <w:szCs w:val="30"/>
                <w:highlight w:val="none"/>
              </w:rPr>
            </w:pPr>
          </w:p>
        </w:tc>
        <w:tc>
          <w:tcPr>
            <w:tcW w:w="1352" w:type="dxa"/>
            <w:noWrap w:val="0"/>
            <w:vAlign w:val="top"/>
          </w:tcPr>
          <w:p w14:paraId="22CFB755">
            <w:pPr>
              <w:pStyle w:val="8"/>
              <w:keepNext/>
              <w:spacing w:after="0" w:line="440" w:lineRule="exact"/>
              <w:ind w:left="63" w:right="63"/>
              <w:rPr>
                <w:rFonts w:eastAsia="仿宋_GB2312"/>
                <w:color w:val="auto"/>
                <w:sz w:val="28"/>
                <w:szCs w:val="30"/>
                <w:highlight w:val="none"/>
              </w:rPr>
            </w:pPr>
          </w:p>
        </w:tc>
        <w:tc>
          <w:tcPr>
            <w:tcW w:w="1418" w:type="dxa"/>
            <w:noWrap w:val="0"/>
            <w:vAlign w:val="top"/>
          </w:tcPr>
          <w:p w14:paraId="487DCFA0">
            <w:pPr>
              <w:pStyle w:val="8"/>
              <w:keepNext/>
              <w:spacing w:after="0" w:line="440" w:lineRule="exact"/>
              <w:ind w:left="63" w:right="63"/>
              <w:rPr>
                <w:rFonts w:eastAsia="仿宋_GB2312"/>
                <w:color w:val="auto"/>
                <w:sz w:val="28"/>
                <w:szCs w:val="30"/>
                <w:highlight w:val="none"/>
              </w:rPr>
            </w:pPr>
          </w:p>
        </w:tc>
        <w:tc>
          <w:tcPr>
            <w:tcW w:w="1701" w:type="dxa"/>
            <w:noWrap w:val="0"/>
            <w:vAlign w:val="top"/>
          </w:tcPr>
          <w:p w14:paraId="41EB9CBD">
            <w:pPr>
              <w:pStyle w:val="8"/>
              <w:keepNext/>
              <w:spacing w:after="0" w:line="440" w:lineRule="exact"/>
              <w:ind w:left="63" w:right="63"/>
              <w:rPr>
                <w:rFonts w:eastAsia="仿宋_GB2312"/>
                <w:color w:val="auto"/>
                <w:sz w:val="28"/>
                <w:szCs w:val="30"/>
                <w:highlight w:val="none"/>
              </w:rPr>
            </w:pPr>
          </w:p>
        </w:tc>
      </w:tr>
      <w:tr w14:paraId="1B9072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68B5828">
            <w:pPr>
              <w:pStyle w:val="8"/>
              <w:keepNext/>
              <w:spacing w:after="0" w:line="440" w:lineRule="exact"/>
              <w:ind w:left="63" w:right="63"/>
              <w:rPr>
                <w:rFonts w:eastAsia="仿宋_GB2312"/>
                <w:color w:val="auto"/>
                <w:sz w:val="28"/>
                <w:szCs w:val="30"/>
                <w:highlight w:val="none"/>
              </w:rPr>
            </w:pPr>
          </w:p>
        </w:tc>
        <w:tc>
          <w:tcPr>
            <w:tcW w:w="1984" w:type="dxa"/>
            <w:noWrap w:val="0"/>
            <w:vAlign w:val="top"/>
          </w:tcPr>
          <w:p w14:paraId="7E0B8508">
            <w:pPr>
              <w:pStyle w:val="8"/>
              <w:keepNext/>
              <w:spacing w:after="0" w:line="440" w:lineRule="exact"/>
              <w:ind w:left="63" w:right="63"/>
              <w:rPr>
                <w:rFonts w:eastAsia="仿宋_GB2312"/>
                <w:color w:val="auto"/>
                <w:sz w:val="28"/>
                <w:szCs w:val="30"/>
                <w:highlight w:val="none"/>
              </w:rPr>
            </w:pPr>
          </w:p>
        </w:tc>
        <w:tc>
          <w:tcPr>
            <w:tcW w:w="851" w:type="dxa"/>
            <w:noWrap w:val="0"/>
            <w:vAlign w:val="top"/>
          </w:tcPr>
          <w:p w14:paraId="2C1A7CB3">
            <w:pPr>
              <w:pStyle w:val="8"/>
              <w:keepNext/>
              <w:spacing w:after="0" w:line="440" w:lineRule="exact"/>
              <w:ind w:left="63" w:right="63"/>
              <w:rPr>
                <w:rFonts w:eastAsia="仿宋_GB2312"/>
                <w:color w:val="auto"/>
                <w:sz w:val="28"/>
                <w:szCs w:val="30"/>
                <w:highlight w:val="none"/>
              </w:rPr>
            </w:pPr>
          </w:p>
        </w:tc>
        <w:tc>
          <w:tcPr>
            <w:tcW w:w="774" w:type="dxa"/>
            <w:noWrap w:val="0"/>
            <w:vAlign w:val="top"/>
          </w:tcPr>
          <w:p w14:paraId="3FD25A69">
            <w:pPr>
              <w:pStyle w:val="8"/>
              <w:keepNext/>
              <w:spacing w:after="0" w:line="440" w:lineRule="exact"/>
              <w:ind w:left="63" w:right="63"/>
              <w:rPr>
                <w:rFonts w:eastAsia="仿宋_GB2312"/>
                <w:color w:val="auto"/>
                <w:sz w:val="28"/>
                <w:szCs w:val="30"/>
                <w:highlight w:val="none"/>
              </w:rPr>
            </w:pPr>
          </w:p>
        </w:tc>
        <w:tc>
          <w:tcPr>
            <w:tcW w:w="1352" w:type="dxa"/>
            <w:noWrap w:val="0"/>
            <w:vAlign w:val="top"/>
          </w:tcPr>
          <w:p w14:paraId="1D23ABB8">
            <w:pPr>
              <w:pStyle w:val="8"/>
              <w:keepNext/>
              <w:spacing w:after="0" w:line="440" w:lineRule="exact"/>
              <w:ind w:left="63" w:right="63"/>
              <w:rPr>
                <w:rFonts w:eastAsia="仿宋_GB2312"/>
                <w:color w:val="auto"/>
                <w:sz w:val="28"/>
                <w:szCs w:val="30"/>
                <w:highlight w:val="none"/>
              </w:rPr>
            </w:pPr>
          </w:p>
        </w:tc>
        <w:tc>
          <w:tcPr>
            <w:tcW w:w="1418" w:type="dxa"/>
            <w:noWrap w:val="0"/>
            <w:vAlign w:val="top"/>
          </w:tcPr>
          <w:p w14:paraId="60D590C6">
            <w:pPr>
              <w:pStyle w:val="8"/>
              <w:keepNext/>
              <w:spacing w:after="0" w:line="440" w:lineRule="exact"/>
              <w:ind w:left="63" w:right="63"/>
              <w:rPr>
                <w:rFonts w:eastAsia="仿宋_GB2312"/>
                <w:color w:val="auto"/>
                <w:sz w:val="28"/>
                <w:szCs w:val="30"/>
                <w:highlight w:val="none"/>
              </w:rPr>
            </w:pPr>
          </w:p>
        </w:tc>
        <w:tc>
          <w:tcPr>
            <w:tcW w:w="1701" w:type="dxa"/>
            <w:noWrap w:val="0"/>
            <w:vAlign w:val="top"/>
          </w:tcPr>
          <w:p w14:paraId="10335176">
            <w:pPr>
              <w:pStyle w:val="8"/>
              <w:keepNext/>
              <w:spacing w:after="0" w:line="440" w:lineRule="exact"/>
              <w:ind w:left="63" w:right="63"/>
              <w:rPr>
                <w:rFonts w:eastAsia="仿宋_GB2312"/>
                <w:color w:val="auto"/>
                <w:sz w:val="28"/>
                <w:szCs w:val="30"/>
                <w:highlight w:val="none"/>
              </w:rPr>
            </w:pPr>
          </w:p>
        </w:tc>
      </w:tr>
      <w:tr w14:paraId="7B23D7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1CFDD00">
            <w:pPr>
              <w:pStyle w:val="8"/>
              <w:keepNext/>
              <w:spacing w:after="0" w:line="440" w:lineRule="exact"/>
              <w:ind w:left="63" w:right="63"/>
              <w:rPr>
                <w:rFonts w:eastAsia="仿宋_GB2312"/>
                <w:color w:val="auto"/>
                <w:sz w:val="28"/>
                <w:szCs w:val="30"/>
                <w:highlight w:val="none"/>
              </w:rPr>
            </w:pPr>
          </w:p>
        </w:tc>
        <w:tc>
          <w:tcPr>
            <w:tcW w:w="1984" w:type="dxa"/>
            <w:noWrap w:val="0"/>
            <w:vAlign w:val="top"/>
          </w:tcPr>
          <w:p w14:paraId="0BA9CE4C">
            <w:pPr>
              <w:pStyle w:val="8"/>
              <w:keepNext/>
              <w:spacing w:after="0" w:line="440" w:lineRule="exact"/>
              <w:ind w:left="63" w:right="63"/>
              <w:rPr>
                <w:rFonts w:eastAsia="仿宋_GB2312"/>
                <w:color w:val="auto"/>
                <w:sz w:val="28"/>
                <w:szCs w:val="30"/>
                <w:highlight w:val="none"/>
              </w:rPr>
            </w:pPr>
          </w:p>
        </w:tc>
        <w:tc>
          <w:tcPr>
            <w:tcW w:w="851" w:type="dxa"/>
            <w:noWrap w:val="0"/>
            <w:vAlign w:val="top"/>
          </w:tcPr>
          <w:p w14:paraId="53FAF644">
            <w:pPr>
              <w:pStyle w:val="8"/>
              <w:keepNext/>
              <w:spacing w:after="0" w:line="440" w:lineRule="exact"/>
              <w:ind w:left="63" w:right="63"/>
              <w:rPr>
                <w:rFonts w:eastAsia="仿宋_GB2312"/>
                <w:color w:val="auto"/>
                <w:sz w:val="28"/>
                <w:szCs w:val="30"/>
                <w:highlight w:val="none"/>
              </w:rPr>
            </w:pPr>
          </w:p>
        </w:tc>
        <w:tc>
          <w:tcPr>
            <w:tcW w:w="774" w:type="dxa"/>
            <w:noWrap w:val="0"/>
            <w:vAlign w:val="top"/>
          </w:tcPr>
          <w:p w14:paraId="1D0DDAB8">
            <w:pPr>
              <w:pStyle w:val="8"/>
              <w:keepNext/>
              <w:spacing w:after="0" w:line="440" w:lineRule="exact"/>
              <w:ind w:left="63" w:right="63"/>
              <w:rPr>
                <w:rFonts w:eastAsia="仿宋_GB2312"/>
                <w:color w:val="auto"/>
                <w:sz w:val="28"/>
                <w:szCs w:val="30"/>
                <w:highlight w:val="none"/>
              </w:rPr>
            </w:pPr>
          </w:p>
        </w:tc>
        <w:tc>
          <w:tcPr>
            <w:tcW w:w="1352" w:type="dxa"/>
            <w:noWrap w:val="0"/>
            <w:vAlign w:val="top"/>
          </w:tcPr>
          <w:p w14:paraId="40828E8A">
            <w:pPr>
              <w:pStyle w:val="8"/>
              <w:keepNext/>
              <w:spacing w:after="0" w:line="440" w:lineRule="exact"/>
              <w:ind w:left="63" w:right="63"/>
              <w:rPr>
                <w:rFonts w:eastAsia="仿宋_GB2312"/>
                <w:color w:val="auto"/>
                <w:sz w:val="28"/>
                <w:szCs w:val="30"/>
                <w:highlight w:val="none"/>
              </w:rPr>
            </w:pPr>
          </w:p>
        </w:tc>
        <w:tc>
          <w:tcPr>
            <w:tcW w:w="1418" w:type="dxa"/>
            <w:noWrap w:val="0"/>
            <w:vAlign w:val="top"/>
          </w:tcPr>
          <w:p w14:paraId="0430F414">
            <w:pPr>
              <w:pStyle w:val="8"/>
              <w:keepNext/>
              <w:spacing w:after="0" w:line="440" w:lineRule="exact"/>
              <w:ind w:left="63" w:right="63"/>
              <w:rPr>
                <w:rFonts w:eastAsia="仿宋_GB2312"/>
                <w:color w:val="auto"/>
                <w:sz w:val="28"/>
                <w:szCs w:val="30"/>
                <w:highlight w:val="none"/>
              </w:rPr>
            </w:pPr>
          </w:p>
        </w:tc>
        <w:tc>
          <w:tcPr>
            <w:tcW w:w="1701" w:type="dxa"/>
            <w:noWrap w:val="0"/>
            <w:vAlign w:val="top"/>
          </w:tcPr>
          <w:p w14:paraId="4A56A656">
            <w:pPr>
              <w:pStyle w:val="8"/>
              <w:keepNext/>
              <w:spacing w:after="0" w:line="440" w:lineRule="exact"/>
              <w:ind w:left="63" w:right="63"/>
              <w:rPr>
                <w:rFonts w:eastAsia="仿宋_GB2312"/>
                <w:color w:val="auto"/>
                <w:sz w:val="28"/>
                <w:szCs w:val="30"/>
                <w:highlight w:val="none"/>
              </w:rPr>
            </w:pPr>
          </w:p>
        </w:tc>
      </w:tr>
      <w:tr w14:paraId="4E9D89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B84CDEE">
            <w:pPr>
              <w:pStyle w:val="8"/>
              <w:keepNext/>
              <w:spacing w:after="0" w:line="440" w:lineRule="exact"/>
              <w:ind w:left="63" w:right="63"/>
              <w:rPr>
                <w:rFonts w:eastAsia="仿宋_GB2312"/>
                <w:color w:val="auto"/>
                <w:sz w:val="28"/>
                <w:szCs w:val="30"/>
                <w:highlight w:val="none"/>
              </w:rPr>
            </w:pPr>
          </w:p>
        </w:tc>
        <w:tc>
          <w:tcPr>
            <w:tcW w:w="1984" w:type="dxa"/>
            <w:noWrap w:val="0"/>
            <w:vAlign w:val="top"/>
          </w:tcPr>
          <w:p w14:paraId="6CEC6D83">
            <w:pPr>
              <w:pStyle w:val="8"/>
              <w:keepNext/>
              <w:spacing w:after="0" w:line="440" w:lineRule="exact"/>
              <w:ind w:left="63" w:right="63"/>
              <w:rPr>
                <w:rFonts w:eastAsia="仿宋_GB2312"/>
                <w:color w:val="auto"/>
                <w:sz w:val="28"/>
                <w:szCs w:val="30"/>
                <w:highlight w:val="none"/>
              </w:rPr>
            </w:pPr>
          </w:p>
        </w:tc>
        <w:tc>
          <w:tcPr>
            <w:tcW w:w="851" w:type="dxa"/>
            <w:noWrap w:val="0"/>
            <w:vAlign w:val="top"/>
          </w:tcPr>
          <w:p w14:paraId="78E209D0">
            <w:pPr>
              <w:pStyle w:val="8"/>
              <w:keepNext/>
              <w:spacing w:after="0" w:line="440" w:lineRule="exact"/>
              <w:ind w:left="63" w:right="63"/>
              <w:rPr>
                <w:rFonts w:eastAsia="仿宋_GB2312"/>
                <w:color w:val="auto"/>
                <w:sz w:val="28"/>
                <w:szCs w:val="30"/>
                <w:highlight w:val="none"/>
              </w:rPr>
            </w:pPr>
          </w:p>
        </w:tc>
        <w:tc>
          <w:tcPr>
            <w:tcW w:w="774" w:type="dxa"/>
            <w:noWrap w:val="0"/>
            <w:vAlign w:val="top"/>
          </w:tcPr>
          <w:p w14:paraId="7CD9B45E">
            <w:pPr>
              <w:pStyle w:val="8"/>
              <w:keepNext/>
              <w:spacing w:after="0" w:line="440" w:lineRule="exact"/>
              <w:ind w:left="63" w:right="63"/>
              <w:rPr>
                <w:rFonts w:eastAsia="仿宋_GB2312"/>
                <w:color w:val="auto"/>
                <w:sz w:val="28"/>
                <w:szCs w:val="30"/>
                <w:highlight w:val="none"/>
              </w:rPr>
            </w:pPr>
          </w:p>
        </w:tc>
        <w:tc>
          <w:tcPr>
            <w:tcW w:w="1352" w:type="dxa"/>
            <w:noWrap w:val="0"/>
            <w:vAlign w:val="top"/>
          </w:tcPr>
          <w:p w14:paraId="0745C796">
            <w:pPr>
              <w:pStyle w:val="8"/>
              <w:keepNext/>
              <w:spacing w:after="0" w:line="440" w:lineRule="exact"/>
              <w:ind w:left="63" w:right="63"/>
              <w:rPr>
                <w:rFonts w:eastAsia="仿宋_GB2312"/>
                <w:color w:val="auto"/>
                <w:sz w:val="28"/>
                <w:szCs w:val="30"/>
                <w:highlight w:val="none"/>
              </w:rPr>
            </w:pPr>
          </w:p>
        </w:tc>
        <w:tc>
          <w:tcPr>
            <w:tcW w:w="1418" w:type="dxa"/>
            <w:noWrap w:val="0"/>
            <w:vAlign w:val="top"/>
          </w:tcPr>
          <w:p w14:paraId="3AE39D14">
            <w:pPr>
              <w:pStyle w:val="8"/>
              <w:keepNext/>
              <w:spacing w:after="0" w:line="440" w:lineRule="exact"/>
              <w:ind w:left="63" w:right="63"/>
              <w:rPr>
                <w:rFonts w:eastAsia="仿宋_GB2312"/>
                <w:color w:val="auto"/>
                <w:sz w:val="28"/>
                <w:szCs w:val="30"/>
                <w:highlight w:val="none"/>
              </w:rPr>
            </w:pPr>
          </w:p>
        </w:tc>
        <w:tc>
          <w:tcPr>
            <w:tcW w:w="1701" w:type="dxa"/>
            <w:noWrap w:val="0"/>
            <w:vAlign w:val="top"/>
          </w:tcPr>
          <w:p w14:paraId="22423E4D">
            <w:pPr>
              <w:pStyle w:val="8"/>
              <w:keepNext/>
              <w:spacing w:after="0" w:line="440" w:lineRule="exact"/>
              <w:ind w:left="63" w:right="63"/>
              <w:rPr>
                <w:rFonts w:eastAsia="仿宋_GB2312"/>
                <w:color w:val="auto"/>
                <w:sz w:val="28"/>
                <w:szCs w:val="30"/>
                <w:highlight w:val="none"/>
              </w:rPr>
            </w:pPr>
          </w:p>
        </w:tc>
      </w:tr>
      <w:tr w14:paraId="0FDFFA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3B5CDC0">
            <w:pPr>
              <w:pStyle w:val="8"/>
              <w:keepNext/>
              <w:spacing w:after="0" w:line="440" w:lineRule="exact"/>
              <w:ind w:left="63" w:right="63"/>
              <w:rPr>
                <w:rFonts w:eastAsia="仿宋_GB2312"/>
                <w:color w:val="auto"/>
                <w:sz w:val="28"/>
                <w:szCs w:val="30"/>
                <w:highlight w:val="none"/>
              </w:rPr>
            </w:pPr>
          </w:p>
        </w:tc>
        <w:tc>
          <w:tcPr>
            <w:tcW w:w="1984" w:type="dxa"/>
            <w:noWrap w:val="0"/>
            <w:vAlign w:val="top"/>
          </w:tcPr>
          <w:p w14:paraId="69D52902">
            <w:pPr>
              <w:pStyle w:val="8"/>
              <w:keepNext/>
              <w:spacing w:after="0" w:line="440" w:lineRule="exact"/>
              <w:ind w:left="63" w:right="63"/>
              <w:rPr>
                <w:rFonts w:eastAsia="仿宋_GB2312"/>
                <w:color w:val="auto"/>
                <w:sz w:val="28"/>
                <w:szCs w:val="30"/>
                <w:highlight w:val="none"/>
              </w:rPr>
            </w:pPr>
          </w:p>
        </w:tc>
        <w:tc>
          <w:tcPr>
            <w:tcW w:w="851" w:type="dxa"/>
            <w:noWrap w:val="0"/>
            <w:vAlign w:val="top"/>
          </w:tcPr>
          <w:p w14:paraId="038C8852">
            <w:pPr>
              <w:pStyle w:val="8"/>
              <w:keepNext/>
              <w:spacing w:after="0" w:line="440" w:lineRule="exact"/>
              <w:ind w:left="63" w:right="63"/>
              <w:rPr>
                <w:rFonts w:eastAsia="仿宋_GB2312"/>
                <w:color w:val="auto"/>
                <w:sz w:val="28"/>
                <w:szCs w:val="30"/>
                <w:highlight w:val="none"/>
              </w:rPr>
            </w:pPr>
          </w:p>
        </w:tc>
        <w:tc>
          <w:tcPr>
            <w:tcW w:w="774" w:type="dxa"/>
            <w:noWrap w:val="0"/>
            <w:vAlign w:val="top"/>
          </w:tcPr>
          <w:p w14:paraId="5D54A89F">
            <w:pPr>
              <w:pStyle w:val="8"/>
              <w:keepNext/>
              <w:spacing w:after="0" w:line="440" w:lineRule="exact"/>
              <w:ind w:left="63" w:right="63"/>
              <w:rPr>
                <w:rFonts w:eastAsia="仿宋_GB2312"/>
                <w:color w:val="auto"/>
                <w:sz w:val="28"/>
                <w:szCs w:val="30"/>
                <w:highlight w:val="none"/>
              </w:rPr>
            </w:pPr>
          </w:p>
        </w:tc>
        <w:tc>
          <w:tcPr>
            <w:tcW w:w="1352" w:type="dxa"/>
            <w:noWrap w:val="0"/>
            <w:vAlign w:val="top"/>
          </w:tcPr>
          <w:p w14:paraId="17D2ED14">
            <w:pPr>
              <w:pStyle w:val="8"/>
              <w:keepNext/>
              <w:spacing w:after="0" w:line="440" w:lineRule="exact"/>
              <w:ind w:left="63" w:right="63"/>
              <w:rPr>
                <w:rFonts w:eastAsia="仿宋_GB2312"/>
                <w:color w:val="auto"/>
                <w:sz w:val="28"/>
                <w:szCs w:val="30"/>
                <w:highlight w:val="none"/>
              </w:rPr>
            </w:pPr>
          </w:p>
        </w:tc>
        <w:tc>
          <w:tcPr>
            <w:tcW w:w="1418" w:type="dxa"/>
            <w:noWrap w:val="0"/>
            <w:vAlign w:val="top"/>
          </w:tcPr>
          <w:p w14:paraId="1E8A5800">
            <w:pPr>
              <w:pStyle w:val="8"/>
              <w:keepNext/>
              <w:spacing w:after="0" w:line="440" w:lineRule="exact"/>
              <w:ind w:left="63" w:right="63"/>
              <w:rPr>
                <w:rFonts w:eastAsia="仿宋_GB2312"/>
                <w:color w:val="auto"/>
                <w:sz w:val="28"/>
                <w:szCs w:val="30"/>
                <w:highlight w:val="none"/>
              </w:rPr>
            </w:pPr>
          </w:p>
        </w:tc>
        <w:tc>
          <w:tcPr>
            <w:tcW w:w="1701" w:type="dxa"/>
            <w:noWrap w:val="0"/>
            <w:vAlign w:val="top"/>
          </w:tcPr>
          <w:p w14:paraId="01CE6BD9">
            <w:pPr>
              <w:pStyle w:val="8"/>
              <w:keepNext/>
              <w:spacing w:after="0" w:line="440" w:lineRule="exact"/>
              <w:ind w:left="63" w:right="63"/>
              <w:rPr>
                <w:rFonts w:eastAsia="仿宋_GB2312"/>
                <w:color w:val="auto"/>
                <w:sz w:val="28"/>
                <w:szCs w:val="30"/>
                <w:highlight w:val="none"/>
              </w:rPr>
            </w:pPr>
          </w:p>
        </w:tc>
      </w:tr>
      <w:tr w14:paraId="2C2489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DEFCFFF">
            <w:pPr>
              <w:pStyle w:val="8"/>
              <w:keepNext/>
              <w:spacing w:after="0" w:line="440" w:lineRule="exact"/>
              <w:ind w:left="63" w:right="63"/>
              <w:rPr>
                <w:rFonts w:eastAsia="仿宋_GB2312"/>
                <w:color w:val="auto"/>
                <w:sz w:val="28"/>
                <w:szCs w:val="30"/>
                <w:highlight w:val="none"/>
              </w:rPr>
            </w:pPr>
          </w:p>
        </w:tc>
        <w:tc>
          <w:tcPr>
            <w:tcW w:w="1984" w:type="dxa"/>
            <w:noWrap w:val="0"/>
            <w:vAlign w:val="top"/>
          </w:tcPr>
          <w:p w14:paraId="00FF6E0E">
            <w:pPr>
              <w:pStyle w:val="8"/>
              <w:keepNext/>
              <w:spacing w:after="0" w:line="440" w:lineRule="exact"/>
              <w:ind w:left="63" w:right="63"/>
              <w:rPr>
                <w:rFonts w:eastAsia="仿宋_GB2312"/>
                <w:color w:val="auto"/>
                <w:sz w:val="28"/>
                <w:szCs w:val="30"/>
                <w:highlight w:val="none"/>
              </w:rPr>
            </w:pPr>
          </w:p>
        </w:tc>
        <w:tc>
          <w:tcPr>
            <w:tcW w:w="851" w:type="dxa"/>
            <w:noWrap w:val="0"/>
            <w:vAlign w:val="top"/>
          </w:tcPr>
          <w:p w14:paraId="0E1788BA">
            <w:pPr>
              <w:pStyle w:val="8"/>
              <w:keepNext/>
              <w:spacing w:after="0" w:line="440" w:lineRule="exact"/>
              <w:ind w:left="63" w:right="63"/>
              <w:rPr>
                <w:rFonts w:eastAsia="仿宋_GB2312"/>
                <w:color w:val="auto"/>
                <w:sz w:val="28"/>
                <w:szCs w:val="30"/>
                <w:highlight w:val="none"/>
              </w:rPr>
            </w:pPr>
          </w:p>
        </w:tc>
        <w:tc>
          <w:tcPr>
            <w:tcW w:w="774" w:type="dxa"/>
            <w:noWrap w:val="0"/>
            <w:vAlign w:val="top"/>
          </w:tcPr>
          <w:p w14:paraId="76262714">
            <w:pPr>
              <w:pStyle w:val="8"/>
              <w:keepNext/>
              <w:spacing w:after="0" w:line="440" w:lineRule="exact"/>
              <w:ind w:left="63" w:right="63"/>
              <w:rPr>
                <w:rFonts w:eastAsia="仿宋_GB2312"/>
                <w:color w:val="auto"/>
                <w:sz w:val="28"/>
                <w:szCs w:val="30"/>
                <w:highlight w:val="none"/>
              </w:rPr>
            </w:pPr>
          </w:p>
        </w:tc>
        <w:tc>
          <w:tcPr>
            <w:tcW w:w="1352" w:type="dxa"/>
            <w:noWrap w:val="0"/>
            <w:vAlign w:val="top"/>
          </w:tcPr>
          <w:p w14:paraId="392E2402">
            <w:pPr>
              <w:pStyle w:val="8"/>
              <w:keepNext/>
              <w:spacing w:after="0" w:line="440" w:lineRule="exact"/>
              <w:ind w:left="63" w:right="63"/>
              <w:rPr>
                <w:rFonts w:eastAsia="仿宋_GB2312"/>
                <w:color w:val="auto"/>
                <w:sz w:val="28"/>
                <w:szCs w:val="30"/>
                <w:highlight w:val="none"/>
              </w:rPr>
            </w:pPr>
          </w:p>
        </w:tc>
        <w:tc>
          <w:tcPr>
            <w:tcW w:w="1418" w:type="dxa"/>
            <w:noWrap w:val="0"/>
            <w:vAlign w:val="top"/>
          </w:tcPr>
          <w:p w14:paraId="799361C2">
            <w:pPr>
              <w:pStyle w:val="8"/>
              <w:keepNext/>
              <w:spacing w:after="0" w:line="440" w:lineRule="exact"/>
              <w:ind w:left="63" w:right="63"/>
              <w:rPr>
                <w:rFonts w:eastAsia="仿宋_GB2312"/>
                <w:color w:val="auto"/>
                <w:sz w:val="28"/>
                <w:szCs w:val="30"/>
                <w:highlight w:val="none"/>
              </w:rPr>
            </w:pPr>
          </w:p>
        </w:tc>
        <w:tc>
          <w:tcPr>
            <w:tcW w:w="1701" w:type="dxa"/>
            <w:noWrap w:val="0"/>
            <w:vAlign w:val="top"/>
          </w:tcPr>
          <w:p w14:paraId="6AFCBD37">
            <w:pPr>
              <w:pStyle w:val="8"/>
              <w:keepNext/>
              <w:spacing w:after="0" w:line="440" w:lineRule="exact"/>
              <w:ind w:left="63" w:right="63"/>
              <w:rPr>
                <w:rFonts w:eastAsia="仿宋_GB2312"/>
                <w:color w:val="auto"/>
                <w:sz w:val="28"/>
                <w:szCs w:val="30"/>
                <w:highlight w:val="none"/>
              </w:rPr>
            </w:pPr>
          </w:p>
        </w:tc>
      </w:tr>
      <w:tr w14:paraId="438224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2568A43">
            <w:pPr>
              <w:pStyle w:val="8"/>
              <w:keepNext/>
              <w:spacing w:after="0" w:line="440" w:lineRule="exact"/>
              <w:ind w:left="63" w:right="63"/>
              <w:rPr>
                <w:rFonts w:eastAsia="仿宋_GB2312"/>
                <w:color w:val="auto"/>
                <w:sz w:val="28"/>
                <w:szCs w:val="30"/>
                <w:highlight w:val="none"/>
              </w:rPr>
            </w:pPr>
          </w:p>
        </w:tc>
        <w:tc>
          <w:tcPr>
            <w:tcW w:w="1984" w:type="dxa"/>
            <w:noWrap w:val="0"/>
            <w:vAlign w:val="top"/>
          </w:tcPr>
          <w:p w14:paraId="4E32337C">
            <w:pPr>
              <w:pStyle w:val="8"/>
              <w:keepNext/>
              <w:spacing w:after="0" w:line="440" w:lineRule="exact"/>
              <w:ind w:left="63" w:right="63"/>
              <w:rPr>
                <w:rFonts w:eastAsia="仿宋_GB2312"/>
                <w:color w:val="auto"/>
                <w:sz w:val="28"/>
                <w:szCs w:val="30"/>
                <w:highlight w:val="none"/>
              </w:rPr>
            </w:pPr>
          </w:p>
        </w:tc>
        <w:tc>
          <w:tcPr>
            <w:tcW w:w="851" w:type="dxa"/>
            <w:noWrap w:val="0"/>
            <w:vAlign w:val="top"/>
          </w:tcPr>
          <w:p w14:paraId="1B7B23BD">
            <w:pPr>
              <w:pStyle w:val="8"/>
              <w:keepNext/>
              <w:spacing w:after="0" w:line="440" w:lineRule="exact"/>
              <w:ind w:left="63" w:right="63"/>
              <w:rPr>
                <w:rFonts w:eastAsia="仿宋_GB2312"/>
                <w:color w:val="auto"/>
                <w:sz w:val="28"/>
                <w:szCs w:val="30"/>
                <w:highlight w:val="none"/>
              </w:rPr>
            </w:pPr>
          </w:p>
        </w:tc>
        <w:tc>
          <w:tcPr>
            <w:tcW w:w="774" w:type="dxa"/>
            <w:noWrap w:val="0"/>
            <w:vAlign w:val="top"/>
          </w:tcPr>
          <w:p w14:paraId="0F507814">
            <w:pPr>
              <w:pStyle w:val="8"/>
              <w:keepNext/>
              <w:spacing w:after="0" w:line="440" w:lineRule="exact"/>
              <w:ind w:left="63" w:right="63"/>
              <w:rPr>
                <w:rFonts w:eastAsia="仿宋_GB2312"/>
                <w:color w:val="auto"/>
                <w:sz w:val="28"/>
                <w:szCs w:val="30"/>
                <w:highlight w:val="none"/>
              </w:rPr>
            </w:pPr>
          </w:p>
        </w:tc>
        <w:tc>
          <w:tcPr>
            <w:tcW w:w="1352" w:type="dxa"/>
            <w:noWrap w:val="0"/>
            <w:vAlign w:val="top"/>
          </w:tcPr>
          <w:p w14:paraId="6E375A51">
            <w:pPr>
              <w:pStyle w:val="8"/>
              <w:keepNext/>
              <w:spacing w:after="0" w:line="440" w:lineRule="exact"/>
              <w:ind w:left="63" w:right="63"/>
              <w:rPr>
                <w:rFonts w:eastAsia="仿宋_GB2312"/>
                <w:color w:val="auto"/>
                <w:sz w:val="28"/>
                <w:szCs w:val="30"/>
                <w:highlight w:val="none"/>
              </w:rPr>
            </w:pPr>
          </w:p>
        </w:tc>
        <w:tc>
          <w:tcPr>
            <w:tcW w:w="1418" w:type="dxa"/>
            <w:noWrap w:val="0"/>
            <w:vAlign w:val="top"/>
          </w:tcPr>
          <w:p w14:paraId="39E3B372">
            <w:pPr>
              <w:pStyle w:val="8"/>
              <w:keepNext/>
              <w:spacing w:after="0" w:line="440" w:lineRule="exact"/>
              <w:ind w:left="63" w:right="63"/>
              <w:rPr>
                <w:rFonts w:eastAsia="仿宋_GB2312"/>
                <w:color w:val="auto"/>
                <w:sz w:val="28"/>
                <w:szCs w:val="30"/>
                <w:highlight w:val="none"/>
              </w:rPr>
            </w:pPr>
          </w:p>
        </w:tc>
        <w:tc>
          <w:tcPr>
            <w:tcW w:w="1701" w:type="dxa"/>
            <w:noWrap w:val="0"/>
            <w:vAlign w:val="top"/>
          </w:tcPr>
          <w:p w14:paraId="14039FE3">
            <w:pPr>
              <w:pStyle w:val="8"/>
              <w:keepNext/>
              <w:spacing w:after="0" w:line="440" w:lineRule="exact"/>
              <w:ind w:left="63" w:right="63"/>
              <w:rPr>
                <w:rFonts w:eastAsia="仿宋_GB2312"/>
                <w:color w:val="auto"/>
                <w:sz w:val="28"/>
                <w:szCs w:val="30"/>
                <w:highlight w:val="none"/>
              </w:rPr>
            </w:pPr>
          </w:p>
        </w:tc>
      </w:tr>
      <w:tr w14:paraId="479EDF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D8CA50A">
            <w:pPr>
              <w:pStyle w:val="8"/>
              <w:keepNext/>
              <w:spacing w:after="0" w:line="440" w:lineRule="exact"/>
              <w:ind w:left="63" w:right="63"/>
              <w:rPr>
                <w:rFonts w:eastAsia="仿宋_GB2312"/>
                <w:color w:val="auto"/>
                <w:sz w:val="28"/>
                <w:szCs w:val="30"/>
                <w:highlight w:val="none"/>
              </w:rPr>
            </w:pPr>
          </w:p>
        </w:tc>
        <w:tc>
          <w:tcPr>
            <w:tcW w:w="1984" w:type="dxa"/>
            <w:noWrap w:val="0"/>
            <w:vAlign w:val="top"/>
          </w:tcPr>
          <w:p w14:paraId="3419FA32">
            <w:pPr>
              <w:pStyle w:val="8"/>
              <w:keepNext/>
              <w:spacing w:after="0" w:line="440" w:lineRule="exact"/>
              <w:ind w:left="63" w:right="63"/>
              <w:rPr>
                <w:rFonts w:eastAsia="仿宋_GB2312"/>
                <w:color w:val="auto"/>
                <w:sz w:val="28"/>
                <w:szCs w:val="30"/>
                <w:highlight w:val="none"/>
              </w:rPr>
            </w:pPr>
          </w:p>
        </w:tc>
        <w:tc>
          <w:tcPr>
            <w:tcW w:w="851" w:type="dxa"/>
            <w:noWrap w:val="0"/>
            <w:vAlign w:val="top"/>
          </w:tcPr>
          <w:p w14:paraId="3DFD8B4C">
            <w:pPr>
              <w:pStyle w:val="8"/>
              <w:keepNext/>
              <w:spacing w:after="0" w:line="440" w:lineRule="exact"/>
              <w:ind w:left="63" w:right="63"/>
              <w:rPr>
                <w:rFonts w:eastAsia="仿宋_GB2312"/>
                <w:color w:val="auto"/>
                <w:sz w:val="28"/>
                <w:szCs w:val="30"/>
                <w:highlight w:val="none"/>
              </w:rPr>
            </w:pPr>
          </w:p>
        </w:tc>
        <w:tc>
          <w:tcPr>
            <w:tcW w:w="774" w:type="dxa"/>
            <w:noWrap w:val="0"/>
            <w:vAlign w:val="top"/>
          </w:tcPr>
          <w:p w14:paraId="3B24FC75">
            <w:pPr>
              <w:pStyle w:val="8"/>
              <w:keepNext/>
              <w:spacing w:after="0" w:line="440" w:lineRule="exact"/>
              <w:ind w:left="63" w:right="63"/>
              <w:rPr>
                <w:rFonts w:eastAsia="仿宋_GB2312"/>
                <w:color w:val="auto"/>
                <w:sz w:val="28"/>
                <w:szCs w:val="30"/>
                <w:highlight w:val="none"/>
              </w:rPr>
            </w:pPr>
          </w:p>
        </w:tc>
        <w:tc>
          <w:tcPr>
            <w:tcW w:w="1352" w:type="dxa"/>
            <w:noWrap w:val="0"/>
            <w:vAlign w:val="top"/>
          </w:tcPr>
          <w:p w14:paraId="6546C1A3">
            <w:pPr>
              <w:pStyle w:val="8"/>
              <w:keepNext/>
              <w:spacing w:after="0" w:line="440" w:lineRule="exact"/>
              <w:ind w:left="63" w:right="63"/>
              <w:rPr>
                <w:rFonts w:eastAsia="仿宋_GB2312"/>
                <w:color w:val="auto"/>
                <w:sz w:val="28"/>
                <w:szCs w:val="30"/>
                <w:highlight w:val="none"/>
              </w:rPr>
            </w:pPr>
          </w:p>
        </w:tc>
        <w:tc>
          <w:tcPr>
            <w:tcW w:w="1418" w:type="dxa"/>
            <w:noWrap w:val="0"/>
            <w:vAlign w:val="top"/>
          </w:tcPr>
          <w:p w14:paraId="60E010A2">
            <w:pPr>
              <w:pStyle w:val="8"/>
              <w:keepNext/>
              <w:spacing w:after="0" w:line="440" w:lineRule="exact"/>
              <w:ind w:left="63" w:right="63"/>
              <w:rPr>
                <w:rFonts w:eastAsia="仿宋_GB2312"/>
                <w:color w:val="auto"/>
                <w:sz w:val="28"/>
                <w:szCs w:val="30"/>
                <w:highlight w:val="none"/>
              </w:rPr>
            </w:pPr>
          </w:p>
        </w:tc>
        <w:tc>
          <w:tcPr>
            <w:tcW w:w="1701" w:type="dxa"/>
            <w:noWrap w:val="0"/>
            <w:vAlign w:val="top"/>
          </w:tcPr>
          <w:p w14:paraId="24236212">
            <w:pPr>
              <w:pStyle w:val="8"/>
              <w:keepNext/>
              <w:spacing w:after="0" w:line="440" w:lineRule="exact"/>
              <w:ind w:left="63" w:right="63"/>
              <w:rPr>
                <w:rFonts w:eastAsia="仿宋_GB2312"/>
                <w:color w:val="auto"/>
                <w:sz w:val="28"/>
                <w:szCs w:val="30"/>
                <w:highlight w:val="none"/>
              </w:rPr>
            </w:pPr>
          </w:p>
        </w:tc>
      </w:tr>
      <w:tr w14:paraId="362926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C45EDE4">
            <w:pPr>
              <w:pStyle w:val="8"/>
              <w:keepNext/>
              <w:spacing w:after="0" w:line="440" w:lineRule="exact"/>
              <w:ind w:left="63" w:right="63"/>
              <w:rPr>
                <w:rFonts w:eastAsia="仿宋_GB2312"/>
                <w:color w:val="auto"/>
                <w:sz w:val="28"/>
                <w:szCs w:val="30"/>
                <w:highlight w:val="none"/>
              </w:rPr>
            </w:pPr>
          </w:p>
        </w:tc>
        <w:tc>
          <w:tcPr>
            <w:tcW w:w="1984" w:type="dxa"/>
            <w:noWrap w:val="0"/>
            <w:vAlign w:val="top"/>
          </w:tcPr>
          <w:p w14:paraId="4F955092">
            <w:pPr>
              <w:pStyle w:val="8"/>
              <w:keepNext/>
              <w:spacing w:after="0" w:line="440" w:lineRule="exact"/>
              <w:ind w:left="63" w:right="63"/>
              <w:rPr>
                <w:rFonts w:eastAsia="仿宋_GB2312"/>
                <w:color w:val="auto"/>
                <w:sz w:val="28"/>
                <w:szCs w:val="30"/>
                <w:highlight w:val="none"/>
              </w:rPr>
            </w:pPr>
          </w:p>
        </w:tc>
        <w:tc>
          <w:tcPr>
            <w:tcW w:w="851" w:type="dxa"/>
            <w:noWrap w:val="0"/>
            <w:vAlign w:val="top"/>
          </w:tcPr>
          <w:p w14:paraId="2A42F8C3">
            <w:pPr>
              <w:pStyle w:val="8"/>
              <w:keepNext/>
              <w:spacing w:after="0" w:line="440" w:lineRule="exact"/>
              <w:ind w:left="63" w:right="63"/>
              <w:rPr>
                <w:rFonts w:eastAsia="仿宋_GB2312"/>
                <w:color w:val="auto"/>
                <w:sz w:val="28"/>
                <w:szCs w:val="30"/>
                <w:highlight w:val="none"/>
              </w:rPr>
            </w:pPr>
          </w:p>
        </w:tc>
        <w:tc>
          <w:tcPr>
            <w:tcW w:w="774" w:type="dxa"/>
            <w:noWrap w:val="0"/>
            <w:vAlign w:val="top"/>
          </w:tcPr>
          <w:p w14:paraId="583BC688">
            <w:pPr>
              <w:pStyle w:val="8"/>
              <w:keepNext/>
              <w:spacing w:after="0" w:line="440" w:lineRule="exact"/>
              <w:ind w:left="63" w:right="63"/>
              <w:rPr>
                <w:rFonts w:eastAsia="仿宋_GB2312"/>
                <w:color w:val="auto"/>
                <w:sz w:val="28"/>
                <w:szCs w:val="30"/>
                <w:highlight w:val="none"/>
              </w:rPr>
            </w:pPr>
          </w:p>
        </w:tc>
        <w:tc>
          <w:tcPr>
            <w:tcW w:w="1352" w:type="dxa"/>
            <w:noWrap w:val="0"/>
            <w:vAlign w:val="top"/>
          </w:tcPr>
          <w:p w14:paraId="51F721E3">
            <w:pPr>
              <w:pStyle w:val="8"/>
              <w:keepNext/>
              <w:spacing w:after="0" w:line="440" w:lineRule="exact"/>
              <w:ind w:left="63" w:right="63"/>
              <w:rPr>
                <w:rFonts w:eastAsia="仿宋_GB2312"/>
                <w:color w:val="auto"/>
                <w:sz w:val="28"/>
                <w:szCs w:val="30"/>
                <w:highlight w:val="none"/>
              </w:rPr>
            </w:pPr>
          </w:p>
        </w:tc>
        <w:tc>
          <w:tcPr>
            <w:tcW w:w="1418" w:type="dxa"/>
            <w:noWrap w:val="0"/>
            <w:vAlign w:val="top"/>
          </w:tcPr>
          <w:p w14:paraId="72891632">
            <w:pPr>
              <w:pStyle w:val="8"/>
              <w:keepNext/>
              <w:spacing w:after="0" w:line="440" w:lineRule="exact"/>
              <w:ind w:left="63" w:right="63"/>
              <w:rPr>
                <w:rFonts w:eastAsia="仿宋_GB2312"/>
                <w:color w:val="auto"/>
                <w:sz w:val="28"/>
                <w:szCs w:val="30"/>
                <w:highlight w:val="none"/>
              </w:rPr>
            </w:pPr>
          </w:p>
        </w:tc>
        <w:tc>
          <w:tcPr>
            <w:tcW w:w="1701" w:type="dxa"/>
            <w:noWrap w:val="0"/>
            <w:vAlign w:val="top"/>
          </w:tcPr>
          <w:p w14:paraId="20B4B8B5">
            <w:pPr>
              <w:pStyle w:val="8"/>
              <w:keepNext/>
              <w:spacing w:after="0" w:line="440" w:lineRule="exact"/>
              <w:ind w:left="63" w:right="63"/>
              <w:rPr>
                <w:rFonts w:eastAsia="仿宋_GB2312"/>
                <w:color w:val="auto"/>
                <w:sz w:val="28"/>
                <w:szCs w:val="30"/>
                <w:highlight w:val="none"/>
              </w:rPr>
            </w:pPr>
          </w:p>
        </w:tc>
      </w:tr>
      <w:tr w14:paraId="2CE04E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259FF8C">
            <w:pPr>
              <w:pStyle w:val="8"/>
              <w:keepNext/>
              <w:spacing w:after="0" w:line="440" w:lineRule="exact"/>
              <w:ind w:left="63" w:right="63"/>
              <w:rPr>
                <w:rFonts w:eastAsia="仿宋_GB2312"/>
                <w:color w:val="auto"/>
                <w:sz w:val="28"/>
                <w:szCs w:val="30"/>
                <w:highlight w:val="none"/>
              </w:rPr>
            </w:pPr>
          </w:p>
        </w:tc>
        <w:tc>
          <w:tcPr>
            <w:tcW w:w="1984" w:type="dxa"/>
            <w:noWrap w:val="0"/>
            <w:vAlign w:val="top"/>
          </w:tcPr>
          <w:p w14:paraId="34E86C41">
            <w:pPr>
              <w:pStyle w:val="8"/>
              <w:keepNext/>
              <w:spacing w:after="0" w:line="440" w:lineRule="exact"/>
              <w:ind w:left="63" w:right="63"/>
              <w:rPr>
                <w:rFonts w:eastAsia="仿宋_GB2312"/>
                <w:color w:val="auto"/>
                <w:sz w:val="28"/>
                <w:szCs w:val="30"/>
                <w:highlight w:val="none"/>
              </w:rPr>
            </w:pPr>
          </w:p>
        </w:tc>
        <w:tc>
          <w:tcPr>
            <w:tcW w:w="851" w:type="dxa"/>
            <w:noWrap w:val="0"/>
            <w:vAlign w:val="top"/>
          </w:tcPr>
          <w:p w14:paraId="1D740AF1">
            <w:pPr>
              <w:pStyle w:val="8"/>
              <w:keepNext/>
              <w:spacing w:after="0" w:line="440" w:lineRule="exact"/>
              <w:ind w:left="63" w:right="63"/>
              <w:rPr>
                <w:rFonts w:eastAsia="仿宋_GB2312"/>
                <w:color w:val="auto"/>
                <w:sz w:val="28"/>
                <w:szCs w:val="30"/>
                <w:highlight w:val="none"/>
              </w:rPr>
            </w:pPr>
          </w:p>
        </w:tc>
        <w:tc>
          <w:tcPr>
            <w:tcW w:w="774" w:type="dxa"/>
            <w:noWrap w:val="0"/>
            <w:vAlign w:val="top"/>
          </w:tcPr>
          <w:p w14:paraId="6034C682">
            <w:pPr>
              <w:pStyle w:val="8"/>
              <w:keepNext/>
              <w:spacing w:after="0" w:line="440" w:lineRule="exact"/>
              <w:ind w:left="63" w:right="63"/>
              <w:rPr>
                <w:rFonts w:eastAsia="仿宋_GB2312"/>
                <w:color w:val="auto"/>
                <w:sz w:val="28"/>
                <w:szCs w:val="30"/>
                <w:highlight w:val="none"/>
              </w:rPr>
            </w:pPr>
          </w:p>
        </w:tc>
        <w:tc>
          <w:tcPr>
            <w:tcW w:w="1352" w:type="dxa"/>
            <w:noWrap w:val="0"/>
            <w:vAlign w:val="top"/>
          </w:tcPr>
          <w:p w14:paraId="1D8D6B40">
            <w:pPr>
              <w:pStyle w:val="8"/>
              <w:keepNext/>
              <w:spacing w:after="0" w:line="440" w:lineRule="exact"/>
              <w:ind w:left="63" w:right="63"/>
              <w:rPr>
                <w:rFonts w:eastAsia="仿宋_GB2312"/>
                <w:color w:val="auto"/>
                <w:sz w:val="28"/>
                <w:szCs w:val="30"/>
                <w:highlight w:val="none"/>
              </w:rPr>
            </w:pPr>
          </w:p>
        </w:tc>
        <w:tc>
          <w:tcPr>
            <w:tcW w:w="1418" w:type="dxa"/>
            <w:noWrap w:val="0"/>
            <w:vAlign w:val="top"/>
          </w:tcPr>
          <w:p w14:paraId="2AC7728D">
            <w:pPr>
              <w:pStyle w:val="8"/>
              <w:keepNext/>
              <w:spacing w:after="0" w:line="440" w:lineRule="exact"/>
              <w:ind w:left="63" w:right="63"/>
              <w:rPr>
                <w:rFonts w:eastAsia="仿宋_GB2312"/>
                <w:color w:val="auto"/>
                <w:sz w:val="28"/>
                <w:szCs w:val="30"/>
                <w:highlight w:val="none"/>
              </w:rPr>
            </w:pPr>
          </w:p>
        </w:tc>
        <w:tc>
          <w:tcPr>
            <w:tcW w:w="1701" w:type="dxa"/>
            <w:noWrap w:val="0"/>
            <w:vAlign w:val="top"/>
          </w:tcPr>
          <w:p w14:paraId="0A3F6BAC">
            <w:pPr>
              <w:pStyle w:val="8"/>
              <w:keepNext/>
              <w:spacing w:after="0" w:line="440" w:lineRule="exact"/>
              <w:ind w:left="63" w:right="63"/>
              <w:rPr>
                <w:rFonts w:eastAsia="仿宋_GB2312"/>
                <w:color w:val="auto"/>
                <w:sz w:val="28"/>
                <w:szCs w:val="30"/>
                <w:highlight w:val="none"/>
              </w:rPr>
            </w:pPr>
          </w:p>
        </w:tc>
      </w:tr>
      <w:tr w14:paraId="73AB5D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298DC47">
            <w:pPr>
              <w:pStyle w:val="8"/>
              <w:keepNext/>
              <w:spacing w:after="0" w:line="440" w:lineRule="exact"/>
              <w:ind w:left="63" w:right="63"/>
              <w:rPr>
                <w:rFonts w:eastAsia="仿宋_GB2312"/>
                <w:color w:val="auto"/>
                <w:sz w:val="28"/>
                <w:szCs w:val="30"/>
                <w:highlight w:val="none"/>
              </w:rPr>
            </w:pPr>
          </w:p>
        </w:tc>
        <w:tc>
          <w:tcPr>
            <w:tcW w:w="1984" w:type="dxa"/>
            <w:noWrap w:val="0"/>
            <w:vAlign w:val="top"/>
          </w:tcPr>
          <w:p w14:paraId="50BA97BA">
            <w:pPr>
              <w:pStyle w:val="8"/>
              <w:keepNext/>
              <w:spacing w:after="0" w:line="440" w:lineRule="exact"/>
              <w:ind w:left="63" w:right="63"/>
              <w:rPr>
                <w:rFonts w:eastAsia="仿宋_GB2312"/>
                <w:color w:val="auto"/>
                <w:sz w:val="28"/>
                <w:szCs w:val="30"/>
                <w:highlight w:val="none"/>
              </w:rPr>
            </w:pPr>
          </w:p>
        </w:tc>
        <w:tc>
          <w:tcPr>
            <w:tcW w:w="851" w:type="dxa"/>
            <w:noWrap w:val="0"/>
            <w:vAlign w:val="top"/>
          </w:tcPr>
          <w:p w14:paraId="0DFDDA0C">
            <w:pPr>
              <w:pStyle w:val="8"/>
              <w:keepNext/>
              <w:spacing w:after="0" w:line="440" w:lineRule="exact"/>
              <w:ind w:left="63" w:right="63"/>
              <w:rPr>
                <w:rFonts w:eastAsia="仿宋_GB2312"/>
                <w:color w:val="auto"/>
                <w:sz w:val="28"/>
                <w:szCs w:val="30"/>
                <w:highlight w:val="none"/>
              </w:rPr>
            </w:pPr>
          </w:p>
        </w:tc>
        <w:tc>
          <w:tcPr>
            <w:tcW w:w="774" w:type="dxa"/>
            <w:noWrap w:val="0"/>
            <w:vAlign w:val="top"/>
          </w:tcPr>
          <w:p w14:paraId="7FEB46F7">
            <w:pPr>
              <w:pStyle w:val="8"/>
              <w:keepNext/>
              <w:spacing w:after="0" w:line="440" w:lineRule="exact"/>
              <w:ind w:left="63" w:right="63"/>
              <w:rPr>
                <w:rFonts w:eastAsia="仿宋_GB2312"/>
                <w:color w:val="auto"/>
                <w:sz w:val="28"/>
                <w:szCs w:val="30"/>
                <w:highlight w:val="none"/>
              </w:rPr>
            </w:pPr>
          </w:p>
        </w:tc>
        <w:tc>
          <w:tcPr>
            <w:tcW w:w="1352" w:type="dxa"/>
            <w:noWrap w:val="0"/>
            <w:vAlign w:val="top"/>
          </w:tcPr>
          <w:p w14:paraId="5EC6E108">
            <w:pPr>
              <w:pStyle w:val="8"/>
              <w:keepNext/>
              <w:spacing w:after="0" w:line="440" w:lineRule="exact"/>
              <w:ind w:left="63" w:right="63"/>
              <w:rPr>
                <w:rFonts w:eastAsia="仿宋_GB2312"/>
                <w:color w:val="auto"/>
                <w:sz w:val="28"/>
                <w:szCs w:val="30"/>
                <w:highlight w:val="none"/>
              </w:rPr>
            </w:pPr>
          </w:p>
        </w:tc>
        <w:tc>
          <w:tcPr>
            <w:tcW w:w="1418" w:type="dxa"/>
            <w:noWrap w:val="0"/>
            <w:vAlign w:val="top"/>
          </w:tcPr>
          <w:p w14:paraId="3B9E95E7">
            <w:pPr>
              <w:pStyle w:val="8"/>
              <w:keepNext/>
              <w:spacing w:after="0" w:line="440" w:lineRule="exact"/>
              <w:ind w:left="63" w:right="63"/>
              <w:rPr>
                <w:rFonts w:eastAsia="仿宋_GB2312"/>
                <w:color w:val="auto"/>
                <w:sz w:val="28"/>
                <w:szCs w:val="30"/>
                <w:highlight w:val="none"/>
              </w:rPr>
            </w:pPr>
          </w:p>
        </w:tc>
        <w:tc>
          <w:tcPr>
            <w:tcW w:w="1701" w:type="dxa"/>
            <w:noWrap w:val="0"/>
            <w:vAlign w:val="top"/>
          </w:tcPr>
          <w:p w14:paraId="3ADC5067">
            <w:pPr>
              <w:pStyle w:val="8"/>
              <w:keepNext/>
              <w:spacing w:after="0" w:line="440" w:lineRule="exact"/>
              <w:ind w:left="63" w:right="63"/>
              <w:rPr>
                <w:rFonts w:eastAsia="仿宋_GB2312"/>
                <w:color w:val="auto"/>
                <w:sz w:val="28"/>
                <w:szCs w:val="30"/>
                <w:highlight w:val="none"/>
              </w:rPr>
            </w:pPr>
          </w:p>
        </w:tc>
      </w:tr>
      <w:tr w14:paraId="61CD52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75EDE6F">
            <w:pPr>
              <w:pStyle w:val="8"/>
              <w:keepNext/>
              <w:spacing w:after="0" w:line="440" w:lineRule="exact"/>
              <w:ind w:left="63" w:right="63"/>
              <w:rPr>
                <w:rFonts w:eastAsia="仿宋_GB2312"/>
                <w:color w:val="auto"/>
                <w:sz w:val="28"/>
                <w:szCs w:val="30"/>
                <w:highlight w:val="none"/>
              </w:rPr>
            </w:pPr>
          </w:p>
        </w:tc>
        <w:tc>
          <w:tcPr>
            <w:tcW w:w="1984" w:type="dxa"/>
            <w:noWrap w:val="0"/>
            <w:vAlign w:val="top"/>
          </w:tcPr>
          <w:p w14:paraId="7572AC80">
            <w:pPr>
              <w:pStyle w:val="8"/>
              <w:keepNext/>
              <w:spacing w:after="0" w:line="440" w:lineRule="exact"/>
              <w:ind w:left="63" w:right="63"/>
              <w:rPr>
                <w:rFonts w:eastAsia="仿宋_GB2312"/>
                <w:color w:val="auto"/>
                <w:sz w:val="28"/>
                <w:szCs w:val="30"/>
                <w:highlight w:val="none"/>
              </w:rPr>
            </w:pPr>
          </w:p>
        </w:tc>
        <w:tc>
          <w:tcPr>
            <w:tcW w:w="851" w:type="dxa"/>
            <w:noWrap w:val="0"/>
            <w:vAlign w:val="top"/>
          </w:tcPr>
          <w:p w14:paraId="4C15CAF6">
            <w:pPr>
              <w:pStyle w:val="8"/>
              <w:keepNext/>
              <w:spacing w:after="0" w:line="440" w:lineRule="exact"/>
              <w:ind w:left="63" w:right="63"/>
              <w:rPr>
                <w:rFonts w:eastAsia="仿宋_GB2312"/>
                <w:color w:val="auto"/>
                <w:sz w:val="28"/>
                <w:szCs w:val="30"/>
                <w:highlight w:val="none"/>
              </w:rPr>
            </w:pPr>
          </w:p>
        </w:tc>
        <w:tc>
          <w:tcPr>
            <w:tcW w:w="774" w:type="dxa"/>
            <w:noWrap w:val="0"/>
            <w:vAlign w:val="top"/>
          </w:tcPr>
          <w:p w14:paraId="3B4CEDEA">
            <w:pPr>
              <w:pStyle w:val="8"/>
              <w:keepNext/>
              <w:spacing w:after="0" w:line="440" w:lineRule="exact"/>
              <w:ind w:left="63" w:right="63"/>
              <w:rPr>
                <w:rFonts w:eastAsia="仿宋_GB2312"/>
                <w:color w:val="auto"/>
                <w:sz w:val="28"/>
                <w:szCs w:val="30"/>
                <w:highlight w:val="none"/>
              </w:rPr>
            </w:pPr>
          </w:p>
        </w:tc>
        <w:tc>
          <w:tcPr>
            <w:tcW w:w="1352" w:type="dxa"/>
            <w:noWrap w:val="0"/>
            <w:vAlign w:val="top"/>
          </w:tcPr>
          <w:p w14:paraId="12079BC1">
            <w:pPr>
              <w:pStyle w:val="8"/>
              <w:keepNext/>
              <w:spacing w:after="0" w:line="440" w:lineRule="exact"/>
              <w:ind w:left="63" w:right="63"/>
              <w:rPr>
                <w:rFonts w:eastAsia="仿宋_GB2312"/>
                <w:color w:val="auto"/>
                <w:sz w:val="28"/>
                <w:szCs w:val="30"/>
                <w:highlight w:val="none"/>
              </w:rPr>
            </w:pPr>
          </w:p>
        </w:tc>
        <w:tc>
          <w:tcPr>
            <w:tcW w:w="1418" w:type="dxa"/>
            <w:noWrap w:val="0"/>
            <w:vAlign w:val="top"/>
          </w:tcPr>
          <w:p w14:paraId="4D9632C6">
            <w:pPr>
              <w:pStyle w:val="8"/>
              <w:keepNext/>
              <w:spacing w:after="0" w:line="440" w:lineRule="exact"/>
              <w:ind w:left="63" w:right="63"/>
              <w:rPr>
                <w:rFonts w:eastAsia="仿宋_GB2312"/>
                <w:color w:val="auto"/>
                <w:sz w:val="28"/>
                <w:szCs w:val="30"/>
                <w:highlight w:val="none"/>
              </w:rPr>
            </w:pPr>
          </w:p>
        </w:tc>
        <w:tc>
          <w:tcPr>
            <w:tcW w:w="1701" w:type="dxa"/>
            <w:noWrap w:val="0"/>
            <w:vAlign w:val="top"/>
          </w:tcPr>
          <w:p w14:paraId="79BD85D7">
            <w:pPr>
              <w:pStyle w:val="8"/>
              <w:keepNext/>
              <w:spacing w:after="0" w:line="440" w:lineRule="exact"/>
              <w:ind w:left="63" w:right="63"/>
              <w:rPr>
                <w:rFonts w:eastAsia="仿宋_GB2312"/>
                <w:color w:val="auto"/>
                <w:sz w:val="28"/>
                <w:szCs w:val="30"/>
                <w:highlight w:val="none"/>
              </w:rPr>
            </w:pPr>
          </w:p>
        </w:tc>
      </w:tr>
      <w:tr w14:paraId="07370B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179F539">
            <w:pPr>
              <w:pStyle w:val="8"/>
              <w:keepNext/>
              <w:spacing w:after="0" w:line="440" w:lineRule="exact"/>
              <w:ind w:left="63" w:right="63"/>
              <w:rPr>
                <w:rFonts w:eastAsia="仿宋_GB2312"/>
                <w:color w:val="auto"/>
                <w:sz w:val="28"/>
                <w:szCs w:val="30"/>
                <w:highlight w:val="none"/>
              </w:rPr>
            </w:pPr>
          </w:p>
        </w:tc>
        <w:tc>
          <w:tcPr>
            <w:tcW w:w="1984" w:type="dxa"/>
            <w:noWrap w:val="0"/>
            <w:vAlign w:val="top"/>
          </w:tcPr>
          <w:p w14:paraId="033EDB55">
            <w:pPr>
              <w:pStyle w:val="8"/>
              <w:keepNext/>
              <w:spacing w:after="0" w:line="440" w:lineRule="exact"/>
              <w:ind w:left="63" w:right="63"/>
              <w:rPr>
                <w:rFonts w:eastAsia="仿宋_GB2312"/>
                <w:color w:val="auto"/>
                <w:sz w:val="28"/>
                <w:szCs w:val="30"/>
                <w:highlight w:val="none"/>
              </w:rPr>
            </w:pPr>
          </w:p>
        </w:tc>
        <w:tc>
          <w:tcPr>
            <w:tcW w:w="851" w:type="dxa"/>
            <w:noWrap w:val="0"/>
            <w:vAlign w:val="top"/>
          </w:tcPr>
          <w:p w14:paraId="64C9A0AB">
            <w:pPr>
              <w:pStyle w:val="8"/>
              <w:keepNext/>
              <w:spacing w:after="0" w:line="440" w:lineRule="exact"/>
              <w:ind w:left="63" w:right="63"/>
              <w:rPr>
                <w:rFonts w:eastAsia="仿宋_GB2312"/>
                <w:color w:val="auto"/>
                <w:sz w:val="28"/>
                <w:szCs w:val="30"/>
                <w:highlight w:val="none"/>
              </w:rPr>
            </w:pPr>
          </w:p>
        </w:tc>
        <w:tc>
          <w:tcPr>
            <w:tcW w:w="774" w:type="dxa"/>
            <w:noWrap w:val="0"/>
            <w:vAlign w:val="top"/>
          </w:tcPr>
          <w:p w14:paraId="1E766B6C">
            <w:pPr>
              <w:pStyle w:val="8"/>
              <w:keepNext/>
              <w:spacing w:after="0" w:line="440" w:lineRule="exact"/>
              <w:ind w:left="63" w:right="63"/>
              <w:rPr>
                <w:rFonts w:eastAsia="仿宋_GB2312"/>
                <w:color w:val="auto"/>
                <w:sz w:val="28"/>
                <w:szCs w:val="30"/>
                <w:highlight w:val="none"/>
              </w:rPr>
            </w:pPr>
          </w:p>
        </w:tc>
        <w:tc>
          <w:tcPr>
            <w:tcW w:w="1352" w:type="dxa"/>
            <w:noWrap w:val="0"/>
            <w:vAlign w:val="top"/>
          </w:tcPr>
          <w:p w14:paraId="1801BA3C">
            <w:pPr>
              <w:pStyle w:val="8"/>
              <w:keepNext/>
              <w:spacing w:after="0" w:line="440" w:lineRule="exact"/>
              <w:ind w:left="63" w:right="63"/>
              <w:rPr>
                <w:rFonts w:eastAsia="仿宋_GB2312"/>
                <w:color w:val="auto"/>
                <w:sz w:val="28"/>
                <w:szCs w:val="30"/>
                <w:highlight w:val="none"/>
              </w:rPr>
            </w:pPr>
          </w:p>
        </w:tc>
        <w:tc>
          <w:tcPr>
            <w:tcW w:w="1418" w:type="dxa"/>
            <w:noWrap w:val="0"/>
            <w:vAlign w:val="top"/>
          </w:tcPr>
          <w:p w14:paraId="2F988B21">
            <w:pPr>
              <w:pStyle w:val="8"/>
              <w:keepNext/>
              <w:spacing w:after="0" w:line="440" w:lineRule="exact"/>
              <w:ind w:left="63" w:right="63"/>
              <w:rPr>
                <w:rFonts w:eastAsia="仿宋_GB2312"/>
                <w:color w:val="auto"/>
                <w:sz w:val="28"/>
                <w:szCs w:val="30"/>
                <w:highlight w:val="none"/>
              </w:rPr>
            </w:pPr>
          </w:p>
        </w:tc>
        <w:tc>
          <w:tcPr>
            <w:tcW w:w="1701" w:type="dxa"/>
            <w:noWrap w:val="0"/>
            <w:vAlign w:val="top"/>
          </w:tcPr>
          <w:p w14:paraId="39ED2F07">
            <w:pPr>
              <w:pStyle w:val="8"/>
              <w:keepNext/>
              <w:spacing w:after="0" w:line="440" w:lineRule="exact"/>
              <w:ind w:left="63" w:right="63"/>
              <w:rPr>
                <w:rFonts w:eastAsia="仿宋_GB2312"/>
                <w:color w:val="auto"/>
                <w:sz w:val="28"/>
                <w:szCs w:val="30"/>
                <w:highlight w:val="none"/>
              </w:rPr>
            </w:pPr>
          </w:p>
        </w:tc>
      </w:tr>
      <w:tr w14:paraId="70939D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C61E941">
            <w:pPr>
              <w:pStyle w:val="8"/>
              <w:keepNext/>
              <w:spacing w:after="0" w:line="440" w:lineRule="exact"/>
              <w:ind w:left="63" w:right="63"/>
              <w:rPr>
                <w:rFonts w:eastAsia="仿宋_GB2312"/>
                <w:color w:val="auto"/>
                <w:sz w:val="28"/>
                <w:szCs w:val="30"/>
                <w:highlight w:val="none"/>
              </w:rPr>
            </w:pPr>
          </w:p>
        </w:tc>
        <w:tc>
          <w:tcPr>
            <w:tcW w:w="1984" w:type="dxa"/>
            <w:noWrap w:val="0"/>
            <w:vAlign w:val="top"/>
          </w:tcPr>
          <w:p w14:paraId="61911201">
            <w:pPr>
              <w:pStyle w:val="8"/>
              <w:keepNext/>
              <w:spacing w:after="0" w:line="440" w:lineRule="exact"/>
              <w:ind w:left="63" w:right="63"/>
              <w:rPr>
                <w:rFonts w:eastAsia="仿宋_GB2312"/>
                <w:color w:val="auto"/>
                <w:sz w:val="28"/>
                <w:szCs w:val="30"/>
                <w:highlight w:val="none"/>
              </w:rPr>
            </w:pPr>
          </w:p>
        </w:tc>
        <w:tc>
          <w:tcPr>
            <w:tcW w:w="851" w:type="dxa"/>
            <w:noWrap w:val="0"/>
            <w:vAlign w:val="top"/>
          </w:tcPr>
          <w:p w14:paraId="368C6685">
            <w:pPr>
              <w:pStyle w:val="8"/>
              <w:keepNext/>
              <w:spacing w:after="0" w:line="440" w:lineRule="exact"/>
              <w:ind w:left="63" w:right="63"/>
              <w:rPr>
                <w:rFonts w:eastAsia="仿宋_GB2312"/>
                <w:color w:val="auto"/>
                <w:sz w:val="28"/>
                <w:szCs w:val="30"/>
                <w:highlight w:val="none"/>
              </w:rPr>
            </w:pPr>
          </w:p>
        </w:tc>
        <w:tc>
          <w:tcPr>
            <w:tcW w:w="774" w:type="dxa"/>
            <w:noWrap w:val="0"/>
            <w:vAlign w:val="top"/>
          </w:tcPr>
          <w:p w14:paraId="6E434700">
            <w:pPr>
              <w:pStyle w:val="8"/>
              <w:keepNext/>
              <w:spacing w:after="0" w:line="440" w:lineRule="exact"/>
              <w:ind w:left="63" w:right="63"/>
              <w:rPr>
                <w:rFonts w:eastAsia="仿宋_GB2312"/>
                <w:color w:val="auto"/>
                <w:sz w:val="28"/>
                <w:szCs w:val="30"/>
                <w:highlight w:val="none"/>
              </w:rPr>
            </w:pPr>
          </w:p>
        </w:tc>
        <w:tc>
          <w:tcPr>
            <w:tcW w:w="1352" w:type="dxa"/>
            <w:noWrap w:val="0"/>
            <w:vAlign w:val="top"/>
          </w:tcPr>
          <w:p w14:paraId="6A19D7EC">
            <w:pPr>
              <w:pStyle w:val="8"/>
              <w:keepNext/>
              <w:spacing w:after="0" w:line="440" w:lineRule="exact"/>
              <w:ind w:left="63" w:right="63"/>
              <w:rPr>
                <w:rFonts w:eastAsia="仿宋_GB2312"/>
                <w:color w:val="auto"/>
                <w:sz w:val="28"/>
                <w:szCs w:val="30"/>
                <w:highlight w:val="none"/>
              </w:rPr>
            </w:pPr>
          </w:p>
        </w:tc>
        <w:tc>
          <w:tcPr>
            <w:tcW w:w="1418" w:type="dxa"/>
            <w:noWrap w:val="0"/>
            <w:vAlign w:val="top"/>
          </w:tcPr>
          <w:p w14:paraId="368A6387">
            <w:pPr>
              <w:pStyle w:val="8"/>
              <w:keepNext/>
              <w:spacing w:after="0" w:line="440" w:lineRule="exact"/>
              <w:ind w:left="63" w:right="63"/>
              <w:rPr>
                <w:rFonts w:eastAsia="仿宋_GB2312"/>
                <w:color w:val="auto"/>
                <w:sz w:val="28"/>
                <w:szCs w:val="30"/>
                <w:highlight w:val="none"/>
              </w:rPr>
            </w:pPr>
          </w:p>
        </w:tc>
        <w:tc>
          <w:tcPr>
            <w:tcW w:w="1701" w:type="dxa"/>
            <w:noWrap w:val="0"/>
            <w:vAlign w:val="top"/>
          </w:tcPr>
          <w:p w14:paraId="02407364">
            <w:pPr>
              <w:pStyle w:val="8"/>
              <w:keepNext/>
              <w:spacing w:after="0" w:line="440" w:lineRule="exact"/>
              <w:ind w:left="63" w:right="63"/>
              <w:rPr>
                <w:rFonts w:eastAsia="仿宋_GB2312"/>
                <w:color w:val="auto"/>
                <w:sz w:val="28"/>
                <w:szCs w:val="30"/>
                <w:highlight w:val="none"/>
              </w:rPr>
            </w:pPr>
          </w:p>
        </w:tc>
      </w:tr>
      <w:tr w14:paraId="7A8930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678044F">
            <w:pPr>
              <w:pStyle w:val="8"/>
              <w:keepNext/>
              <w:spacing w:after="0" w:line="440" w:lineRule="exact"/>
              <w:ind w:left="63" w:right="63"/>
              <w:rPr>
                <w:rFonts w:eastAsia="仿宋_GB2312"/>
                <w:color w:val="auto"/>
                <w:sz w:val="28"/>
                <w:szCs w:val="30"/>
                <w:highlight w:val="none"/>
              </w:rPr>
            </w:pPr>
          </w:p>
        </w:tc>
        <w:tc>
          <w:tcPr>
            <w:tcW w:w="1984" w:type="dxa"/>
            <w:noWrap w:val="0"/>
            <w:vAlign w:val="top"/>
          </w:tcPr>
          <w:p w14:paraId="4B9957EF">
            <w:pPr>
              <w:pStyle w:val="8"/>
              <w:keepNext/>
              <w:spacing w:after="0" w:line="440" w:lineRule="exact"/>
              <w:ind w:left="63" w:right="63"/>
              <w:rPr>
                <w:rFonts w:eastAsia="仿宋_GB2312"/>
                <w:color w:val="auto"/>
                <w:sz w:val="28"/>
                <w:szCs w:val="30"/>
                <w:highlight w:val="none"/>
              </w:rPr>
            </w:pPr>
          </w:p>
        </w:tc>
        <w:tc>
          <w:tcPr>
            <w:tcW w:w="851" w:type="dxa"/>
            <w:noWrap w:val="0"/>
            <w:vAlign w:val="top"/>
          </w:tcPr>
          <w:p w14:paraId="2AD79C7D">
            <w:pPr>
              <w:pStyle w:val="8"/>
              <w:keepNext/>
              <w:spacing w:after="0" w:line="440" w:lineRule="exact"/>
              <w:ind w:left="63" w:right="63"/>
              <w:rPr>
                <w:rFonts w:eastAsia="仿宋_GB2312"/>
                <w:color w:val="auto"/>
                <w:sz w:val="28"/>
                <w:szCs w:val="30"/>
                <w:highlight w:val="none"/>
              </w:rPr>
            </w:pPr>
          </w:p>
        </w:tc>
        <w:tc>
          <w:tcPr>
            <w:tcW w:w="774" w:type="dxa"/>
            <w:noWrap w:val="0"/>
            <w:vAlign w:val="top"/>
          </w:tcPr>
          <w:p w14:paraId="4F4013AC">
            <w:pPr>
              <w:pStyle w:val="8"/>
              <w:keepNext/>
              <w:spacing w:after="0" w:line="440" w:lineRule="exact"/>
              <w:ind w:left="63" w:right="63"/>
              <w:rPr>
                <w:rFonts w:eastAsia="仿宋_GB2312"/>
                <w:color w:val="auto"/>
                <w:sz w:val="28"/>
                <w:szCs w:val="30"/>
                <w:highlight w:val="none"/>
              </w:rPr>
            </w:pPr>
          </w:p>
        </w:tc>
        <w:tc>
          <w:tcPr>
            <w:tcW w:w="1352" w:type="dxa"/>
            <w:noWrap w:val="0"/>
            <w:vAlign w:val="top"/>
          </w:tcPr>
          <w:p w14:paraId="10A3B2C1">
            <w:pPr>
              <w:pStyle w:val="8"/>
              <w:keepNext/>
              <w:spacing w:after="0" w:line="440" w:lineRule="exact"/>
              <w:ind w:left="63" w:right="63"/>
              <w:rPr>
                <w:rFonts w:eastAsia="仿宋_GB2312"/>
                <w:color w:val="auto"/>
                <w:sz w:val="28"/>
                <w:szCs w:val="30"/>
                <w:highlight w:val="none"/>
              </w:rPr>
            </w:pPr>
          </w:p>
        </w:tc>
        <w:tc>
          <w:tcPr>
            <w:tcW w:w="1418" w:type="dxa"/>
            <w:noWrap w:val="0"/>
            <w:vAlign w:val="top"/>
          </w:tcPr>
          <w:p w14:paraId="738F0EE4">
            <w:pPr>
              <w:pStyle w:val="8"/>
              <w:keepNext/>
              <w:spacing w:after="0" w:line="440" w:lineRule="exact"/>
              <w:ind w:left="63" w:right="63"/>
              <w:rPr>
                <w:rFonts w:eastAsia="仿宋_GB2312"/>
                <w:color w:val="auto"/>
                <w:sz w:val="28"/>
                <w:szCs w:val="30"/>
                <w:highlight w:val="none"/>
              </w:rPr>
            </w:pPr>
          </w:p>
        </w:tc>
        <w:tc>
          <w:tcPr>
            <w:tcW w:w="1701" w:type="dxa"/>
            <w:noWrap w:val="0"/>
            <w:vAlign w:val="top"/>
          </w:tcPr>
          <w:p w14:paraId="5A1FD5F7">
            <w:pPr>
              <w:pStyle w:val="8"/>
              <w:keepNext/>
              <w:spacing w:after="0" w:line="440" w:lineRule="exact"/>
              <w:ind w:left="63" w:right="63"/>
              <w:rPr>
                <w:rFonts w:eastAsia="仿宋_GB2312"/>
                <w:color w:val="auto"/>
                <w:sz w:val="28"/>
                <w:szCs w:val="30"/>
                <w:highlight w:val="none"/>
              </w:rPr>
            </w:pPr>
          </w:p>
        </w:tc>
      </w:tr>
    </w:tbl>
    <w:p w14:paraId="5D8EEC6F">
      <w:pPr>
        <w:spacing w:line="440" w:lineRule="exact"/>
        <w:rPr>
          <w:rFonts w:ascii="Times New Roman" w:hAnsi="Times New Roman" w:eastAsia="仿宋_GB2312"/>
          <w:color w:val="auto"/>
          <w:sz w:val="30"/>
          <w:szCs w:val="30"/>
          <w:highlight w:val="none"/>
        </w:rPr>
      </w:pPr>
    </w:p>
    <w:p w14:paraId="76CE96F0">
      <w:pPr>
        <w:rPr>
          <w:rFonts w:ascii="Times New Roman" w:hAnsi="Times New Roman" w:eastAsia="黑体"/>
          <w:color w:val="auto"/>
          <w:sz w:val="30"/>
          <w:szCs w:val="30"/>
          <w:highlight w:val="none"/>
        </w:rPr>
      </w:pPr>
      <w:bookmarkStart w:id="1959" w:name="_Toc22722"/>
      <w:bookmarkStart w:id="1960" w:name="_Toc31124"/>
      <w:r>
        <w:rPr>
          <w:rFonts w:ascii="Times New Roman" w:hAnsi="Times New Roman" w:eastAsia="黑体"/>
          <w:color w:val="auto"/>
          <w:sz w:val="30"/>
          <w:szCs w:val="30"/>
          <w:highlight w:val="none"/>
        </w:rPr>
        <w:br w:type="page"/>
      </w:r>
    </w:p>
    <w:p w14:paraId="47553949">
      <w:pPr>
        <w:spacing w:before="156" w:beforeLines="50" w:after="156" w:afterLines="50" w:line="440" w:lineRule="exact"/>
        <w:jc w:val="center"/>
        <w:outlineLvl w:val="4"/>
        <w:rPr>
          <w:rFonts w:ascii="Times New Roman" w:hAnsi="Times New Roman" w:eastAsia="黑体"/>
          <w:color w:val="auto"/>
          <w:sz w:val="30"/>
          <w:szCs w:val="30"/>
          <w:highlight w:val="none"/>
        </w:rPr>
      </w:pPr>
      <w:r>
        <w:rPr>
          <w:rFonts w:ascii="Times New Roman" w:hAnsi="Times New Roman" w:eastAsia="黑体"/>
          <w:color w:val="auto"/>
          <w:sz w:val="30"/>
          <w:szCs w:val="30"/>
          <w:highlight w:val="none"/>
        </w:rPr>
        <w:t>11-3：专业工程暂估价表</w:t>
      </w:r>
      <w:bookmarkEnd w:id="1959"/>
      <w:bookmarkEnd w:id="1960"/>
    </w:p>
    <w:tbl>
      <w:tblPr>
        <w:tblStyle w:val="18"/>
        <w:tblW w:w="8817"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79"/>
        <w:gridCol w:w="1984"/>
        <w:gridCol w:w="4678"/>
        <w:gridCol w:w="1276"/>
      </w:tblGrid>
      <w:tr w14:paraId="0079E2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single" w:color="auto" w:sz="12" w:space="0"/>
              <w:bottom w:val="double" w:color="auto" w:sz="6" w:space="0"/>
            </w:tcBorders>
            <w:noWrap w:val="0"/>
            <w:vAlign w:val="top"/>
          </w:tcPr>
          <w:p w14:paraId="2716E3AA">
            <w:pPr>
              <w:pStyle w:val="8"/>
              <w:keepNext/>
              <w:spacing w:after="0" w:line="440" w:lineRule="exact"/>
              <w:ind w:left="63" w:right="63"/>
              <w:rPr>
                <w:rFonts w:eastAsia="仿宋_GB2312"/>
                <w:color w:val="auto"/>
                <w:sz w:val="21"/>
                <w:szCs w:val="21"/>
                <w:highlight w:val="none"/>
              </w:rPr>
            </w:pPr>
            <w:r>
              <w:rPr>
                <w:rFonts w:eastAsia="仿宋_GB2312"/>
                <w:color w:val="auto"/>
                <w:sz w:val="21"/>
                <w:szCs w:val="21"/>
                <w:highlight w:val="none"/>
              </w:rPr>
              <w:t>序号</w:t>
            </w:r>
          </w:p>
        </w:tc>
        <w:tc>
          <w:tcPr>
            <w:tcW w:w="1984" w:type="dxa"/>
            <w:tcBorders>
              <w:top w:val="single" w:color="auto" w:sz="12" w:space="0"/>
              <w:bottom w:val="double" w:color="auto" w:sz="6" w:space="0"/>
            </w:tcBorders>
            <w:noWrap w:val="0"/>
            <w:vAlign w:val="top"/>
          </w:tcPr>
          <w:p w14:paraId="1D0CBD79">
            <w:pPr>
              <w:pStyle w:val="8"/>
              <w:keepNext/>
              <w:spacing w:after="0" w:line="440" w:lineRule="exact"/>
              <w:ind w:left="63" w:right="63"/>
              <w:rPr>
                <w:rFonts w:eastAsia="仿宋_GB2312"/>
                <w:color w:val="auto"/>
                <w:sz w:val="21"/>
                <w:szCs w:val="21"/>
                <w:highlight w:val="none"/>
              </w:rPr>
            </w:pPr>
            <w:r>
              <w:rPr>
                <w:rFonts w:eastAsia="仿宋_GB2312"/>
                <w:color w:val="auto"/>
                <w:sz w:val="21"/>
                <w:szCs w:val="21"/>
                <w:highlight w:val="none"/>
              </w:rPr>
              <w:t>专业工程名称</w:t>
            </w:r>
          </w:p>
        </w:tc>
        <w:tc>
          <w:tcPr>
            <w:tcW w:w="4678" w:type="dxa"/>
            <w:tcBorders>
              <w:top w:val="single" w:color="auto" w:sz="12" w:space="0"/>
              <w:bottom w:val="double" w:color="auto" w:sz="6" w:space="0"/>
            </w:tcBorders>
            <w:noWrap w:val="0"/>
            <w:vAlign w:val="top"/>
          </w:tcPr>
          <w:p w14:paraId="6086FD9A">
            <w:pPr>
              <w:pStyle w:val="8"/>
              <w:keepNext/>
              <w:spacing w:after="0" w:line="440" w:lineRule="exact"/>
              <w:ind w:left="63" w:right="63"/>
              <w:rPr>
                <w:rFonts w:eastAsia="仿宋_GB2312"/>
                <w:color w:val="auto"/>
                <w:sz w:val="21"/>
                <w:szCs w:val="21"/>
                <w:highlight w:val="none"/>
              </w:rPr>
            </w:pPr>
            <w:r>
              <w:rPr>
                <w:rFonts w:eastAsia="仿宋_GB2312"/>
                <w:color w:val="auto"/>
                <w:sz w:val="21"/>
                <w:szCs w:val="21"/>
                <w:highlight w:val="none"/>
              </w:rPr>
              <w:t>工程内容</w:t>
            </w:r>
          </w:p>
        </w:tc>
        <w:tc>
          <w:tcPr>
            <w:tcW w:w="1276" w:type="dxa"/>
            <w:tcBorders>
              <w:top w:val="single" w:color="auto" w:sz="12" w:space="0"/>
              <w:bottom w:val="double" w:color="auto" w:sz="6" w:space="0"/>
            </w:tcBorders>
            <w:noWrap w:val="0"/>
            <w:vAlign w:val="top"/>
          </w:tcPr>
          <w:p w14:paraId="7B9AC0D8">
            <w:pPr>
              <w:pStyle w:val="8"/>
              <w:keepNext/>
              <w:spacing w:after="0" w:line="440" w:lineRule="exact"/>
              <w:ind w:left="63" w:right="63"/>
              <w:rPr>
                <w:rFonts w:eastAsia="仿宋_GB2312"/>
                <w:color w:val="auto"/>
                <w:sz w:val="21"/>
                <w:szCs w:val="21"/>
                <w:highlight w:val="none"/>
              </w:rPr>
            </w:pPr>
            <w:r>
              <w:rPr>
                <w:rFonts w:eastAsia="仿宋_GB2312"/>
                <w:color w:val="auto"/>
                <w:sz w:val="21"/>
                <w:szCs w:val="21"/>
                <w:highlight w:val="none"/>
              </w:rPr>
              <w:t>金额</w:t>
            </w:r>
          </w:p>
        </w:tc>
      </w:tr>
      <w:tr w14:paraId="41B1E7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double" w:color="auto" w:sz="6" w:space="0"/>
              <w:bottom w:val="single" w:color="auto" w:sz="6" w:space="0"/>
            </w:tcBorders>
            <w:noWrap w:val="0"/>
            <w:vAlign w:val="top"/>
          </w:tcPr>
          <w:p w14:paraId="42D32509">
            <w:pPr>
              <w:pStyle w:val="8"/>
              <w:keepNext/>
              <w:spacing w:after="0" w:line="440" w:lineRule="exact"/>
              <w:ind w:left="63" w:right="63"/>
              <w:rPr>
                <w:color w:val="auto"/>
                <w:szCs w:val="21"/>
                <w:highlight w:val="none"/>
              </w:rPr>
            </w:pPr>
          </w:p>
        </w:tc>
        <w:tc>
          <w:tcPr>
            <w:tcW w:w="1984" w:type="dxa"/>
            <w:tcBorders>
              <w:top w:val="double" w:color="auto" w:sz="6" w:space="0"/>
              <w:bottom w:val="single" w:color="auto" w:sz="6" w:space="0"/>
            </w:tcBorders>
            <w:noWrap w:val="0"/>
            <w:vAlign w:val="top"/>
          </w:tcPr>
          <w:p w14:paraId="578A446C">
            <w:pPr>
              <w:pStyle w:val="8"/>
              <w:keepNext/>
              <w:spacing w:after="0" w:line="440" w:lineRule="exact"/>
              <w:ind w:left="63" w:right="63"/>
              <w:rPr>
                <w:color w:val="auto"/>
                <w:szCs w:val="21"/>
                <w:highlight w:val="none"/>
              </w:rPr>
            </w:pPr>
          </w:p>
        </w:tc>
        <w:tc>
          <w:tcPr>
            <w:tcW w:w="4678" w:type="dxa"/>
            <w:tcBorders>
              <w:top w:val="double" w:color="auto" w:sz="6" w:space="0"/>
              <w:bottom w:val="single" w:color="auto" w:sz="6" w:space="0"/>
            </w:tcBorders>
            <w:noWrap w:val="0"/>
            <w:vAlign w:val="top"/>
          </w:tcPr>
          <w:p w14:paraId="6962C5A3">
            <w:pPr>
              <w:pStyle w:val="8"/>
              <w:keepNext/>
              <w:spacing w:after="0" w:line="440" w:lineRule="exact"/>
              <w:ind w:left="63" w:right="63"/>
              <w:rPr>
                <w:color w:val="auto"/>
                <w:szCs w:val="21"/>
                <w:highlight w:val="none"/>
              </w:rPr>
            </w:pPr>
          </w:p>
        </w:tc>
        <w:tc>
          <w:tcPr>
            <w:tcW w:w="1276" w:type="dxa"/>
            <w:tcBorders>
              <w:top w:val="double" w:color="auto" w:sz="6" w:space="0"/>
              <w:bottom w:val="single" w:color="auto" w:sz="6" w:space="0"/>
            </w:tcBorders>
            <w:noWrap w:val="0"/>
            <w:vAlign w:val="top"/>
          </w:tcPr>
          <w:p w14:paraId="793C496E">
            <w:pPr>
              <w:pStyle w:val="8"/>
              <w:keepNext/>
              <w:spacing w:after="0" w:line="440" w:lineRule="exact"/>
              <w:ind w:left="63" w:right="63"/>
              <w:rPr>
                <w:color w:val="auto"/>
                <w:szCs w:val="21"/>
                <w:highlight w:val="none"/>
              </w:rPr>
            </w:pPr>
          </w:p>
        </w:tc>
      </w:tr>
      <w:tr w14:paraId="5DB34C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nil"/>
            </w:tcBorders>
            <w:noWrap w:val="0"/>
            <w:vAlign w:val="top"/>
          </w:tcPr>
          <w:p w14:paraId="6B219A84">
            <w:pPr>
              <w:pStyle w:val="8"/>
              <w:keepNext/>
              <w:spacing w:after="0" w:line="440" w:lineRule="exact"/>
              <w:ind w:left="63" w:right="63"/>
              <w:rPr>
                <w:color w:val="auto"/>
                <w:szCs w:val="21"/>
                <w:highlight w:val="none"/>
              </w:rPr>
            </w:pPr>
          </w:p>
        </w:tc>
        <w:tc>
          <w:tcPr>
            <w:tcW w:w="1984" w:type="dxa"/>
            <w:tcBorders>
              <w:top w:val="nil"/>
            </w:tcBorders>
            <w:noWrap w:val="0"/>
            <w:vAlign w:val="top"/>
          </w:tcPr>
          <w:p w14:paraId="38D067B3">
            <w:pPr>
              <w:pStyle w:val="8"/>
              <w:keepNext/>
              <w:spacing w:after="0" w:line="440" w:lineRule="exact"/>
              <w:ind w:left="63" w:right="63"/>
              <w:rPr>
                <w:color w:val="auto"/>
                <w:szCs w:val="21"/>
                <w:highlight w:val="none"/>
              </w:rPr>
            </w:pPr>
          </w:p>
        </w:tc>
        <w:tc>
          <w:tcPr>
            <w:tcW w:w="4678" w:type="dxa"/>
            <w:tcBorders>
              <w:top w:val="nil"/>
            </w:tcBorders>
            <w:noWrap w:val="0"/>
            <w:vAlign w:val="top"/>
          </w:tcPr>
          <w:p w14:paraId="44BB05AD">
            <w:pPr>
              <w:pStyle w:val="8"/>
              <w:keepNext/>
              <w:spacing w:after="0" w:line="440" w:lineRule="exact"/>
              <w:ind w:left="63" w:right="63"/>
              <w:rPr>
                <w:color w:val="auto"/>
                <w:szCs w:val="21"/>
                <w:highlight w:val="none"/>
              </w:rPr>
            </w:pPr>
          </w:p>
        </w:tc>
        <w:tc>
          <w:tcPr>
            <w:tcW w:w="1276" w:type="dxa"/>
            <w:tcBorders>
              <w:top w:val="nil"/>
            </w:tcBorders>
            <w:noWrap w:val="0"/>
            <w:vAlign w:val="top"/>
          </w:tcPr>
          <w:p w14:paraId="09E547F1">
            <w:pPr>
              <w:pStyle w:val="8"/>
              <w:keepNext/>
              <w:spacing w:after="0" w:line="440" w:lineRule="exact"/>
              <w:ind w:left="63" w:right="63"/>
              <w:rPr>
                <w:color w:val="auto"/>
                <w:szCs w:val="21"/>
                <w:highlight w:val="none"/>
              </w:rPr>
            </w:pPr>
          </w:p>
        </w:tc>
      </w:tr>
      <w:tr w14:paraId="10EBEE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nil"/>
            </w:tcBorders>
            <w:noWrap w:val="0"/>
            <w:vAlign w:val="top"/>
          </w:tcPr>
          <w:p w14:paraId="109AFC8B">
            <w:pPr>
              <w:pStyle w:val="8"/>
              <w:keepNext/>
              <w:spacing w:after="0" w:line="440" w:lineRule="exact"/>
              <w:ind w:left="63" w:right="63"/>
              <w:rPr>
                <w:color w:val="auto"/>
                <w:szCs w:val="21"/>
                <w:highlight w:val="none"/>
              </w:rPr>
            </w:pPr>
          </w:p>
        </w:tc>
        <w:tc>
          <w:tcPr>
            <w:tcW w:w="1984" w:type="dxa"/>
            <w:tcBorders>
              <w:top w:val="nil"/>
            </w:tcBorders>
            <w:noWrap w:val="0"/>
            <w:vAlign w:val="top"/>
          </w:tcPr>
          <w:p w14:paraId="4C12322A">
            <w:pPr>
              <w:pStyle w:val="8"/>
              <w:keepNext/>
              <w:spacing w:after="0" w:line="440" w:lineRule="exact"/>
              <w:ind w:left="63" w:right="63"/>
              <w:rPr>
                <w:color w:val="auto"/>
                <w:szCs w:val="21"/>
                <w:highlight w:val="none"/>
              </w:rPr>
            </w:pPr>
          </w:p>
        </w:tc>
        <w:tc>
          <w:tcPr>
            <w:tcW w:w="4678" w:type="dxa"/>
            <w:tcBorders>
              <w:top w:val="nil"/>
            </w:tcBorders>
            <w:noWrap w:val="0"/>
            <w:vAlign w:val="top"/>
          </w:tcPr>
          <w:p w14:paraId="7A3EB374">
            <w:pPr>
              <w:pStyle w:val="8"/>
              <w:keepNext/>
              <w:spacing w:after="0" w:line="440" w:lineRule="exact"/>
              <w:ind w:left="63" w:right="63"/>
              <w:rPr>
                <w:color w:val="auto"/>
                <w:szCs w:val="21"/>
                <w:highlight w:val="none"/>
              </w:rPr>
            </w:pPr>
          </w:p>
        </w:tc>
        <w:tc>
          <w:tcPr>
            <w:tcW w:w="1276" w:type="dxa"/>
            <w:tcBorders>
              <w:top w:val="nil"/>
            </w:tcBorders>
            <w:noWrap w:val="0"/>
            <w:vAlign w:val="top"/>
          </w:tcPr>
          <w:p w14:paraId="11D3E039">
            <w:pPr>
              <w:pStyle w:val="8"/>
              <w:keepNext/>
              <w:spacing w:after="0" w:line="440" w:lineRule="exact"/>
              <w:ind w:left="63" w:right="63"/>
              <w:rPr>
                <w:color w:val="auto"/>
                <w:szCs w:val="21"/>
                <w:highlight w:val="none"/>
              </w:rPr>
            </w:pPr>
          </w:p>
        </w:tc>
      </w:tr>
      <w:tr w14:paraId="33960B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3E168888">
            <w:pPr>
              <w:pStyle w:val="8"/>
              <w:keepNext/>
              <w:spacing w:after="0" w:line="440" w:lineRule="exact"/>
              <w:ind w:left="63" w:right="63"/>
              <w:rPr>
                <w:color w:val="auto"/>
                <w:szCs w:val="21"/>
                <w:highlight w:val="none"/>
              </w:rPr>
            </w:pPr>
          </w:p>
        </w:tc>
        <w:tc>
          <w:tcPr>
            <w:tcW w:w="1984" w:type="dxa"/>
            <w:noWrap w:val="0"/>
            <w:vAlign w:val="top"/>
          </w:tcPr>
          <w:p w14:paraId="76B7D408">
            <w:pPr>
              <w:pStyle w:val="8"/>
              <w:keepNext/>
              <w:spacing w:after="0" w:line="440" w:lineRule="exact"/>
              <w:ind w:left="63" w:right="63"/>
              <w:rPr>
                <w:color w:val="auto"/>
                <w:szCs w:val="21"/>
                <w:highlight w:val="none"/>
              </w:rPr>
            </w:pPr>
          </w:p>
        </w:tc>
        <w:tc>
          <w:tcPr>
            <w:tcW w:w="4678" w:type="dxa"/>
            <w:noWrap w:val="0"/>
            <w:vAlign w:val="top"/>
          </w:tcPr>
          <w:p w14:paraId="524D683F">
            <w:pPr>
              <w:pStyle w:val="8"/>
              <w:keepNext/>
              <w:spacing w:after="0" w:line="440" w:lineRule="exact"/>
              <w:ind w:left="63" w:right="63"/>
              <w:rPr>
                <w:color w:val="auto"/>
                <w:szCs w:val="21"/>
                <w:highlight w:val="none"/>
              </w:rPr>
            </w:pPr>
          </w:p>
        </w:tc>
        <w:tc>
          <w:tcPr>
            <w:tcW w:w="1276" w:type="dxa"/>
            <w:noWrap w:val="0"/>
            <w:vAlign w:val="top"/>
          </w:tcPr>
          <w:p w14:paraId="58D6C493">
            <w:pPr>
              <w:pStyle w:val="8"/>
              <w:keepNext/>
              <w:spacing w:after="0" w:line="440" w:lineRule="exact"/>
              <w:ind w:left="63" w:right="63"/>
              <w:rPr>
                <w:color w:val="auto"/>
                <w:szCs w:val="21"/>
                <w:highlight w:val="none"/>
              </w:rPr>
            </w:pPr>
          </w:p>
        </w:tc>
      </w:tr>
      <w:tr w14:paraId="26FABF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0BC72BE6">
            <w:pPr>
              <w:pStyle w:val="8"/>
              <w:keepNext/>
              <w:spacing w:after="0" w:line="440" w:lineRule="exact"/>
              <w:ind w:left="63" w:right="63"/>
              <w:rPr>
                <w:color w:val="auto"/>
                <w:szCs w:val="21"/>
                <w:highlight w:val="none"/>
              </w:rPr>
            </w:pPr>
          </w:p>
        </w:tc>
        <w:tc>
          <w:tcPr>
            <w:tcW w:w="1984" w:type="dxa"/>
            <w:noWrap w:val="0"/>
            <w:vAlign w:val="top"/>
          </w:tcPr>
          <w:p w14:paraId="58BB953B">
            <w:pPr>
              <w:pStyle w:val="8"/>
              <w:keepNext/>
              <w:spacing w:after="0" w:line="440" w:lineRule="exact"/>
              <w:ind w:left="63" w:right="63"/>
              <w:rPr>
                <w:color w:val="auto"/>
                <w:szCs w:val="21"/>
                <w:highlight w:val="none"/>
              </w:rPr>
            </w:pPr>
          </w:p>
        </w:tc>
        <w:tc>
          <w:tcPr>
            <w:tcW w:w="4678" w:type="dxa"/>
            <w:noWrap w:val="0"/>
            <w:vAlign w:val="top"/>
          </w:tcPr>
          <w:p w14:paraId="7D34EB6B">
            <w:pPr>
              <w:pStyle w:val="8"/>
              <w:keepNext/>
              <w:spacing w:after="0" w:line="440" w:lineRule="exact"/>
              <w:ind w:left="63" w:right="63"/>
              <w:rPr>
                <w:color w:val="auto"/>
                <w:szCs w:val="21"/>
                <w:highlight w:val="none"/>
              </w:rPr>
            </w:pPr>
          </w:p>
        </w:tc>
        <w:tc>
          <w:tcPr>
            <w:tcW w:w="1276" w:type="dxa"/>
            <w:noWrap w:val="0"/>
            <w:vAlign w:val="top"/>
          </w:tcPr>
          <w:p w14:paraId="21F120B9">
            <w:pPr>
              <w:pStyle w:val="8"/>
              <w:keepNext/>
              <w:spacing w:after="0" w:line="440" w:lineRule="exact"/>
              <w:ind w:left="63" w:right="63"/>
              <w:rPr>
                <w:color w:val="auto"/>
                <w:szCs w:val="21"/>
                <w:highlight w:val="none"/>
              </w:rPr>
            </w:pPr>
          </w:p>
        </w:tc>
      </w:tr>
      <w:tr w14:paraId="43B883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3C28A5DE">
            <w:pPr>
              <w:pStyle w:val="8"/>
              <w:keepNext/>
              <w:spacing w:after="0" w:line="440" w:lineRule="exact"/>
              <w:ind w:left="63" w:right="63"/>
              <w:rPr>
                <w:color w:val="auto"/>
                <w:szCs w:val="21"/>
                <w:highlight w:val="none"/>
              </w:rPr>
            </w:pPr>
          </w:p>
        </w:tc>
        <w:tc>
          <w:tcPr>
            <w:tcW w:w="1984" w:type="dxa"/>
            <w:noWrap w:val="0"/>
            <w:vAlign w:val="top"/>
          </w:tcPr>
          <w:p w14:paraId="78B15D72">
            <w:pPr>
              <w:pStyle w:val="8"/>
              <w:keepNext/>
              <w:spacing w:after="0" w:line="440" w:lineRule="exact"/>
              <w:ind w:left="63" w:right="63"/>
              <w:rPr>
                <w:color w:val="auto"/>
                <w:szCs w:val="21"/>
                <w:highlight w:val="none"/>
              </w:rPr>
            </w:pPr>
          </w:p>
        </w:tc>
        <w:tc>
          <w:tcPr>
            <w:tcW w:w="4678" w:type="dxa"/>
            <w:noWrap w:val="0"/>
            <w:vAlign w:val="top"/>
          </w:tcPr>
          <w:p w14:paraId="4BE087D7">
            <w:pPr>
              <w:pStyle w:val="8"/>
              <w:keepNext/>
              <w:spacing w:after="0" w:line="440" w:lineRule="exact"/>
              <w:ind w:left="63" w:right="63"/>
              <w:rPr>
                <w:color w:val="auto"/>
                <w:szCs w:val="21"/>
                <w:highlight w:val="none"/>
              </w:rPr>
            </w:pPr>
          </w:p>
        </w:tc>
        <w:tc>
          <w:tcPr>
            <w:tcW w:w="1276" w:type="dxa"/>
            <w:noWrap w:val="0"/>
            <w:vAlign w:val="top"/>
          </w:tcPr>
          <w:p w14:paraId="4DCA42BD">
            <w:pPr>
              <w:pStyle w:val="8"/>
              <w:keepNext/>
              <w:spacing w:after="0" w:line="440" w:lineRule="exact"/>
              <w:ind w:left="63" w:right="63"/>
              <w:rPr>
                <w:color w:val="auto"/>
                <w:szCs w:val="21"/>
                <w:highlight w:val="none"/>
              </w:rPr>
            </w:pPr>
          </w:p>
        </w:tc>
      </w:tr>
      <w:tr w14:paraId="2FA67B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2A1C1615">
            <w:pPr>
              <w:pStyle w:val="8"/>
              <w:keepNext/>
              <w:spacing w:after="0" w:line="440" w:lineRule="exact"/>
              <w:ind w:left="63" w:right="63"/>
              <w:rPr>
                <w:color w:val="auto"/>
                <w:szCs w:val="21"/>
                <w:highlight w:val="none"/>
              </w:rPr>
            </w:pPr>
          </w:p>
        </w:tc>
        <w:tc>
          <w:tcPr>
            <w:tcW w:w="1984" w:type="dxa"/>
            <w:noWrap w:val="0"/>
            <w:vAlign w:val="top"/>
          </w:tcPr>
          <w:p w14:paraId="34DF12C1">
            <w:pPr>
              <w:pStyle w:val="8"/>
              <w:keepNext/>
              <w:spacing w:after="0" w:line="440" w:lineRule="exact"/>
              <w:ind w:left="63" w:right="63"/>
              <w:rPr>
                <w:color w:val="auto"/>
                <w:szCs w:val="21"/>
                <w:highlight w:val="none"/>
              </w:rPr>
            </w:pPr>
          </w:p>
        </w:tc>
        <w:tc>
          <w:tcPr>
            <w:tcW w:w="4678" w:type="dxa"/>
            <w:noWrap w:val="0"/>
            <w:vAlign w:val="top"/>
          </w:tcPr>
          <w:p w14:paraId="3EEC975C">
            <w:pPr>
              <w:pStyle w:val="8"/>
              <w:keepNext/>
              <w:spacing w:after="0" w:line="440" w:lineRule="exact"/>
              <w:ind w:left="63" w:right="63"/>
              <w:rPr>
                <w:color w:val="auto"/>
                <w:szCs w:val="21"/>
                <w:highlight w:val="none"/>
              </w:rPr>
            </w:pPr>
          </w:p>
        </w:tc>
        <w:tc>
          <w:tcPr>
            <w:tcW w:w="1276" w:type="dxa"/>
            <w:noWrap w:val="0"/>
            <w:vAlign w:val="top"/>
          </w:tcPr>
          <w:p w14:paraId="06A0EF00">
            <w:pPr>
              <w:pStyle w:val="8"/>
              <w:keepNext/>
              <w:spacing w:after="0" w:line="440" w:lineRule="exact"/>
              <w:ind w:left="63" w:right="63"/>
              <w:rPr>
                <w:color w:val="auto"/>
                <w:szCs w:val="21"/>
                <w:highlight w:val="none"/>
              </w:rPr>
            </w:pPr>
          </w:p>
        </w:tc>
      </w:tr>
      <w:tr w14:paraId="4F0F05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5E4C3967">
            <w:pPr>
              <w:pStyle w:val="8"/>
              <w:keepNext/>
              <w:spacing w:after="0" w:line="440" w:lineRule="exact"/>
              <w:ind w:left="63" w:right="63"/>
              <w:rPr>
                <w:color w:val="auto"/>
                <w:szCs w:val="21"/>
                <w:highlight w:val="none"/>
              </w:rPr>
            </w:pPr>
          </w:p>
        </w:tc>
        <w:tc>
          <w:tcPr>
            <w:tcW w:w="1984" w:type="dxa"/>
            <w:noWrap w:val="0"/>
            <w:vAlign w:val="top"/>
          </w:tcPr>
          <w:p w14:paraId="4E2F5172">
            <w:pPr>
              <w:pStyle w:val="8"/>
              <w:keepNext/>
              <w:spacing w:after="0" w:line="440" w:lineRule="exact"/>
              <w:ind w:left="63" w:right="63"/>
              <w:rPr>
                <w:color w:val="auto"/>
                <w:szCs w:val="21"/>
                <w:highlight w:val="none"/>
              </w:rPr>
            </w:pPr>
          </w:p>
        </w:tc>
        <w:tc>
          <w:tcPr>
            <w:tcW w:w="4678" w:type="dxa"/>
            <w:noWrap w:val="0"/>
            <w:vAlign w:val="top"/>
          </w:tcPr>
          <w:p w14:paraId="13DA233C">
            <w:pPr>
              <w:pStyle w:val="8"/>
              <w:keepNext/>
              <w:spacing w:after="0" w:line="440" w:lineRule="exact"/>
              <w:ind w:left="63" w:right="63"/>
              <w:rPr>
                <w:color w:val="auto"/>
                <w:szCs w:val="21"/>
                <w:highlight w:val="none"/>
              </w:rPr>
            </w:pPr>
          </w:p>
        </w:tc>
        <w:tc>
          <w:tcPr>
            <w:tcW w:w="1276" w:type="dxa"/>
            <w:noWrap w:val="0"/>
            <w:vAlign w:val="top"/>
          </w:tcPr>
          <w:p w14:paraId="0A798A38">
            <w:pPr>
              <w:pStyle w:val="8"/>
              <w:keepNext/>
              <w:spacing w:after="0" w:line="440" w:lineRule="exact"/>
              <w:ind w:left="63" w:right="63"/>
              <w:rPr>
                <w:color w:val="auto"/>
                <w:szCs w:val="21"/>
                <w:highlight w:val="none"/>
              </w:rPr>
            </w:pPr>
          </w:p>
        </w:tc>
      </w:tr>
      <w:tr w14:paraId="339600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092E1869">
            <w:pPr>
              <w:pStyle w:val="8"/>
              <w:keepNext/>
              <w:spacing w:after="0" w:line="440" w:lineRule="exact"/>
              <w:ind w:left="63" w:right="63"/>
              <w:rPr>
                <w:color w:val="auto"/>
                <w:szCs w:val="21"/>
                <w:highlight w:val="none"/>
              </w:rPr>
            </w:pPr>
          </w:p>
        </w:tc>
        <w:tc>
          <w:tcPr>
            <w:tcW w:w="1984" w:type="dxa"/>
            <w:noWrap w:val="0"/>
            <w:vAlign w:val="top"/>
          </w:tcPr>
          <w:p w14:paraId="63BB9ABF">
            <w:pPr>
              <w:pStyle w:val="8"/>
              <w:keepNext/>
              <w:spacing w:after="0" w:line="440" w:lineRule="exact"/>
              <w:ind w:left="63" w:right="63"/>
              <w:rPr>
                <w:color w:val="auto"/>
                <w:szCs w:val="21"/>
                <w:highlight w:val="none"/>
              </w:rPr>
            </w:pPr>
          </w:p>
        </w:tc>
        <w:tc>
          <w:tcPr>
            <w:tcW w:w="4678" w:type="dxa"/>
            <w:noWrap w:val="0"/>
            <w:vAlign w:val="top"/>
          </w:tcPr>
          <w:p w14:paraId="20C787FF">
            <w:pPr>
              <w:pStyle w:val="8"/>
              <w:keepNext/>
              <w:spacing w:after="0" w:line="440" w:lineRule="exact"/>
              <w:ind w:left="63" w:right="63"/>
              <w:rPr>
                <w:color w:val="auto"/>
                <w:szCs w:val="21"/>
                <w:highlight w:val="none"/>
              </w:rPr>
            </w:pPr>
          </w:p>
        </w:tc>
        <w:tc>
          <w:tcPr>
            <w:tcW w:w="1276" w:type="dxa"/>
            <w:noWrap w:val="0"/>
            <w:vAlign w:val="top"/>
          </w:tcPr>
          <w:p w14:paraId="5354D83F">
            <w:pPr>
              <w:pStyle w:val="8"/>
              <w:keepNext/>
              <w:spacing w:after="0" w:line="440" w:lineRule="exact"/>
              <w:ind w:left="63" w:right="63"/>
              <w:rPr>
                <w:color w:val="auto"/>
                <w:szCs w:val="21"/>
                <w:highlight w:val="none"/>
              </w:rPr>
            </w:pPr>
          </w:p>
        </w:tc>
      </w:tr>
      <w:tr w14:paraId="507844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2599602C">
            <w:pPr>
              <w:pStyle w:val="8"/>
              <w:keepNext/>
              <w:spacing w:after="0" w:line="440" w:lineRule="exact"/>
              <w:ind w:left="63" w:right="63"/>
              <w:rPr>
                <w:color w:val="auto"/>
                <w:szCs w:val="21"/>
                <w:highlight w:val="none"/>
              </w:rPr>
            </w:pPr>
          </w:p>
        </w:tc>
        <w:tc>
          <w:tcPr>
            <w:tcW w:w="1984" w:type="dxa"/>
            <w:noWrap w:val="0"/>
            <w:vAlign w:val="top"/>
          </w:tcPr>
          <w:p w14:paraId="008766B8">
            <w:pPr>
              <w:pStyle w:val="8"/>
              <w:keepNext/>
              <w:spacing w:after="0" w:line="440" w:lineRule="exact"/>
              <w:ind w:left="63" w:right="63"/>
              <w:rPr>
                <w:color w:val="auto"/>
                <w:szCs w:val="21"/>
                <w:highlight w:val="none"/>
              </w:rPr>
            </w:pPr>
          </w:p>
        </w:tc>
        <w:tc>
          <w:tcPr>
            <w:tcW w:w="4678" w:type="dxa"/>
            <w:noWrap w:val="0"/>
            <w:vAlign w:val="top"/>
          </w:tcPr>
          <w:p w14:paraId="4D448320">
            <w:pPr>
              <w:pStyle w:val="8"/>
              <w:keepNext/>
              <w:spacing w:after="0" w:line="440" w:lineRule="exact"/>
              <w:ind w:left="63" w:right="63"/>
              <w:rPr>
                <w:color w:val="auto"/>
                <w:szCs w:val="21"/>
                <w:highlight w:val="none"/>
              </w:rPr>
            </w:pPr>
          </w:p>
        </w:tc>
        <w:tc>
          <w:tcPr>
            <w:tcW w:w="1276" w:type="dxa"/>
            <w:noWrap w:val="0"/>
            <w:vAlign w:val="top"/>
          </w:tcPr>
          <w:p w14:paraId="0E276D41">
            <w:pPr>
              <w:pStyle w:val="8"/>
              <w:keepNext/>
              <w:spacing w:after="0" w:line="440" w:lineRule="exact"/>
              <w:ind w:left="63" w:right="63"/>
              <w:rPr>
                <w:color w:val="auto"/>
                <w:szCs w:val="21"/>
                <w:highlight w:val="none"/>
              </w:rPr>
            </w:pPr>
          </w:p>
        </w:tc>
      </w:tr>
      <w:tr w14:paraId="771200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2012F49C">
            <w:pPr>
              <w:pStyle w:val="8"/>
              <w:keepNext/>
              <w:spacing w:after="0" w:line="440" w:lineRule="exact"/>
              <w:ind w:left="63" w:right="63"/>
              <w:rPr>
                <w:color w:val="auto"/>
                <w:szCs w:val="21"/>
                <w:highlight w:val="none"/>
              </w:rPr>
            </w:pPr>
          </w:p>
        </w:tc>
        <w:tc>
          <w:tcPr>
            <w:tcW w:w="1984" w:type="dxa"/>
            <w:noWrap w:val="0"/>
            <w:vAlign w:val="top"/>
          </w:tcPr>
          <w:p w14:paraId="0CF1A328">
            <w:pPr>
              <w:pStyle w:val="8"/>
              <w:keepNext/>
              <w:spacing w:after="0" w:line="440" w:lineRule="exact"/>
              <w:ind w:left="63" w:right="63"/>
              <w:rPr>
                <w:color w:val="auto"/>
                <w:szCs w:val="21"/>
                <w:highlight w:val="none"/>
              </w:rPr>
            </w:pPr>
          </w:p>
        </w:tc>
        <w:tc>
          <w:tcPr>
            <w:tcW w:w="4678" w:type="dxa"/>
            <w:noWrap w:val="0"/>
            <w:vAlign w:val="top"/>
          </w:tcPr>
          <w:p w14:paraId="55067B00">
            <w:pPr>
              <w:pStyle w:val="8"/>
              <w:keepNext/>
              <w:spacing w:after="0" w:line="440" w:lineRule="exact"/>
              <w:ind w:left="63" w:right="63"/>
              <w:rPr>
                <w:color w:val="auto"/>
                <w:szCs w:val="21"/>
                <w:highlight w:val="none"/>
              </w:rPr>
            </w:pPr>
          </w:p>
        </w:tc>
        <w:tc>
          <w:tcPr>
            <w:tcW w:w="1276" w:type="dxa"/>
            <w:noWrap w:val="0"/>
            <w:vAlign w:val="top"/>
          </w:tcPr>
          <w:p w14:paraId="75EF08BA">
            <w:pPr>
              <w:pStyle w:val="8"/>
              <w:keepNext/>
              <w:spacing w:after="0" w:line="440" w:lineRule="exact"/>
              <w:ind w:left="63" w:right="63"/>
              <w:rPr>
                <w:color w:val="auto"/>
                <w:szCs w:val="21"/>
                <w:highlight w:val="none"/>
              </w:rPr>
            </w:pPr>
          </w:p>
        </w:tc>
      </w:tr>
      <w:tr w14:paraId="0A3CAB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6FE93719">
            <w:pPr>
              <w:pStyle w:val="8"/>
              <w:keepNext/>
              <w:spacing w:after="0" w:line="440" w:lineRule="exact"/>
              <w:ind w:left="63" w:right="63"/>
              <w:rPr>
                <w:color w:val="auto"/>
                <w:szCs w:val="21"/>
                <w:highlight w:val="none"/>
              </w:rPr>
            </w:pPr>
          </w:p>
        </w:tc>
        <w:tc>
          <w:tcPr>
            <w:tcW w:w="1984" w:type="dxa"/>
            <w:noWrap w:val="0"/>
            <w:vAlign w:val="top"/>
          </w:tcPr>
          <w:p w14:paraId="46C44CF5">
            <w:pPr>
              <w:pStyle w:val="8"/>
              <w:keepNext/>
              <w:spacing w:after="0" w:line="440" w:lineRule="exact"/>
              <w:ind w:left="63" w:right="63"/>
              <w:rPr>
                <w:color w:val="auto"/>
                <w:szCs w:val="21"/>
                <w:highlight w:val="none"/>
              </w:rPr>
            </w:pPr>
          </w:p>
        </w:tc>
        <w:tc>
          <w:tcPr>
            <w:tcW w:w="4678" w:type="dxa"/>
            <w:noWrap w:val="0"/>
            <w:vAlign w:val="top"/>
          </w:tcPr>
          <w:p w14:paraId="23CF12E2">
            <w:pPr>
              <w:pStyle w:val="8"/>
              <w:keepNext/>
              <w:spacing w:after="0" w:line="440" w:lineRule="exact"/>
              <w:ind w:left="63" w:right="63"/>
              <w:rPr>
                <w:color w:val="auto"/>
                <w:szCs w:val="21"/>
                <w:highlight w:val="none"/>
              </w:rPr>
            </w:pPr>
          </w:p>
        </w:tc>
        <w:tc>
          <w:tcPr>
            <w:tcW w:w="1276" w:type="dxa"/>
            <w:noWrap w:val="0"/>
            <w:vAlign w:val="top"/>
          </w:tcPr>
          <w:p w14:paraId="2621C77D">
            <w:pPr>
              <w:pStyle w:val="8"/>
              <w:keepNext/>
              <w:spacing w:after="0" w:line="440" w:lineRule="exact"/>
              <w:ind w:left="63" w:right="63"/>
              <w:rPr>
                <w:color w:val="auto"/>
                <w:szCs w:val="21"/>
                <w:highlight w:val="none"/>
              </w:rPr>
            </w:pPr>
          </w:p>
        </w:tc>
      </w:tr>
      <w:tr w14:paraId="7A956B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5F7DD54F">
            <w:pPr>
              <w:pStyle w:val="8"/>
              <w:keepNext/>
              <w:spacing w:after="0" w:line="440" w:lineRule="exact"/>
              <w:ind w:left="63" w:right="63"/>
              <w:rPr>
                <w:color w:val="auto"/>
                <w:szCs w:val="21"/>
                <w:highlight w:val="none"/>
              </w:rPr>
            </w:pPr>
          </w:p>
        </w:tc>
        <w:tc>
          <w:tcPr>
            <w:tcW w:w="1984" w:type="dxa"/>
            <w:noWrap w:val="0"/>
            <w:vAlign w:val="top"/>
          </w:tcPr>
          <w:p w14:paraId="4364D27B">
            <w:pPr>
              <w:pStyle w:val="8"/>
              <w:keepNext/>
              <w:spacing w:after="0" w:line="440" w:lineRule="exact"/>
              <w:ind w:left="63" w:right="63"/>
              <w:rPr>
                <w:color w:val="auto"/>
                <w:szCs w:val="21"/>
                <w:highlight w:val="none"/>
              </w:rPr>
            </w:pPr>
          </w:p>
        </w:tc>
        <w:tc>
          <w:tcPr>
            <w:tcW w:w="4678" w:type="dxa"/>
            <w:noWrap w:val="0"/>
            <w:vAlign w:val="top"/>
          </w:tcPr>
          <w:p w14:paraId="2D9358D5">
            <w:pPr>
              <w:pStyle w:val="8"/>
              <w:keepNext/>
              <w:spacing w:after="0" w:line="440" w:lineRule="exact"/>
              <w:ind w:left="63" w:right="63"/>
              <w:rPr>
                <w:color w:val="auto"/>
                <w:szCs w:val="21"/>
                <w:highlight w:val="none"/>
              </w:rPr>
            </w:pPr>
          </w:p>
        </w:tc>
        <w:tc>
          <w:tcPr>
            <w:tcW w:w="1276" w:type="dxa"/>
            <w:noWrap w:val="0"/>
            <w:vAlign w:val="top"/>
          </w:tcPr>
          <w:p w14:paraId="5F6B7222">
            <w:pPr>
              <w:pStyle w:val="8"/>
              <w:keepNext/>
              <w:spacing w:after="0" w:line="440" w:lineRule="exact"/>
              <w:ind w:left="63" w:right="63"/>
              <w:rPr>
                <w:color w:val="auto"/>
                <w:szCs w:val="21"/>
                <w:highlight w:val="none"/>
              </w:rPr>
            </w:pPr>
          </w:p>
        </w:tc>
      </w:tr>
      <w:tr w14:paraId="40EBCC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08C8843F">
            <w:pPr>
              <w:pStyle w:val="8"/>
              <w:keepNext/>
              <w:spacing w:after="0" w:line="440" w:lineRule="exact"/>
              <w:ind w:left="63" w:right="63"/>
              <w:rPr>
                <w:color w:val="auto"/>
                <w:szCs w:val="21"/>
                <w:highlight w:val="none"/>
              </w:rPr>
            </w:pPr>
          </w:p>
        </w:tc>
        <w:tc>
          <w:tcPr>
            <w:tcW w:w="1984" w:type="dxa"/>
            <w:noWrap w:val="0"/>
            <w:vAlign w:val="top"/>
          </w:tcPr>
          <w:p w14:paraId="22D70544">
            <w:pPr>
              <w:pStyle w:val="8"/>
              <w:keepNext/>
              <w:spacing w:after="0" w:line="440" w:lineRule="exact"/>
              <w:ind w:left="63" w:right="63"/>
              <w:rPr>
                <w:color w:val="auto"/>
                <w:szCs w:val="21"/>
                <w:highlight w:val="none"/>
              </w:rPr>
            </w:pPr>
          </w:p>
        </w:tc>
        <w:tc>
          <w:tcPr>
            <w:tcW w:w="4678" w:type="dxa"/>
            <w:noWrap w:val="0"/>
            <w:vAlign w:val="top"/>
          </w:tcPr>
          <w:p w14:paraId="612D1393">
            <w:pPr>
              <w:pStyle w:val="8"/>
              <w:keepNext/>
              <w:spacing w:after="0" w:line="440" w:lineRule="exact"/>
              <w:ind w:left="63" w:right="63"/>
              <w:rPr>
                <w:color w:val="auto"/>
                <w:szCs w:val="21"/>
                <w:highlight w:val="none"/>
              </w:rPr>
            </w:pPr>
          </w:p>
        </w:tc>
        <w:tc>
          <w:tcPr>
            <w:tcW w:w="1276" w:type="dxa"/>
            <w:noWrap w:val="0"/>
            <w:vAlign w:val="top"/>
          </w:tcPr>
          <w:p w14:paraId="07EFBA26">
            <w:pPr>
              <w:pStyle w:val="8"/>
              <w:keepNext/>
              <w:spacing w:after="0" w:line="440" w:lineRule="exact"/>
              <w:ind w:left="63" w:right="63"/>
              <w:rPr>
                <w:color w:val="auto"/>
                <w:szCs w:val="21"/>
                <w:highlight w:val="none"/>
              </w:rPr>
            </w:pPr>
          </w:p>
        </w:tc>
      </w:tr>
      <w:tr w14:paraId="588459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1AB745F1">
            <w:pPr>
              <w:pStyle w:val="8"/>
              <w:keepNext/>
              <w:spacing w:after="0" w:line="440" w:lineRule="exact"/>
              <w:ind w:left="63" w:right="63"/>
              <w:rPr>
                <w:color w:val="auto"/>
                <w:szCs w:val="21"/>
                <w:highlight w:val="none"/>
              </w:rPr>
            </w:pPr>
          </w:p>
        </w:tc>
        <w:tc>
          <w:tcPr>
            <w:tcW w:w="1984" w:type="dxa"/>
            <w:noWrap w:val="0"/>
            <w:vAlign w:val="top"/>
          </w:tcPr>
          <w:p w14:paraId="709060CB">
            <w:pPr>
              <w:pStyle w:val="8"/>
              <w:keepNext/>
              <w:spacing w:after="0" w:line="440" w:lineRule="exact"/>
              <w:ind w:left="63" w:right="63"/>
              <w:rPr>
                <w:color w:val="auto"/>
                <w:szCs w:val="21"/>
                <w:highlight w:val="none"/>
              </w:rPr>
            </w:pPr>
          </w:p>
        </w:tc>
        <w:tc>
          <w:tcPr>
            <w:tcW w:w="4678" w:type="dxa"/>
            <w:noWrap w:val="0"/>
            <w:vAlign w:val="top"/>
          </w:tcPr>
          <w:p w14:paraId="1AE8B374">
            <w:pPr>
              <w:pStyle w:val="8"/>
              <w:keepNext/>
              <w:spacing w:after="0" w:line="440" w:lineRule="exact"/>
              <w:ind w:left="63" w:right="63"/>
              <w:rPr>
                <w:color w:val="auto"/>
                <w:szCs w:val="21"/>
                <w:highlight w:val="none"/>
              </w:rPr>
            </w:pPr>
          </w:p>
        </w:tc>
        <w:tc>
          <w:tcPr>
            <w:tcW w:w="1276" w:type="dxa"/>
            <w:noWrap w:val="0"/>
            <w:vAlign w:val="top"/>
          </w:tcPr>
          <w:p w14:paraId="660CE617">
            <w:pPr>
              <w:pStyle w:val="8"/>
              <w:keepNext/>
              <w:spacing w:after="0" w:line="440" w:lineRule="exact"/>
              <w:ind w:left="63" w:right="63"/>
              <w:rPr>
                <w:color w:val="auto"/>
                <w:szCs w:val="21"/>
                <w:highlight w:val="none"/>
              </w:rPr>
            </w:pPr>
          </w:p>
        </w:tc>
      </w:tr>
      <w:tr w14:paraId="6E7F7B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07E2C48B">
            <w:pPr>
              <w:pStyle w:val="8"/>
              <w:keepNext/>
              <w:spacing w:after="0" w:line="440" w:lineRule="exact"/>
              <w:ind w:left="63" w:right="63"/>
              <w:rPr>
                <w:color w:val="auto"/>
                <w:szCs w:val="21"/>
                <w:highlight w:val="none"/>
              </w:rPr>
            </w:pPr>
          </w:p>
        </w:tc>
        <w:tc>
          <w:tcPr>
            <w:tcW w:w="1984" w:type="dxa"/>
            <w:noWrap w:val="0"/>
            <w:vAlign w:val="top"/>
          </w:tcPr>
          <w:p w14:paraId="56399A8A">
            <w:pPr>
              <w:pStyle w:val="8"/>
              <w:keepNext/>
              <w:spacing w:after="0" w:line="440" w:lineRule="exact"/>
              <w:ind w:left="63" w:right="63"/>
              <w:rPr>
                <w:color w:val="auto"/>
                <w:szCs w:val="21"/>
                <w:highlight w:val="none"/>
              </w:rPr>
            </w:pPr>
          </w:p>
        </w:tc>
        <w:tc>
          <w:tcPr>
            <w:tcW w:w="4678" w:type="dxa"/>
            <w:noWrap w:val="0"/>
            <w:vAlign w:val="top"/>
          </w:tcPr>
          <w:p w14:paraId="73AA9C89">
            <w:pPr>
              <w:pStyle w:val="8"/>
              <w:keepNext/>
              <w:spacing w:after="0" w:line="440" w:lineRule="exact"/>
              <w:ind w:left="63" w:right="63"/>
              <w:rPr>
                <w:color w:val="auto"/>
                <w:szCs w:val="21"/>
                <w:highlight w:val="none"/>
              </w:rPr>
            </w:pPr>
          </w:p>
        </w:tc>
        <w:tc>
          <w:tcPr>
            <w:tcW w:w="1276" w:type="dxa"/>
            <w:noWrap w:val="0"/>
            <w:vAlign w:val="top"/>
          </w:tcPr>
          <w:p w14:paraId="04E6755D">
            <w:pPr>
              <w:pStyle w:val="8"/>
              <w:keepNext/>
              <w:spacing w:after="0" w:line="440" w:lineRule="exact"/>
              <w:ind w:left="63" w:right="63"/>
              <w:rPr>
                <w:color w:val="auto"/>
                <w:szCs w:val="21"/>
                <w:highlight w:val="none"/>
              </w:rPr>
            </w:pPr>
          </w:p>
        </w:tc>
      </w:tr>
      <w:tr w14:paraId="075632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4CDE6829">
            <w:pPr>
              <w:pStyle w:val="8"/>
              <w:keepNext/>
              <w:spacing w:after="0" w:line="440" w:lineRule="exact"/>
              <w:ind w:left="63" w:right="63"/>
              <w:rPr>
                <w:color w:val="auto"/>
                <w:szCs w:val="21"/>
                <w:highlight w:val="none"/>
              </w:rPr>
            </w:pPr>
          </w:p>
        </w:tc>
        <w:tc>
          <w:tcPr>
            <w:tcW w:w="1984" w:type="dxa"/>
            <w:noWrap w:val="0"/>
            <w:vAlign w:val="top"/>
          </w:tcPr>
          <w:p w14:paraId="0283A4AD">
            <w:pPr>
              <w:pStyle w:val="8"/>
              <w:keepNext/>
              <w:spacing w:after="0" w:line="440" w:lineRule="exact"/>
              <w:ind w:left="63" w:right="63"/>
              <w:rPr>
                <w:color w:val="auto"/>
                <w:szCs w:val="21"/>
                <w:highlight w:val="none"/>
              </w:rPr>
            </w:pPr>
          </w:p>
        </w:tc>
        <w:tc>
          <w:tcPr>
            <w:tcW w:w="4678" w:type="dxa"/>
            <w:noWrap w:val="0"/>
            <w:vAlign w:val="top"/>
          </w:tcPr>
          <w:p w14:paraId="63CF885E">
            <w:pPr>
              <w:pStyle w:val="8"/>
              <w:keepNext/>
              <w:spacing w:after="0" w:line="440" w:lineRule="exact"/>
              <w:ind w:left="63" w:right="63"/>
              <w:rPr>
                <w:color w:val="auto"/>
                <w:szCs w:val="21"/>
                <w:highlight w:val="none"/>
              </w:rPr>
            </w:pPr>
          </w:p>
        </w:tc>
        <w:tc>
          <w:tcPr>
            <w:tcW w:w="1276" w:type="dxa"/>
            <w:noWrap w:val="0"/>
            <w:vAlign w:val="top"/>
          </w:tcPr>
          <w:p w14:paraId="5ACB5996">
            <w:pPr>
              <w:pStyle w:val="8"/>
              <w:keepNext/>
              <w:spacing w:after="0" w:line="440" w:lineRule="exact"/>
              <w:ind w:left="63" w:right="63"/>
              <w:rPr>
                <w:color w:val="auto"/>
                <w:szCs w:val="21"/>
                <w:highlight w:val="none"/>
              </w:rPr>
            </w:pPr>
          </w:p>
        </w:tc>
      </w:tr>
      <w:tr w14:paraId="6C91FF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323F259D">
            <w:pPr>
              <w:pStyle w:val="8"/>
              <w:keepNext/>
              <w:spacing w:after="0" w:line="440" w:lineRule="exact"/>
              <w:ind w:left="63" w:right="63"/>
              <w:rPr>
                <w:color w:val="auto"/>
                <w:szCs w:val="21"/>
                <w:highlight w:val="none"/>
              </w:rPr>
            </w:pPr>
          </w:p>
        </w:tc>
        <w:tc>
          <w:tcPr>
            <w:tcW w:w="1984" w:type="dxa"/>
            <w:noWrap w:val="0"/>
            <w:vAlign w:val="top"/>
          </w:tcPr>
          <w:p w14:paraId="6A10835D">
            <w:pPr>
              <w:pStyle w:val="8"/>
              <w:keepNext/>
              <w:spacing w:after="0" w:line="440" w:lineRule="exact"/>
              <w:ind w:left="63" w:right="63"/>
              <w:rPr>
                <w:color w:val="auto"/>
                <w:szCs w:val="21"/>
                <w:highlight w:val="none"/>
              </w:rPr>
            </w:pPr>
          </w:p>
        </w:tc>
        <w:tc>
          <w:tcPr>
            <w:tcW w:w="4678" w:type="dxa"/>
            <w:noWrap w:val="0"/>
            <w:vAlign w:val="top"/>
          </w:tcPr>
          <w:p w14:paraId="484FC8AE">
            <w:pPr>
              <w:pStyle w:val="8"/>
              <w:keepNext/>
              <w:spacing w:after="0" w:line="440" w:lineRule="exact"/>
              <w:ind w:left="63" w:right="63"/>
              <w:rPr>
                <w:color w:val="auto"/>
                <w:szCs w:val="21"/>
                <w:highlight w:val="none"/>
              </w:rPr>
            </w:pPr>
          </w:p>
        </w:tc>
        <w:tc>
          <w:tcPr>
            <w:tcW w:w="1276" w:type="dxa"/>
            <w:noWrap w:val="0"/>
            <w:vAlign w:val="top"/>
          </w:tcPr>
          <w:p w14:paraId="33A6F4DC">
            <w:pPr>
              <w:pStyle w:val="8"/>
              <w:keepNext/>
              <w:spacing w:after="0" w:line="440" w:lineRule="exact"/>
              <w:ind w:left="63" w:right="63"/>
              <w:rPr>
                <w:color w:val="auto"/>
                <w:szCs w:val="21"/>
                <w:highlight w:val="none"/>
              </w:rPr>
            </w:pPr>
          </w:p>
        </w:tc>
      </w:tr>
      <w:tr w14:paraId="048951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4E6E50A5">
            <w:pPr>
              <w:pStyle w:val="8"/>
              <w:keepNext/>
              <w:spacing w:after="0" w:line="440" w:lineRule="exact"/>
              <w:ind w:left="63" w:right="63"/>
              <w:rPr>
                <w:color w:val="auto"/>
                <w:szCs w:val="21"/>
                <w:highlight w:val="none"/>
              </w:rPr>
            </w:pPr>
          </w:p>
        </w:tc>
        <w:tc>
          <w:tcPr>
            <w:tcW w:w="1984" w:type="dxa"/>
            <w:noWrap w:val="0"/>
            <w:vAlign w:val="top"/>
          </w:tcPr>
          <w:p w14:paraId="4AE637C8">
            <w:pPr>
              <w:pStyle w:val="8"/>
              <w:keepNext/>
              <w:spacing w:after="0" w:line="440" w:lineRule="exact"/>
              <w:ind w:left="63" w:right="63"/>
              <w:rPr>
                <w:color w:val="auto"/>
                <w:szCs w:val="21"/>
                <w:highlight w:val="none"/>
              </w:rPr>
            </w:pPr>
          </w:p>
        </w:tc>
        <w:tc>
          <w:tcPr>
            <w:tcW w:w="4678" w:type="dxa"/>
            <w:noWrap w:val="0"/>
            <w:vAlign w:val="top"/>
          </w:tcPr>
          <w:p w14:paraId="41CBDB58">
            <w:pPr>
              <w:pStyle w:val="8"/>
              <w:keepNext/>
              <w:spacing w:after="0" w:line="440" w:lineRule="exact"/>
              <w:ind w:left="63" w:right="63"/>
              <w:rPr>
                <w:color w:val="auto"/>
                <w:szCs w:val="21"/>
                <w:highlight w:val="none"/>
              </w:rPr>
            </w:pPr>
          </w:p>
        </w:tc>
        <w:tc>
          <w:tcPr>
            <w:tcW w:w="1276" w:type="dxa"/>
            <w:noWrap w:val="0"/>
            <w:vAlign w:val="top"/>
          </w:tcPr>
          <w:p w14:paraId="391ED81F">
            <w:pPr>
              <w:pStyle w:val="8"/>
              <w:keepNext/>
              <w:spacing w:after="0" w:line="440" w:lineRule="exact"/>
              <w:ind w:left="63" w:right="63"/>
              <w:rPr>
                <w:color w:val="auto"/>
                <w:szCs w:val="21"/>
                <w:highlight w:val="none"/>
              </w:rPr>
            </w:pPr>
          </w:p>
        </w:tc>
      </w:tr>
      <w:tr w14:paraId="13639B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2CB96B18">
            <w:pPr>
              <w:pStyle w:val="8"/>
              <w:keepNext/>
              <w:spacing w:after="0" w:line="440" w:lineRule="exact"/>
              <w:ind w:left="63" w:right="63"/>
              <w:rPr>
                <w:color w:val="auto"/>
                <w:szCs w:val="21"/>
                <w:highlight w:val="none"/>
              </w:rPr>
            </w:pPr>
          </w:p>
        </w:tc>
        <w:tc>
          <w:tcPr>
            <w:tcW w:w="1984" w:type="dxa"/>
            <w:noWrap w:val="0"/>
            <w:vAlign w:val="top"/>
          </w:tcPr>
          <w:p w14:paraId="4DF589EC">
            <w:pPr>
              <w:pStyle w:val="8"/>
              <w:keepNext/>
              <w:spacing w:after="0" w:line="440" w:lineRule="exact"/>
              <w:ind w:left="63" w:right="63"/>
              <w:rPr>
                <w:color w:val="auto"/>
                <w:szCs w:val="21"/>
                <w:highlight w:val="none"/>
              </w:rPr>
            </w:pPr>
          </w:p>
        </w:tc>
        <w:tc>
          <w:tcPr>
            <w:tcW w:w="4678" w:type="dxa"/>
            <w:noWrap w:val="0"/>
            <w:vAlign w:val="top"/>
          </w:tcPr>
          <w:p w14:paraId="49A1BF76">
            <w:pPr>
              <w:pStyle w:val="8"/>
              <w:keepNext/>
              <w:spacing w:after="0" w:line="440" w:lineRule="exact"/>
              <w:ind w:left="63" w:right="63"/>
              <w:rPr>
                <w:color w:val="auto"/>
                <w:szCs w:val="21"/>
                <w:highlight w:val="none"/>
              </w:rPr>
            </w:pPr>
          </w:p>
        </w:tc>
        <w:tc>
          <w:tcPr>
            <w:tcW w:w="1276" w:type="dxa"/>
            <w:noWrap w:val="0"/>
            <w:vAlign w:val="top"/>
          </w:tcPr>
          <w:p w14:paraId="57B3A318">
            <w:pPr>
              <w:pStyle w:val="8"/>
              <w:keepNext/>
              <w:spacing w:after="0" w:line="440" w:lineRule="exact"/>
              <w:ind w:left="63" w:right="63"/>
              <w:rPr>
                <w:color w:val="auto"/>
                <w:szCs w:val="21"/>
                <w:highlight w:val="none"/>
              </w:rPr>
            </w:pPr>
          </w:p>
        </w:tc>
      </w:tr>
      <w:tr w14:paraId="57AE30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38603288">
            <w:pPr>
              <w:pStyle w:val="8"/>
              <w:keepNext/>
              <w:spacing w:after="0" w:line="440" w:lineRule="exact"/>
              <w:ind w:left="63" w:right="63"/>
              <w:rPr>
                <w:color w:val="auto"/>
                <w:szCs w:val="21"/>
                <w:highlight w:val="none"/>
              </w:rPr>
            </w:pPr>
          </w:p>
        </w:tc>
        <w:tc>
          <w:tcPr>
            <w:tcW w:w="1984" w:type="dxa"/>
            <w:noWrap w:val="0"/>
            <w:vAlign w:val="top"/>
          </w:tcPr>
          <w:p w14:paraId="45BD0C56">
            <w:pPr>
              <w:pStyle w:val="8"/>
              <w:keepNext/>
              <w:spacing w:after="0" w:line="440" w:lineRule="exact"/>
              <w:ind w:left="63" w:right="63"/>
              <w:rPr>
                <w:color w:val="auto"/>
                <w:szCs w:val="21"/>
                <w:highlight w:val="none"/>
              </w:rPr>
            </w:pPr>
          </w:p>
        </w:tc>
        <w:tc>
          <w:tcPr>
            <w:tcW w:w="4678" w:type="dxa"/>
            <w:noWrap w:val="0"/>
            <w:vAlign w:val="top"/>
          </w:tcPr>
          <w:p w14:paraId="65889B70">
            <w:pPr>
              <w:pStyle w:val="8"/>
              <w:keepNext/>
              <w:spacing w:after="0" w:line="440" w:lineRule="exact"/>
              <w:ind w:left="63" w:right="63"/>
              <w:rPr>
                <w:color w:val="auto"/>
                <w:szCs w:val="21"/>
                <w:highlight w:val="none"/>
              </w:rPr>
            </w:pPr>
          </w:p>
        </w:tc>
        <w:tc>
          <w:tcPr>
            <w:tcW w:w="1276" w:type="dxa"/>
            <w:noWrap w:val="0"/>
            <w:vAlign w:val="top"/>
          </w:tcPr>
          <w:p w14:paraId="6FCD9041">
            <w:pPr>
              <w:pStyle w:val="8"/>
              <w:keepNext/>
              <w:spacing w:after="0" w:line="440" w:lineRule="exact"/>
              <w:ind w:left="63" w:right="63"/>
              <w:rPr>
                <w:color w:val="auto"/>
                <w:szCs w:val="21"/>
                <w:highlight w:val="none"/>
              </w:rPr>
            </w:pPr>
          </w:p>
        </w:tc>
      </w:tr>
      <w:tr w14:paraId="51E11C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458CF5DD">
            <w:pPr>
              <w:pStyle w:val="8"/>
              <w:keepNext/>
              <w:spacing w:after="0" w:line="440" w:lineRule="exact"/>
              <w:ind w:left="63" w:right="63"/>
              <w:rPr>
                <w:color w:val="auto"/>
                <w:szCs w:val="21"/>
                <w:highlight w:val="none"/>
              </w:rPr>
            </w:pPr>
          </w:p>
        </w:tc>
        <w:tc>
          <w:tcPr>
            <w:tcW w:w="1984" w:type="dxa"/>
            <w:noWrap w:val="0"/>
            <w:vAlign w:val="top"/>
          </w:tcPr>
          <w:p w14:paraId="42D14759">
            <w:pPr>
              <w:pStyle w:val="8"/>
              <w:keepNext/>
              <w:spacing w:after="0" w:line="440" w:lineRule="exact"/>
              <w:ind w:left="63" w:right="63"/>
              <w:rPr>
                <w:color w:val="auto"/>
                <w:szCs w:val="21"/>
                <w:highlight w:val="none"/>
              </w:rPr>
            </w:pPr>
          </w:p>
        </w:tc>
        <w:tc>
          <w:tcPr>
            <w:tcW w:w="4678" w:type="dxa"/>
            <w:noWrap w:val="0"/>
            <w:vAlign w:val="top"/>
          </w:tcPr>
          <w:p w14:paraId="4B85A1B8">
            <w:pPr>
              <w:pStyle w:val="8"/>
              <w:keepNext/>
              <w:spacing w:after="0" w:line="440" w:lineRule="exact"/>
              <w:ind w:left="63" w:right="63"/>
              <w:rPr>
                <w:color w:val="auto"/>
                <w:szCs w:val="21"/>
                <w:highlight w:val="none"/>
              </w:rPr>
            </w:pPr>
          </w:p>
        </w:tc>
        <w:tc>
          <w:tcPr>
            <w:tcW w:w="1276" w:type="dxa"/>
            <w:noWrap w:val="0"/>
            <w:vAlign w:val="top"/>
          </w:tcPr>
          <w:p w14:paraId="46BA80C9">
            <w:pPr>
              <w:pStyle w:val="8"/>
              <w:keepNext/>
              <w:spacing w:after="0" w:line="440" w:lineRule="exact"/>
              <w:ind w:left="63" w:right="63"/>
              <w:rPr>
                <w:color w:val="auto"/>
                <w:szCs w:val="21"/>
                <w:highlight w:val="none"/>
              </w:rPr>
            </w:pPr>
          </w:p>
        </w:tc>
      </w:tr>
      <w:tr w14:paraId="2C595B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3BA80E85">
            <w:pPr>
              <w:pStyle w:val="8"/>
              <w:keepNext/>
              <w:spacing w:after="0" w:line="440" w:lineRule="exact"/>
              <w:ind w:left="63" w:right="63"/>
              <w:rPr>
                <w:color w:val="auto"/>
                <w:szCs w:val="21"/>
                <w:highlight w:val="none"/>
              </w:rPr>
            </w:pPr>
          </w:p>
        </w:tc>
        <w:tc>
          <w:tcPr>
            <w:tcW w:w="1984" w:type="dxa"/>
            <w:noWrap w:val="0"/>
            <w:vAlign w:val="top"/>
          </w:tcPr>
          <w:p w14:paraId="2403F785">
            <w:pPr>
              <w:pStyle w:val="8"/>
              <w:keepNext/>
              <w:spacing w:after="0" w:line="440" w:lineRule="exact"/>
              <w:ind w:left="63" w:right="63"/>
              <w:rPr>
                <w:color w:val="auto"/>
                <w:szCs w:val="21"/>
                <w:highlight w:val="none"/>
              </w:rPr>
            </w:pPr>
          </w:p>
        </w:tc>
        <w:tc>
          <w:tcPr>
            <w:tcW w:w="4678" w:type="dxa"/>
            <w:noWrap w:val="0"/>
            <w:vAlign w:val="top"/>
          </w:tcPr>
          <w:p w14:paraId="335A6134">
            <w:pPr>
              <w:pStyle w:val="8"/>
              <w:keepNext/>
              <w:spacing w:after="0" w:line="440" w:lineRule="exact"/>
              <w:ind w:left="63" w:right="63"/>
              <w:rPr>
                <w:color w:val="auto"/>
                <w:szCs w:val="21"/>
                <w:highlight w:val="none"/>
              </w:rPr>
            </w:pPr>
          </w:p>
        </w:tc>
        <w:tc>
          <w:tcPr>
            <w:tcW w:w="1276" w:type="dxa"/>
            <w:noWrap w:val="0"/>
            <w:vAlign w:val="top"/>
          </w:tcPr>
          <w:p w14:paraId="60FEF94C">
            <w:pPr>
              <w:pStyle w:val="8"/>
              <w:keepNext/>
              <w:spacing w:after="0" w:line="440" w:lineRule="exact"/>
              <w:ind w:left="63" w:right="63"/>
              <w:rPr>
                <w:color w:val="auto"/>
                <w:szCs w:val="21"/>
                <w:highlight w:val="none"/>
              </w:rPr>
            </w:pPr>
          </w:p>
        </w:tc>
      </w:tr>
      <w:tr w14:paraId="5D1977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3453E8AB">
            <w:pPr>
              <w:pStyle w:val="8"/>
              <w:keepNext/>
              <w:spacing w:after="0" w:line="440" w:lineRule="exact"/>
              <w:ind w:left="63" w:right="63"/>
              <w:rPr>
                <w:color w:val="auto"/>
                <w:szCs w:val="21"/>
                <w:highlight w:val="none"/>
              </w:rPr>
            </w:pPr>
          </w:p>
        </w:tc>
        <w:tc>
          <w:tcPr>
            <w:tcW w:w="1984" w:type="dxa"/>
            <w:noWrap w:val="0"/>
            <w:vAlign w:val="top"/>
          </w:tcPr>
          <w:p w14:paraId="7CC22773">
            <w:pPr>
              <w:pStyle w:val="8"/>
              <w:keepNext/>
              <w:spacing w:after="0" w:line="440" w:lineRule="exact"/>
              <w:ind w:left="63" w:right="63"/>
              <w:rPr>
                <w:color w:val="auto"/>
                <w:szCs w:val="21"/>
                <w:highlight w:val="none"/>
              </w:rPr>
            </w:pPr>
          </w:p>
        </w:tc>
        <w:tc>
          <w:tcPr>
            <w:tcW w:w="4678" w:type="dxa"/>
            <w:noWrap w:val="0"/>
            <w:vAlign w:val="top"/>
          </w:tcPr>
          <w:p w14:paraId="732F8D0D">
            <w:pPr>
              <w:pStyle w:val="8"/>
              <w:keepNext/>
              <w:spacing w:after="0" w:line="440" w:lineRule="exact"/>
              <w:ind w:left="63" w:right="63"/>
              <w:rPr>
                <w:color w:val="auto"/>
                <w:szCs w:val="21"/>
                <w:highlight w:val="none"/>
              </w:rPr>
            </w:pPr>
          </w:p>
        </w:tc>
        <w:tc>
          <w:tcPr>
            <w:tcW w:w="1276" w:type="dxa"/>
            <w:noWrap w:val="0"/>
            <w:vAlign w:val="top"/>
          </w:tcPr>
          <w:p w14:paraId="60DFF0B3">
            <w:pPr>
              <w:pStyle w:val="8"/>
              <w:keepNext/>
              <w:spacing w:after="0" w:line="440" w:lineRule="exact"/>
              <w:ind w:left="63" w:right="63"/>
              <w:rPr>
                <w:color w:val="auto"/>
                <w:szCs w:val="21"/>
                <w:highlight w:val="none"/>
              </w:rPr>
            </w:pPr>
          </w:p>
        </w:tc>
      </w:tr>
      <w:tr w14:paraId="4AA79E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3D6FF774">
            <w:pPr>
              <w:pStyle w:val="8"/>
              <w:keepNext/>
              <w:spacing w:after="0" w:line="440" w:lineRule="exact"/>
              <w:ind w:left="63" w:right="63"/>
              <w:rPr>
                <w:color w:val="auto"/>
                <w:szCs w:val="21"/>
                <w:highlight w:val="none"/>
              </w:rPr>
            </w:pPr>
          </w:p>
        </w:tc>
        <w:tc>
          <w:tcPr>
            <w:tcW w:w="1984" w:type="dxa"/>
            <w:noWrap w:val="0"/>
            <w:vAlign w:val="top"/>
          </w:tcPr>
          <w:p w14:paraId="593ED33B">
            <w:pPr>
              <w:pStyle w:val="8"/>
              <w:keepNext/>
              <w:spacing w:after="0" w:line="440" w:lineRule="exact"/>
              <w:ind w:left="63" w:right="63"/>
              <w:rPr>
                <w:color w:val="auto"/>
                <w:szCs w:val="21"/>
                <w:highlight w:val="none"/>
              </w:rPr>
            </w:pPr>
          </w:p>
        </w:tc>
        <w:tc>
          <w:tcPr>
            <w:tcW w:w="4678" w:type="dxa"/>
            <w:noWrap w:val="0"/>
            <w:vAlign w:val="top"/>
          </w:tcPr>
          <w:p w14:paraId="3E47E688">
            <w:pPr>
              <w:pStyle w:val="8"/>
              <w:keepNext/>
              <w:spacing w:after="0" w:line="440" w:lineRule="exact"/>
              <w:ind w:left="63" w:right="63"/>
              <w:rPr>
                <w:color w:val="auto"/>
                <w:szCs w:val="21"/>
                <w:highlight w:val="none"/>
              </w:rPr>
            </w:pPr>
          </w:p>
        </w:tc>
        <w:tc>
          <w:tcPr>
            <w:tcW w:w="1276" w:type="dxa"/>
            <w:noWrap w:val="0"/>
            <w:vAlign w:val="top"/>
          </w:tcPr>
          <w:p w14:paraId="2E3F9988">
            <w:pPr>
              <w:pStyle w:val="8"/>
              <w:keepNext/>
              <w:spacing w:after="0" w:line="440" w:lineRule="exact"/>
              <w:ind w:left="63" w:right="63"/>
              <w:rPr>
                <w:color w:val="auto"/>
                <w:szCs w:val="21"/>
                <w:highlight w:val="none"/>
              </w:rPr>
            </w:pPr>
          </w:p>
        </w:tc>
      </w:tr>
      <w:tr w14:paraId="32705B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817" w:type="dxa"/>
            <w:gridSpan w:val="4"/>
            <w:noWrap w:val="0"/>
            <w:vAlign w:val="top"/>
          </w:tcPr>
          <w:p w14:paraId="0CEAD967">
            <w:pPr>
              <w:pStyle w:val="8"/>
              <w:keepNext/>
              <w:spacing w:after="0" w:line="440" w:lineRule="exact"/>
              <w:ind w:left="63" w:right="63"/>
              <w:rPr>
                <w:color w:val="auto"/>
                <w:szCs w:val="21"/>
                <w:highlight w:val="none"/>
              </w:rPr>
            </w:pPr>
            <w:r>
              <w:rPr>
                <w:rFonts w:eastAsia="仿宋_GB2312"/>
                <w:color w:val="auto"/>
                <w:sz w:val="28"/>
                <w:szCs w:val="30"/>
                <w:highlight w:val="none"/>
              </w:rPr>
              <w:t>小计：</w:t>
            </w:r>
          </w:p>
        </w:tc>
      </w:tr>
    </w:tbl>
    <w:p w14:paraId="14CE1422">
      <w:pPr>
        <w:spacing w:line="320" w:lineRule="exact"/>
        <w:ind w:left="735" w:hanging="735" w:hangingChars="350"/>
        <w:rPr>
          <w:color w:val="auto"/>
        </w:rPr>
      </w:pPr>
    </w:p>
    <w:p w14:paraId="62ACAFBB">
      <w:pPr>
        <w:spacing w:line="420" w:lineRule="exact"/>
        <w:jc w:val="both"/>
        <w:rPr>
          <w:color w:val="auto"/>
        </w:rPr>
        <w:sectPr>
          <w:headerReference r:id="rId19" w:type="default"/>
          <w:footerReference r:id="rId20" w:type="default"/>
          <w:pgSz w:w="11906" w:h="16838"/>
          <w:pgMar w:top="1440" w:right="1800" w:bottom="1440" w:left="1800" w:header="851" w:footer="992" w:gutter="0"/>
          <w:cols w:space="425" w:num="1"/>
          <w:docGrid w:type="lines" w:linePitch="312" w:charSpace="0"/>
        </w:sectPr>
      </w:pPr>
    </w:p>
    <w:p w14:paraId="1E1ABF93">
      <w:pPr>
        <w:rPr>
          <w:color w:val="auto"/>
        </w:rPr>
      </w:pPr>
      <w:bookmarkStart w:id="1961" w:name="_Toc152264733"/>
    </w:p>
    <w:p w14:paraId="5F492724">
      <w:pPr>
        <w:rPr>
          <w:color w:val="auto"/>
        </w:rPr>
      </w:pPr>
    </w:p>
    <w:p w14:paraId="2E6DBF0B">
      <w:pPr>
        <w:rPr>
          <w:color w:val="auto"/>
        </w:rPr>
      </w:pPr>
    </w:p>
    <w:p w14:paraId="19175B43">
      <w:pPr>
        <w:rPr>
          <w:color w:val="auto"/>
        </w:rPr>
      </w:pPr>
    </w:p>
    <w:p w14:paraId="68BD1708">
      <w:pPr>
        <w:rPr>
          <w:color w:val="auto"/>
        </w:rPr>
      </w:pPr>
    </w:p>
    <w:p w14:paraId="37BA8291">
      <w:pPr>
        <w:rPr>
          <w:color w:val="auto"/>
        </w:rPr>
      </w:pPr>
    </w:p>
    <w:p w14:paraId="5B22B26E">
      <w:pPr>
        <w:rPr>
          <w:color w:val="auto"/>
        </w:rPr>
      </w:pPr>
    </w:p>
    <w:p w14:paraId="392EA1DE">
      <w:pPr>
        <w:rPr>
          <w:color w:val="auto"/>
        </w:rPr>
      </w:pPr>
    </w:p>
    <w:p w14:paraId="208B8AB7">
      <w:pPr>
        <w:rPr>
          <w:color w:val="auto"/>
        </w:rPr>
      </w:pPr>
    </w:p>
    <w:p w14:paraId="354D9567">
      <w:pPr>
        <w:rPr>
          <w:color w:val="auto"/>
        </w:rPr>
      </w:pPr>
    </w:p>
    <w:p w14:paraId="33F2A84E">
      <w:pPr>
        <w:rPr>
          <w:color w:val="auto"/>
        </w:rPr>
      </w:pPr>
    </w:p>
    <w:p w14:paraId="748A8453">
      <w:pPr>
        <w:rPr>
          <w:color w:val="auto"/>
        </w:rPr>
      </w:pPr>
    </w:p>
    <w:p w14:paraId="09675622">
      <w:pPr>
        <w:rPr>
          <w:color w:val="auto"/>
        </w:rPr>
      </w:pPr>
    </w:p>
    <w:p w14:paraId="50A1B156">
      <w:pPr>
        <w:rPr>
          <w:color w:val="auto"/>
        </w:rPr>
      </w:pPr>
    </w:p>
    <w:p w14:paraId="1448D0F1">
      <w:pPr>
        <w:rPr>
          <w:color w:val="auto"/>
        </w:rPr>
      </w:pPr>
    </w:p>
    <w:p w14:paraId="3E8AF9BA">
      <w:pPr>
        <w:pStyle w:val="2"/>
        <w:spacing w:before="120" w:after="120" w:line="400" w:lineRule="exact"/>
        <w:jc w:val="center"/>
        <w:rPr>
          <w:rFonts w:hint="eastAsia" w:ascii="黑体" w:hAnsi="黑体" w:eastAsia="黑体"/>
          <w:b w:val="0"/>
          <w:bCs w:val="0"/>
          <w:color w:val="auto"/>
          <w:sz w:val="32"/>
        </w:rPr>
      </w:pPr>
      <w:bookmarkStart w:id="1962" w:name="_Toc27653"/>
      <w:r>
        <w:rPr>
          <w:rFonts w:hint="eastAsia" w:ascii="黑体" w:hAnsi="黑体" w:eastAsia="黑体"/>
          <w:b w:val="0"/>
          <w:bCs w:val="0"/>
          <w:color w:val="auto"/>
          <w:sz w:val="32"/>
        </w:rPr>
        <w:t>第五章  工程量清单</w:t>
      </w:r>
      <w:bookmarkEnd w:id="1961"/>
      <w:bookmarkEnd w:id="1962"/>
    </w:p>
    <w:p w14:paraId="18F15F4F">
      <w:pPr>
        <w:spacing w:after="468" w:afterLines="150" w:line="380" w:lineRule="exact"/>
        <w:jc w:val="both"/>
        <w:rPr>
          <w:color w:val="auto"/>
          <w:sz w:val="28"/>
          <w:szCs w:val="36"/>
        </w:rPr>
        <w:sectPr>
          <w:pgSz w:w="11906" w:h="16838"/>
          <w:pgMar w:top="1440" w:right="1800" w:bottom="1440" w:left="1800" w:header="851" w:footer="992" w:gutter="0"/>
          <w:cols w:space="425" w:num="1"/>
          <w:docGrid w:type="lines" w:linePitch="312" w:charSpace="0"/>
        </w:sectPr>
      </w:pPr>
    </w:p>
    <w:p w14:paraId="6537130E">
      <w:pPr>
        <w:rPr>
          <w:rFonts w:hint="default" w:eastAsia="宋体"/>
          <w:color w:val="auto"/>
          <w:lang w:val="en-US" w:eastAsia="zh-CN"/>
        </w:rPr>
      </w:pPr>
      <w:r>
        <w:rPr>
          <w:rFonts w:hint="eastAsia"/>
          <w:color w:val="auto"/>
          <w:lang w:val="en-US" w:eastAsia="zh-CN"/>
        </w:rPr>
        <w:t>工程量清单编制说明</w:t>
      </w:r>
    </w:p>
    <w:p w14:paraId="4D0BF1C1">
      <w:pPr>
        <w:rPr>
          <w:color w:val="auto"/>
        </w:rPr>
      </w:pPr>
      <w:r>
        <w:rPr>
          <w:color w:val="auto"/>
        </w:rPr>
        <w:br w:type="page"/>
      </w:r>
    </w:p>
    <w:p w14:paraId="4EA4FB57">
      <w:pPr>
        <w:rPr>
          <w:color w:val="auto"/>
        </w:rPr>
        <w:sectPr>
          <w:pgSz w:w="11906" w:h="16838"/>
          <w:pgMar w:top="1440" w:right="1800" w:bottom="1440" w:left="1800" w:header="851" w:footer="992" w:gutter="0"/>
          <w:cols w:space="708" w:num="1"/>
          <w:docGrid w:type="lines" w:linePitch="312" w:charSpace="0"/>
        </w:sectPr>
      </w:pPr>
    </w:p>
    <w:p w14:paraId="03F027DB">
      <w:pPr>
        <w:rPr>
          <w:color w:val="auto"/>
          <w:szCs w:val="21"/>
        </w:rPr>
      </w:pPr>
    </w:p>
    <w:p w14:paraId="3817E0B4">
      <w:pPr>
        <w:rPr>
          <w:color w:val="auto"/>
          <w:szCs w:val="21"/>
        </w:rPr>
      </w:pPr>
    </w:p>
    <w:p w14:paraId="2DD7C1BD">
      <w:pPr>
        <w:rPr>
          <w:color w:val="auto"/>
          <w:szCs w:val="21"/>
        </w:rPr>
      </w:pPr>
    </w:p>
    <w:p w14:paraId="7F05D077">
      <w:pPr>
        <w:rPr>
          <w:color w:val="auto"/>
          <w:szCs w:val="21"/>
        </w:rPr>
      </w:pPr>
    </w:p>
    <w:p w14:paraId="080C6225">
      <w:pPr>
        <w:rPr>
          <w:color w:val="auto"/>
          <w:szCs w:val="21"/>
        </w:rPr>
      </w:pPr>
    </w:p>
    <w:p w14:paraId="6C9F98F3">
      <w:pPr>
        <w:rPr>
          <w:color w:val="auto"/>
          <w:szCs w:val="21"/>
        </w:rPr>
      </w:pPr>
    </w:p>
    <w:p w14:paraId="27FD0CC2">
      <w:pPr>
        <w:rPr>
          <w:color w:val="auto"/>
          <w:szCs w:val="21"/>
        </w:rPr>
      </w:pPr>
    </w:p>
    <w:p w14:paraId="378014D0">
      <w:pPr>
        <w:rPr>
          <w:color w:val="auto"/>
          <w:szCs w:val="21"/>
        </w:rPr>
      </w:pPr>
    </w:p>
    <w:p w14:paraId="5B9FE9F4">
      <w:pPr>
        <w:rPr>
          <w:color w:val="auto"/>
          <w:szCs w:val="21"/>
        </w:rPr>
      </w:pPr>
    </w:p>
    <w:p w14:paraId="664F94CD">
      <w:pPr>
        <w:rPr>
          <w:color w:val="auto"/>
          <w:szCs w:val="21"/>
        </w:rPr>
      </w:pPr>
    </w:p>
    <w:p w14:paraId="4A18F322">
      <w:pPr>
        <w:rPr>
          <w:color w:val="auto"/>
          <w:szCs w:val="21"/>
        </w:rPr>
      </w:pPr>
    </w:p>
    <w:p w14:paraId="7EB14B62">
      <w:pPr>
        <w:rPr>
          <w:rFonts w:hint="eastAsia"/>
          <w:color w:val="auto"/>
          <w:szCs w:val="21"/>
        </w:rPr>
      </w:pPr>
    </w:p>
    <w:p w14:paraId="0392E5B4">
      <w:pPr>
        <w:rPr>
          <w:rFonts w:hint="eastAsia"/>
          <w:color w:val="auto"/>
          <w:szCs w:val="21"/>
        </w:rPr>
      </w:pPr>
    </w:p>
    <w:p w14:paraId="6A58CE3F">
      <w:pPr>
        <w:rPr>
          <w:rFonts w:hint="eastAsia"/>
          <w:color w:val="auto"/>
          <w:szCs w:val="21"/>
        </w:rPr>
      </w:pPr>
    </w:p>
    <w:p w14:paraId="42647F31">
      <w:pPr>
        <w:rPr>
          <w:rFonts w:hint="eastAsia"/>
          <w:color w:val="auto"/>
          <w:szCs w:val="21"/>
        </w:rPr>
      </w:pPr>
    </w:p>
    <w:p w14:paraId="6950FF14">
      <w:pPr>
        <w:rPr>
          <w:rFonts w:hint="eastAsia"/>
          <w:color w:val="auto"/>
          <w:szCs w:val="21"/>
        </w:rPr>
      </w:pPr>
    </w:p>
    <w:p w14:paraId="3D842313">
      <w:pPr>
        <w:pStyle w:val="2"/>
        <w:spacing w:before="120" w:after="120" w:line="400" w:lineRule="exact"/>
        <w:jc w:val="center"/>
        <w:rPr>
          <w:rFonts w:hint="eastAsia" w:ascii="黑体" w:hAnsi="黑体" w:eastAsia="黑体"/>
          <w:b w:val="0"/>
          <w:bCs w:val="0"/>
          <w:color w:val="auto"/>
          <w:sz w:val="48"/>
          <w:szCs w:val="48"/>
        </w:rPr>
      </w:pPr>
      <w:bookmarkStart w:id="1963" w:name="_Toc9948"/>
      <w:bookmarkStart w:id="1964" w:name="_Toc122603037"/>
      <w:r>
        <w:rPr>
          <w:rFonts w:hint="eastAsia" w:ascii="黑体" w:hAnsi="黑体" w:eastAsia="黑体"/>
          <w:b w:val="0"/>
          <w:bCs w:val="0"/>
          <w:color w:val="auto"/>
          <w:sz w:val="48"/>
          <w:szCs w:val="48"/>
        </w:rPr>
        <w:t>第二卷</w:t>
      </w:r>
      <w:bookmarkEnd w:id="1963"/>
      <w:bookmarkEnd w:id="1964"/>
    </w:p>
    <w:p w14:paraId="1D6B6B5D">
      <w:pPr>
        <w:rPr>
          <w:rFonts w:hint="eastAsia" w:ascii="黑体" w:eastAsia="黑体"/>
          <w:color w:val="auto"/>
          <w:sz w:val="48"/>
          <w:szCs w:val="48"/>
        </w:rPr>
      </w:pPr>
    </w:p>
    <w:p w14:paraId="77B7BA8D">
      <w:pPr>
        <w:rPr>
          <w:color w:val="auto"/>
        </w:rPr>
        <w:sectPr>
          <w:pgSz w:w="11906" w:h="16838"/>
          <w:pgMar w:top="1440" w:right="1800" w:bottom="1440" w:left="1800" w:header="851" w:footer="992" w:gutter="0"/>
          <w:cols w:space="425" w:num="1"/>
          <w:docGrid w:type="lines" w:linePitch="312" w:charSpace="0"/>
        </w:sectPr>
      </w:pPr>
    </w:p>
    <w:p w14:paraId="4927BC1B">
      <w:pPr>
        <w:bidi w:val="0"/>
        <w:rPr>
          <w:color w:val="auto"/>
        </w:rPr>
      </w:pPr>
      <w:bookmarkStart w:id="1965" w:name="_Toc152265814_1"/>
    </w:p>
    <w:p w14:paraId="5B479886">
      <w:pPr>
        <w:bidi w:val="0"/>
        <w:rPr>
          <w:color w:val="auto"/>
        </w:rPr>
      </w:pPr>
    </w:p>
    <w:p w14:paraId="7B4B1FED">
      <w:pPr>
        <w:bidi w:val="0"/>
        <w:rPr>
          <w:color w:val="auto"/>
        </w:rPr>
      </w:pPr>
    </w:p>
    <w:p w14:paraId="484ED149">
      <w:pPr>
        <w:bidi w:val="0"/>
        <w:rPr>
          <w:color w:val="auto"/>
        </w:rPr>
      </w:pPr>
    </w:p>
    <w:p w14:paraId="713C9509">
      <w:pPr>
        <w:bidi w:val="0"/>
        <w:rPr>
          <w:color w:val="auto"/>
        </w:rPr>
      </w:pPr>
    </w:p>
    <w:p w14:paraId="2056979F">
      <w:pPr>
        <w:bidi w:val="0"/>
        <w:rPr>
          <w:color w:val="auto"/>
        </w:rPr>
      </w:pPr>
    </w:p>
    <w:p w14:paraId="171935DC">
      <w:pPr>
        <w:bidi w:val="0"/>
        <w:rPr>
          <w:color w:val="auto"/>
        </w:rPr>
      </w:pPr>
    </w:p>
    <w:p w14:paraId="662B24E0">
      <w:pPr>
        <w:bidi w:val="0"/>
        <w:rPr>
          <w:color w:val="auto"/>
        </w:rPr>
      </w:pPr>
    </w:p>
    <w:p w14:paraId="40106710">
      <w:pPr>
        <w:bidi w:val="0"/>
        <w:rPr>
          <w:color w:val="auto"/>
        </w:rPr>
      </w:pPr>
    </w:p>
    <w:p w14:paraId="74BAAE7A">
      <w:pPr>
        <w:bidi w:val="0"/>
        <w:rPr>
          <w:color w:val="auto"/>
        </w:rPr>
      </w:pPr>
    </w:p>
    <w:p w14:paraId="424F9F12">
      <w:pPr>
        <w:bidi w:val="0"/>
        <w:rPr>
          <w:color w:val="auto"/>
        </w:rPr>
      </w:pPr>
    </w:p>
    <w:p w14:paraId="04BAB54C">
      <w:pPr>
        <w:bidi w:val="0"/>
        <w:rPr>
          <w:color w:val="auto"/>
        </w:rPr>
      </w:pPr>
    </w:p>
    <w:p w14:paraId="754E26A8">
      <w:pPr>
        <w:bidi w:val="0"/>
        <w:rPr>
          <w:color w:val="auto"/>
        </w:rPr>
      </w:pPr>
    </w:p>
    <w:p w14:paraId="37887A00">
      <w:pPr>
        <w:bidi w:val="0"/>
        <w:rPr>
          <w:color w:val="auto"/>
        </w:rPr>
      </w:pPr>
    </w:p>
    <w:p w14:paraId="598103F8">
      <w:pPr>
        <w:bidi w:val="0"/>
        <w:rPr>
          <w:color w:val="auto"/>
        </w:rPr>
      </w:pPr>
    </w:p>
    <w:p w14:paraId="3DF77E6A">
      <w:pPr>
        <w:bidi w:val="0"/>
        <w:rPr>
          <w:color w:val="auto"/>
        </w:rPr>
      </w:pPr>
    </w:p>
    <w:p w14:paraId="7D89A962">
      <w:pPr>
        <w:pStyle w:val="2"/>
        <w:spacing w:before="120" w:after="120" w:line="400" w:lineRule="exact"/>
        <w:jc w:val="center"/>
        <w:rPr>
          <w:rFonts w:hint="eastAsia" w:eastAsia="黑体"/>
          <w:color w:val="auto"/>
          <w:lang w:eastAsia="zh-CN"/>
        </w:rPr>
        <w:sectPr>
          <w:footerReference r:id="rId21" w:type="default"/>
          <w:pgSz w:w="11906" w:h="16838"/>
          <w:pgMar w:top="1440" w:right="1800" w:bottom="1440" w:left="1800" w:header="851" w:footer="992" w:gutter="0"/>
          <w:pgNumType w:fmt="decimal"/>
          <w:cols w:space="425" w:num="1"/>
          <w:docGrid w:type="lines" w:linePitch="312" w:charSpace="0"/>
        </w:sectPr>
      </w:pPr>
      <w:bookmarkStart w:id="1966" w:name="_Toc13125"/>
      <w:r>
        <w:rPr>
          <w:rFonts w:ascii="黑体" w:hAnsi="黑体" w:eastAsia="黑体"/>
          <w:b w:val="0"/>
          <w:bCs w:val="0"/>
          <w:color w:val="auto"/>
          <w:sz w:val="32"/>
        </w:rPr>
        <w:t>第</w:t>
      </w:r>
      <w:r>
        <w:rPr>
          <w:rFonts w:hint="eastAsia" w:ascii="黑体" w:hAnsi="黑体" w:eastAsia="黑体"/>
          <w:b w:val="0"/>
          <w:bCs w:val="0"/>
          <w:color w:val="auto"/>
          <w:sz w:val="32"/>
          <w:lang w:val="en-US" w:eastAsia="zh-CN"/>
        </w:rPr>
        <w:t>六</w:t>
      </w:r>
      <w:r>
        <w:rPr>
          <w:rFonts w:ascii="黑体" w:hAnsi="黑体" w:eastAsia="黑体"/>
          <w:b w:val="0"/>
          <w:bCs w:val="0"/>
          <w:color w:val="auto"/>
          <w:sz w:val="32"/>
        </w:rPr>
        <w:t>章</w:t>
      </w:r>
      <w:r>
        <w:rPr>
          <w:rFonts w:hint="eastAsia" w:ascii="黑体" w:hAnsi="黑体" w:eastAsia="黑体"/>
          <w:b w:val="0"/>
          <w:bCs w:val="0"/>
          <w:color w:val="auto"/>
          <w:sz w:val="32"/>
          <w:lang w:val="en-US" w:eastAsia="zh-CN"/>
        </w:rPr>
        <w:t xml:space="preserve"> </w:t>
      </w:r>
      <w:r>
        <w:rPr>
          <w:rFonts w:hint="eastAsia" w:ascii="黑体" w:hAnsi="黑体" w:eastAsia="黑体"/>
          <w:b w:val="0"/>
          <w:bCs w:val="0"/>
          <w:color w:val="auto"/>
          <w:sz w:val="32"/>
        </w:rPr>
        <w:t xml:space="preserve"> </w:t>
      </w:r>
      <w:bookmarkEnd w:id="1965"/>
      <w:r>
        <w:rPr>
          <w:rFonts w:hint="eastAsia" w:ascii="黑体" w:hAnsi="黑体" w:eastAsia="黑体"/>
          <w:b w:val="0"/>
          <w:bCs w:val="0"/>
          <w:color w:val="auto"/>
          <w:sz w:val="32"/>
          <w:lang w:val="en-US" w:eastAsia="zh-CN"/>
        </w:rPr>
        <w:t>图  纸</w:t>
      </w:r>
      <w:bookmarkEnd w:id="1966"/>
    </w:p>
    <w:p w14:paraId="691691C0">
      <w:pPr>
        <w:pStyle w:val="25"/>
        <w:rPr>
          <w:color w:val="auto"/>
          <w:sz w:val="24"/>
          <w:szCs w:val="24"/>
        </w:rPr>
      </w:pPr>
      <w:bookmarkStart w:id="1967" w:name="_Toc23337"/>
      <w:bookmarkStart w:id="1968" w:name="_Toc173866992"/>
      <w:r>
        <w:rPr>
          <w:rFonts w:hint="eastAsia"/>
          <w:color w:val="auto"/>
          <w:sz w:val="24"/>
          <w:szCs w:val="24"/>
          <w:lang w:eastAsia="zh-CN"/>
        </w:rPr>
        <w:t>1.</w:t>
      </w:r>
      <w:r>
        <w:rPr>
          <w:rFonts w:hint="eastAsia"/>
          <w:color w:val="auto"/>
          <w:sz w:val="24"/>
          <w:szCs w:val="24"/>
        </w:rPr>
        <w:t>图纸目录</w:t>
      </w:r>
      <w:bookmarkEnd w:id="1967"/>
      <w:bookmarkEnd w:id="1968"/>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6DDB0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5602F119">
            <w:pPr>
              <w:jc w:val="center"/>
              <w:rPr>
                <w:rFonts w:hint="eastAsia" w:ascii="宋体" w:hAnsi="宋体"/>
                <w:color w:val="auto"/>
                <w:szCs w:val="21"/>
              </w:rPr>
            </w:pPr>
            <w:r>
              <w:rPr>
                <w:rFonts w:hint="eastAsia" w:ascii="宋体" w:hAnsi="宋体"/>
                <w:color w:val="auto"/>
                <w:szCs w:val="21"/>
              </w:rPr>
              <w:t>序号</w:t>
            </w:r>
          </w:p>
        </w:tc>
        <w:tc>
          <w:tcPr>
            <w:tcW w:w="1453" w:type="dxa"/>
            <w:vAlign w:val="center"/>
          </w:tcPr>
          <w:p w14:paraId="1D5F9471">
            <w:pPr>
              <w:jc w:val="center"/>
              <w:rPr>
                <w:rFonts w:hint="eastAsia" w:ascii="宋体" w:hAnsi="宋体"/>
                <w:color w:val="auto"/>
                <w:szCs w:val="21"/>
              </w:rPr>
            </w:pPr>
            <w:r>
              <w:rPr>
                <w:rFonts w:hint="eastAsia" w:ascii="宋体" w:hAnsi="宋体"/>
                <w:color w:val="auto"/>
                <w:szCs w:val="21"/>
              </w:rPr>
              <w:t>图名</w:t>
            </w:r>
          </w:p>
        </w:tc>
        <w:tc>
          <w:tcPr>
            <w:tcW w:w="1453" w:type="dxa"/>
            <w:vAlign w:val="center"/>
          </w:tcPr>
          <w:p w14:paraId="6C82789F">
            <w:pPr>
              <w:jc w:val="center"/>
              <w:rPr>
                <w:rFonts w:hint="eastAsia" w:ascii="宋体" w:hAnsi="宋体"/>
                <w:color w:val="auto"/>
                <w:szCs w:val="21"/>
              </w:rPr>
            </w:pPr>
            <w:r>
              <w:rPr>
                <w:rFonts w:hint="eastAsia" w:ascii="宋体" w:hAnsi="宋体"/>
                <w:color w:val="auto"/>
                <w:szCs w:val="21"/>
              </w:rPr>
              <w:t>图号</w:t>
            </w:r>
          </w:p>
        </w:tc>
        <w:tc>
          <w:tcPr>
            <w:tcW w:w="1453" w:type="dxa"/>
            <w:vAlign w:val="center"/>
          </w:tcPr>
          <w:p w14:paraId="182D90DE">
            <w:pPr>
              <w:jc w:val="center"/>
              <w:rPr>
                <w:rFonts w:hint="eastAsia" w:ascii="宋体" w:hAnsi="宋体"/>
                <w:color w:val="auto"/>
                <w:szCs w:val="21"/>
              </w:rPr>
            </w:pPr>
            <w:r>
              <w:rPr>
                <w:rFonts w:hint="eastAsia" w:ascii="宋体" w:hAnsi="宋体"/>
                <w:color w:val="auto"/>
                <w:szCs w:val="21"/>
              </w:rPr>
              <w:t>版本</w:t>
            </w:r>
          </w:p>
        </w:tc>
        <w:tc>
          <w:tcPr>
            <w:tcW w:w="1454" w:type="dxa"/>
            <w:vAlign w:val="center"/>
          </w:tcPr>
          <w:p w14:paraId="25DACF13">
            <w:pPr>
              <w:jc w:val="center"/>
              <w:rPr>
                <w:rFonts w:hint="eastAsia" w:ascii="宋体" w:hAnsi="宋体"/>
                <w:color w:val="auto"/>
                <w:szCs w:val="21"/>
              </w:rPr>
            </w:pPr>
            <w:r>
              <w:rPr>
                <w:rFonts w:hint="eastAsia" w:ascii="宋体" w:hAnsi="宋体"/>
                <w:color w:val="auto"/>
                <w:szCs w:val="21"/>
              </w:rPr>
              <w:t>出图日期</w:t>
            </w:r>
          </w:p>
        </w:tc>
        <w:tc>
          <w:tcPr>
            <w:tcW w:w="1454" w:type="dxa"/>
            <w:vAlign w:val="center"/>
          </w:tcPr>
          <w:p w14:paraId="0127D38E">
            <w:pPr>
              <w:jc w:val="center"/>
              <w:rPr>
                <w:rFonts w:hint="eastAsia" w:ascii="宋体" w:hAnsi="宋体"/>
                <w:color w:val="auto"/>
                <w:szCs w:val="21"/>
              </w:rPr>
            </w:pPr>
            <w:r>
              <w:rPr>
                <w:rFonts w:hint="eastAsia" w:ascii="宋体" w:hAnsi="宋体"/>
                <w:color w:val="auto"/>
                <w:szCs w:val="21"/>
              </w:rPr>
              <w:t>备注</w:t>
            </w:r>
          </w:p>
        </w:tc>
      </w:tr>
      <w:tr w14:paraId="55899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06140DE7">
            <w:pPr>
              <w:jc w:val="center"/>
              <w:rPr>
                <w:rFonts w:hint="eastAsia" w:ascii="宋体" w:hAnsi="宋体"/>
                <w:color w:val="auto"/>
                <w:szCs w:val="21"/>
              </w:rPr>
            </w:pPr>
          </w:p>
        </w:tc>
        <w:tc>
          <w:tcPr>
            <w:tcW w:w="1453" w:type="dxa"/>
            <w:vAlign w:val="center"/>
          </w:tcPr>
          <w:p w14:paraId="60E3B7E9">
            <w:pPr>
              <w:jc w:val="center"/>
              <w:rPr>
                <w:rFonts w:hint="eastAsia" w:ascii="宋体" w:hAnsi="宋体"/>
                <w:color w:val="auto"/>
                <w:szCs w:val="21"/>
              </w:rPr>
            </w:pPr>
          </w:p>
        </w:tc>
        <w:tc>
          <w:tcPr>
            <w:tcW w:w="1453" w:type="dxa"/>
            <w:vAlign w:val="center"/>
          </w:tcPr>
          <w:p w14:paraId="0CA4F047">
            <w:pPr>
              <w:jc w:val="center"/>
              <w:rPr>
                <w:rFonts w:hint="eastAsia" w:ascii="宋体" w:hAnsi="宋体"/>
                <w:color w:val="auto"/>
                <w:szCs w:val="21"/>
              </w:rPr>
            </w:pPr>
          </w:p>
        </w:tc>
        <w:tc>
          <w:tcPr>
            <w:tcW w:w="1453" w:type="dxa"/>
            <w:vAlign w:val="center"/>
          </w:tcPr>
          <w:p w14:paraId="4EB5E0F3">
            <w:pPr>
              <w:jc w:val="center"/>
              <w:rPr>
                <w:rFonts w:hint="eastAsia" w:ascii="宋体" w:hAnsi="宋体"/>
                <w:color w:val="auto"/>
                <w:szCs w:val="21"/>
              </w:rPr>
            </w:pPr>
          </w:p>
        </w:tc>
        <w:tc>
          <w:tcPr>
            <w:tcW w:w="1454" w:type="dxa"/>
            <w:vAlign w:val="center"/>
          </w:tcPr>
          <w:p w14:paraId="25AE1107">
            <w:pPr>
              <w:jc w:val="center"/>
              <w:rPr>
                <w:rFonts w:hint="eastAsia" w:ascii="宋体" w:hAnsi="宋体"/>
                <w:color w:val="auto"/>
                <w:szCs w:val="21"/>
              </w:rPr>
            </w:pPr>
          </w:p>
        </w:tc>
        <w:tc>
          <w:tcPr>
            <w:tcW w:w="1454" w:type="dxa"/>
            <w:vAlign w:val="center"/>
          </w:tcPr>
          <w:p w14:paraId="6B853798">
            <w:pPr>
              <w:jc w:val="center"/>
              <w:rPr>
                <w:rFonts w:hint="eastAsia" w:ascii="宋体" w:hAnsi="宋体"/>
                <w:color w:val="auto"/>
                <w:szCs w:val="21"/>
              </w:rPr>
            </w:pPr>
          </w:p>
        </w:tc>
      </w:tr>
      <w:tr w14:paraId="709DB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1EFF26A1">
            <w:pPr>
              <w:jc w:val="center"/>
              <w:rPr>
                <w:rFonts w:hint="eastAsia" w:ascii="宋体" w:hAnsi="宋体"/>
                <w:color w:val="auto"/>
                <w:szCs w:val="21"/>
              </w:rPr>
            </w:pPr>
          </w:p>
        </w:tc>
        <w:tc>
          <w:tcPr>
            <w:tcW w:w="1453" w:type="dxa"/>
            <w:vAlign w:val="center"/>
          </w:tcPr>
          <w:p w14:paraId="40064224">
            <w:pPr>
              <w:jc w:val="center"/>
              <w:rPr>
                <w:rFonts w:hint="eastAsia" w:ascii="宋体" w:hAnsi="宋体"/>
                <w:color w:val="auto"/>
                <w:szCs w:val="21"/>
              </w:rPr>
            </w:pPr>
          </w:p>
        </w:tc>
        <w:tc>
          <w:tcPr>
            <w:tcW w:w="1453" w:type="dxa"/>
            <w:vAlign w:val="center"/>
          </w:tcPr>
          <w:p w14:paraId="6C153C2F">
            <w:pPr>
              <w:jc w:val="center"/>
              <w:rPr>
                <w:rFonts w:hint="eastAsia" w:ascii="宋体" w:hAnsi="宋体"/>
                <w:color w:val="auto"/>
                <w:szCs w:val="21"/>
              </w:rPr>
            </w:pPr>
          </w:p>
        </w:tc>
        <w:tc>
          <w:tcPr>
            <w:tcW w:w="1453" w:type="dxa"/>
            <w:vAlign w:val="center"/>
          </w:tcPr>
          <w:p w14:paraId="526499DF">
            <w:pPr>
              <w:jc w:val="center"/>
              <w:rPr>
                <w:rFonts w:hint="eastAsia" w:ascii="宋体" w:hAnsi="宋体"/>
                <w:color w:val="auto"/>
                <w:szCs w:val="21"/>
              </w:rPr>
            </w:pPr>
          </w:p>
        </w:tc>
        <w:tc>
          <w:tcPr>
            <w:tcW w:w="1454" w:type="dxa"/>
            <w:vAlign w:val="center"/>
          </w:tcPr>
          <w:p w14:paraId="0F95286F">
            <w:pPr>
              <w:jc w:val="center"/>
              <w:rPr>
                <w:rFonts w:hint="eastAsia" w:ascii="宋体" w:hAnsi="宋体"/>
                <w:color w:val="auto"/>
                <w:szCs w:val="21"/>
              </w:rPr>
            </w:pPr>
          </w:p>
        </w:tc>
        <w:tc>
          <w:tcPr>
            <w:tcW w:w="1454" w:type="dxa"/>
            <w:vAlign w:val="center"/>
          </w:tcPr>
          <w:p w14:paraId="782408B2">
            <w:pPr>
              <w:jc w:val="center"/>
              <w:rPr>
                <w:rFonts w:hint="eastAsia" w:ascii="宋体" w:hAnsi="宋体"/>
                <w:color w:val="auto"/>
                <w:szCs w:val="21"/>
              </w:rPr>
            </w:pPr>
          </w:p>
        </w:tc>
      </w:tr>
      <w:tr w14:paraId="0246A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435E9CFE">
            <w:pPr>
              <w:jc w:val="center"/>
              <w:rPr>
                <w:rFonts w:hint="eastAsia" w:ascii="宋体" w:hAnsi="宋体"/>
                <w:color w:val="auto"/>
                <w:szCs w:val="21"/>
              </w:rPr>
            </w:pPr>
          </w:p>
        </w:tc>
        <w:tc>
          <w:tcPr>
            <w:tcW w:w="1453" w:type="dxa"/>
            <w:vAlign w:val="center"/>
          </w:tcPr>
          <w:p w14:paraId="0CFDB7A5">
            <w:pPr>
              <w:jc w:val="center"/>
              <w:rPr>
                <w:rFonts w:hint="eastAsia" w:ascii="宋体" w:hAnsi="宋体"/>
                <w:color w:val="auto"/>
                <w:szCs w:val="21"/>
              </w:rPr>
            </w:pPr>
          </w:p>
        </w:tc>
        <w:tc>
          <w:tcPr>
            <w:tcW w:w="1453" w:type="dxa"/>
            <w:vAlign w:val="center"/>
          </w:tcPr>
          <w:p w14:paraId="2712CE55">
            <w:pPr>
              <w:jc w:val="center"/>
              <w:rPr>
                <w:rFonts w:hint="eastAsia" w:ascii="宋体" w:hAnsi="宋体"/>
                <w:color w:val="auto"/>
                <w:szCs w:val="21"/>
              </w:rPr>
            </w:pPr>
          </w:p>
        </w:tc>
        <w:tc>
          <w:tcPr>
            <w:tcW w:w="1453" w:type="dxa"/>
            <w:vAlign w:val="center"/>
          </w:tcPr>
          <w:p w14:paraId="5E8B9EED">
            <w:pPr>
              <w:jc w:val="center"/>
              <w:rPr>
                <w:rFonts w:hint="eastAsia" w:ascii="宋体" w:hAnsi="宋体"/>
                <w:color w:val="auto"/>
                <w:szCs w:val="21"/>
              </w:rPr>
            </w:pPr>
          </w:p>
        </w:tc>
        <w:tc>
          <w:tcPr>
            <w:tcW w:w="1454" w:type="dxa"/>
            <w:vAlign w:val="center"/>
          </w:tcPr>
          <w:p w14:paraId="1D026567">
            <w:pPr>
              <w:jc w:val="center"/>
              <w:rPr>
                <w:rFonts w:hint="eastAsia" w:ascii="宋体" w:hAnsi="宋体"/>
                <w:color w:val="auto"/>
                <w:szCs w:val="21"/>
              </w:rPr>
            </w:pPr>
          </w:p>
        </w:tc>
        <w:tc>
          <w:tcPr>
            <w:tcW w:w="1454" w:type="dxa"/>
            <w:vAlign w:val="center"/>
          </w:tcPr>
          <w:p w14:paraId="327C1EB3">
            <w:pPr>
              <w:jc w:val="center"/>
              <w:rPr>
                <w:rFonts w:hint="eastAsia" w:ascii="宋体" w:hAnsi="宋体"/>
                <w:color w:val="auto"/>
                <w:szCs w:val="21"/>
              </w:rPr>
            </w:pPr>
          </w:p>
        </w:tc>
      </w:tr>
      <w:tr w14:paraId="10DCC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5FDCE707">
            <w:pPr>
              <w:jc w:val="center"/>
              <w:rPr>
                <w:rFonts w:hint="eastAsia" w:ascii="宋体" w:hAnsi="宋体"/>
                <w:color w:val="auto"/>
                <w:szCs w:val="21"/>
              </w:rPr>
            </w:pPr>
          </w:p>
        </w:tc>
        <w:tc>
          <w:tcPr>
            <w:tcW w:w="1453" w:type="dxa"/>
            <w:vAlign w:val="center"/>
          </w:tcPr>
          <w:p w14:paraId="67F8D1D3">
            <w:pPr>
              <w:jc w:val="center"/>
              <w:rPr>
                <w:rFonts w:hint="eastAsia" w:ascii="宋体" w:hAnsi="宋体"/>
                <w:color w:val="auto"/>
                <w:szCs w:val="21"/>
              </w:rPr>
            </w:pPr>
          </w:p>
        </w:tc>
        <w:tc>
          <w:tcPr>
            <w:tcW w:w="1453" w:type="dxa"/>
            <w:vAlign w:val="center"/>
          </w:tcPr>
          <w:p w14:paraId="3D035131">
            <w:pPr>
              <w:jc w:val="center"/>
              <w:rPr>
                <w:rFonts w:hint="eastAsia" w:ascii="宋体" w:hAnsi="宋体"/>
                <w:color w:val="auto"/>
                <w:szCs w:val="21"/>
              </w:rPr>
            </w:pPr>
          </w:p>
        </w:tc>
        <w:tc>
          <w:tcPr>
            <w:tcW w:w="1453" w:type="dxa"/>
            <w:vAlign w:val="center"/>
          </w:tcPr>
          <w:p w14:paraId="05D581EA">
            <w:pPr>
              <w:jc w:val="center"/>
              <w:rPr>
                <w:rFonts w:hint="eastAsia" w:ascii="宋体" w:hAnsi="宋体"/>
                <w:color w:val="auto"/>
                <w:szCs w:val="21"/>
              </w:rPr>
            </w:pPr>
          </w:p>
        </w:tc>
        <w:tc>
          <w:tcPr>
            <w:tcW w:w="1454" w:type="dxa"/>
            <w:vAlign w:val="center"/>
          </w:tcPr>
          <w:p w14:paraId="41B007B3">
            <w:pPr>
              <w:jc w:val="center"/>
              <w:rPr>
                <w:rFonts w:hint="eastAsia" w:ascii="宋体" w:hAnsi="宋体"/>
                <w:color w:val="auto"/>
                <w:szCs w:val="21"/>
              </w:rPr>
            </w:pPr>
          </w:p>
        </w:tc>
        <w:tc>
          <w:tcPr>
            <w:tcW w:w="1454" w:type="dxa"/>
            <w:vAlign w:val="center"/>
          </w:tcPr>
          <w:p w14:paraId="03EDD720">
            <w:pPr>
              <w:jc w:val="center"/>
              <w:rPr>
                <w:rFonts w:hint="eastAsia" w:ascii="宋体" w:hAnsi="宋体"/>
                <w:color w:val="auto"/>
                <w:szCs w:val="21"/>
              </w:rPr>
            </w:pPr>
          </w:p>
        </w:tc>
      </w:tr>
      <w:tr w14:paraId="1CADF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6C99ECD9">
            <w:pPr>
              <w:jc w:val="center"/>
              <w:rPr>
                <w:rFonts w:hint="eastAsia" w:ascii="宋体" w:hAnsi="宋体"/>
                <w:color w:val="auto"/>
                <w:szCs w:val="21"/>
              </w:rPr>
            </w:pPr>
          </w:p>
        </w:tc>
        <w:tc>
          <w:tcPr>
            <w:tcW w:w="1453" w:type="dxa"/>
            <w:vAlign w:val="center"/>
          </w:tcPr>
          <w:p w14:paraId="7B983586">
            <w:pPr>
              <w:jc w:val="center"/>
              <w:rPr>
                <w:rFonts w:hint="eastAsia" w:ascii="宋体" w:hAnsi="宋体"/>
                <w:color w:val="auto"/>
                <w:szCs w:val="21"/>
              </w:rPr>
            </w:pPr>
          </w:p>
        </w:tc>
        <w:tc>
          <w:tcPr>
            <w:tcW w:w="1453" w:type="dxa"/>
            <w:vAlign w:val="center"/>
          </w:tcPr>
          <w:p w14:paraId="1B51CD6C">
            <w:pPr>
              <w:jc w:val="center"/>
              <w:rPr>
                <w:rFonts w:hint="eastAsia" w:ascii="宋体" w:hAnsi="宋体"/>
                <w:color w:val="auto"/>
                <w:szCs w:val="21"/>
              </w:rPr>
            </w:pPr>
          </w:p>
        </w:tc>
        <w:tc>
          <w:tcPr>
            <w:tcW w:w="1453" w:type="dxa"/>
            <w:vAlign w:val="center"/>
          </w:tcPr>
          <w:p w14:paraId="1101607C">
            <w:pPr>
              <w:jc w:val="center"/>
              <w:rPr>
                <w:rFonts w:hint="eastAsia" w:ascii="宋体" w:hAnsi="宋体"/>
                <w:color w:val="auto"/>
                <w:szCs w:val="21"/>
              </w:rPr>
            </w:pPr>
          </w:p>
        </w:tc>
        <w:tc>
          <w:tcPr>
            <w:tcW w:w="1454" w:type="dxa"/>
            <w:vAlign w:val="center"/>
          </w:tcPr>
          <w:p w14:paraId="6A43B655">
            <w:pPr>
              <w:jc w:val="center"/>
              <w:rPr>
                <w:rFonts w:hint="eastAsia" w:ascii="宋体" w:hAnsi="宋体"/>
                <w:color w:val="auto"/>
                <w:szCs w:val="21"/>
              </w:rPr>
            </w:pPr>
          </w:p>
        </w:tc>
        <w:tc>
          <w:tcPr>
            <w:tcW w:w="1454" w:type="dxa"/>
            <w:vAlign w:val="center"/>
          </w:tcPr>
          <w:p w14:paraId="64719C7A">
            <w:pPr>
              <w:jc w:val="center"/>
              <w:rPr>
                <w:rFonts w:hint="eastAsia" w:ascii="宋体" w:hAnsi="宋体"/>
                <w:color w:val="auto"/>
                <w:szCs w:val="21"/>
              </w:rPr>
            </w:pPr>
          </w:p>
        </w:tc>
      </w:tr>
      <w:tr w14:paraId="2668D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0C0BDA54">
            <w:pPr>
              <w:jc w:val="center"/>
              <w:rPr>
                <w:rFonts w:hint="eastAsia" w:ascii="宋体" w:hAnsi="宋体"/>
                <w:color w:val="auto"/>
                <w:szCs w:val="21"/>
              </w:rPr>
            </w:pPr>
          </w:p>
        </w:tc>
        <w:tc>
          <w:tcPr>
            <w:tcW w:w="1453" w:type="dxa"/>
            <w:vAlign w:val="center"/>
          </w:tcPr>
          <w:p w14:paraId="0FBB1D13">
            <w:pPr>
              <w:jc w:val="center"/>
              <w:rPr>
                <w:rFonts w:hint="eastAsia" w:ascii="宋体" w:hAnsi="宋体"/>
                <w:color w:val="auto"/>
                <w:szCs w:val="21"/>
              </w:rPr>
            </w:pPr>
          </w:p>
        </w:tc>
        <w:tc>
          <w:tcPr>
            <w:tcW w:w="1453" w:type="dxa"/>
            <w:vAlign w:val="center"/>
          </w:tcPr>
          <w:p w14:paraId="277E4F13">
            <w:pPr>
              <w:jc w:val="center"/>
              <w:rPr>
                <w:rFonts w:hint="eastAsia" w:ascii="宋体" w:hAnsi="宋体"/>
                <w:color w:val="auto"/>
                <w:szCs w:val="21"/>
              </w:rPr>
            </w:pPr>
          </w:p>
        </w:tc>
        <w:tc>
          <w:tcPr>
            <w:tcW w:w="1453" w:type="dxa"/>
            <w:vAlign w:val="center"/>
          </w:tcPr>
          <w:p w14:paraId="6EEC9AB8">
            <w:pPr>
              <w:jc w:val="center"/>
              <w:rPr>
                <w:rFonts w:hint="eastAsia" w:ascii="宋体" w:hAnsi="宋体"/>
                <w:color w:val="auto"/>
                <w:szCs w:val="21"/>
              </w:rPr>
            </w:pPr>
          </w:p>
        </w:tc>
        <w:tc>
          <w:tcPr>
            <w:tcW w:w="1454" w:type="dxa"/>
            <w:vAlign w:val="center"/>
          </w:tcPr>
          <w:p w14:paraId="673C76A3">
            <w:pPr>
              <w:jc w:val="center"/>
              <w:rPr>
                <w:rFonts w:hint="eastAsia" w:ascii="宋体" w:hAnsi="宋体"/>
                <w:color w:val="auto"/>
                <w:szCs w:val="21"/>
              </w:rPr>
            </w:pPr>
          </w:p>
        </w:tc>
        <w:tc>
          <w:tcPr>
            <w:tcW w:w="1454" w:type="dxa"/>
            <w:vAlign w:val="center"/>
          </w:tcPr>
          <w:p w14:paraId="47AB87DF">
            <w:pPr>
              <w:jc w:val="center"/>
              <w:rPr>
                <w:rFonts w:hint="eastAsia" w:ascii="宋体" w:hAnsi="宋体"/>
                <w:color w:val="auto"/>
                <w:szCs w:val="21"/>
              </w:rPr>
            </w:pPr>
          </w:p>
        </w:tc>
      </w:tr>
      <w:tr w14:paraId="1BD18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0455BC9C">
            <w:pPr>
              <w:jc w:val="center"/>
              <w:rPr>
                <w:rFonts w:hint="eastAsia" w:ascii="宋体" w:hAnsi="宋体"/>
                <w:color w:val="auto"/>
                <w:szCs w:val="21"/>
              </w:rPr>
            </w:pPr>
          </w:p>
        </w:tc>
        <w:tc>
          <w:tcPr>
            <w:tcW w:w="1453" w:type="dxa"/>
            <w:vAlign w:val="center"/>
          </w:tcPr>
          <w:p w14:paraId="38449121">
            <w:pPr>
              <w:jc w:val="center"/>
              <w:rPr>
                <w:rFonts w:hint="eastAsia" w:ascii="宋体" w:hAnsi="宋体"/>
                <w:color w:val="auto"/>
                <w:szCs w:val="21"/>
              </w:rPr>
            </w:pPr>
          </w:p>
        </w:tc>
        <w:tc>
          <w:tcPr>
            <w:tcW w:w="1453" w:type="dxa"/>
            <w:vAlign w:val="center"/>
          </w:tcPr>
          <w:p w14:paraId="1AD05CF8">
            <w:pPr>
              <w:jc w:val="center"/>
              <w:rPr>
                <w:rFonts w:hint="eastAsia" w:ascii="宋体" w:hAnsi="宋体"/>
                <w:color w:val="auto"/>
                <w:szCs w:val="21"/>
              </w:rPr>
            </w:pPr>
          </w:p>
        </w:tc>
        <w:tc>
          <w:tcPr>
            <w:tcW w:w="1453" w:type="dxa"/>
            <w:vAlign w:val="center"/>
          </w:tcPr>
          <w:p w14:paraId="362A063C">
            <w:pPr>
              <w:jc w:val="center"/>
              <w:rPr>
                <w:rFonts w:hint="eastAsia" w:ascii="宋体" w:hAnsi="宋体"/>
                <w:color w:val="auto"/>
                <w:szCs w:val="21"/>
              </w:rPr>
            </w:pPr>
          </w:p>
        </w:tc>
        <w:tc>
          <w:tcPr>
            <w:tcW w:w="1454" w:type="dxa"/>
            <w:vAlign w:val="center"/>
          </w:tcPr>
          <w:p w14:paraId="7DC77F93">
            <w:pPr>
              <w:jc w:val="center"/>
              <w:rPr>
                <w:rFonts w:hint="eastAsia" w:ascii="宋体" w:hAnsi="宋体"/>
                <w:color w:val="auto"/>
                <w:szCs w:val="21"/>
              </w:rPr>
            </w:pPr>
          </w:p>
        </w:tc>
        <w:tc>
          <w:tcPr>
            <w:tcW w:w="1454" w:type="dxa"/>
            <w:vAlign w:val="center"/>
          </w:tcPr>
          <w:p w14:paraId="0DFEC4EE">
            <w:pPr>
              <w:jc w:val="center"/>
              <w:rPr>
                <w:rFonts w:hint="eastAsia" w:ascii="宋体" w:hAnsi="宋体"/>
                <w:color w:val="auto"/>
                <w:szCs w:val="21"/>
              </w:rPr>
            </w:pPr>
          </w:p>
        </w:tc>
      </w:tr>
      <w:tr w14:paraId="409FA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3DDCE729">
            <w:pPr>
              <w:jc w:val="center"/>
              <w:rPr>
                <w:rFonts w:hint="eastAsia" w:ascii="宋体" w:hAnsi="宋体"/>
                <w:color w:val="auto"/>
                <w:szCs w:val="21"/>
              </w:rPr>
            </w:pPr>
          </w:p>
        </w:tc>
        <w:tc>
          <w:tcPr>
            <w:tcW w:w="1453" w:type="dxa"/>
            <w:vAlign w:val="center"/>
          </w:tcPr>
          <w:p w14:paraId="1FC91548">
            <w:pPr>
              <w:jc w:val="center"/>
              <w:rPr>
                <w:rFonts w:hint="eastAsia" w:ascii="宋体" w:hAnsi="宋体"/>
                <w:color w:val="auto"/>
                <w:szCs w:val="21"/>
              </w:rPr>
            </w:pPr>
          </w:p>
        </w:tc>
        <w:tc>
          <w:tcPr>
            <w:tcW w:w="1453" w:type="dxa"/>
            <w:vAlign w:val="center"/>
          </w:tcPr>
          <w:p w14:paraId="364A86A1">
            <w:pPr>
              <w:jc w:val="center"/>
              <w:rPr>
                <w:rFonts w:hint="eastAsia" w:ascii="宋体" w:hAnsi="宋体"/>
                <w:color w:val="auto"/>
                <w:szCs w:val="21"/>
              </w:rPr>
            </w:pPr>
          </w:p>
        </w:tc>
        <w:tc>
          <w:tcPr>
            <w:tcW w:w="1453" w:type="dxa"/>
            <w:vAlign w:val="center"/>
          </w:tcPr>
          <w:p w14:paraId="034C78D4">
            <w:pPr>
              <w:jc w:val="center"/>
              <w:rPr>
                <w:rFonts w:hint="eastAsia" w:ascii="宋体" w:hAnsi="宋体"/>
                <w:color w:val="auto"/>
                <w:szCs w:val="21"/>
              </w:rPr>
            </w:pPr>
          </w:p>
        </w:tc>
        <w:tc>
          <w:tcPr>
            <w:tcW w:w="1454" w:type="dxa"/>
            <w:vAlign w:val="center"/>
          </w:tcPr>
          <w:p w14:paraId="76599AB8">
            <w:pPr>
              <w:jc w:val="center"/>
              <w:rPr>
                <w:rFonts w:hint="eastAsia" w:ascii="宋体" w:hAnsi="宋体"/>
                <w:color w:val="auto"/>
                <w:szCs w:val="21"/>
              </w:rPr>
            </w:pPr>
          </w:p>
        </w:tc>
        <w:tc>
          <w:tcPr>
            <w:tcW w:w="1454" w:type="dxa"/>
            <w:vAlign w:val="center"/>
          </w:tcPr>
          <w:p w14:paraId="16F462BD">
            <w:pPr>
              <w:jc w:val="center"/>
              <w:rPr>
                <w:rFonts w:hint="eastAsia" w:ascii="宋体" w:hAnsi="宋体"/>
                <w:color w:val="auto"/>
                <w:szCs w:val="21"/>
              </w:rPr>
            </w:pPr>
          </w:p>
        </w:tc>
      </w:tr>
      <w:tr w14:paraId="1FD5B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080DC96C">
            <w:pPr>
              <w:jc w:val="center"/>
              <w:rPr>
                <w:rFonts w:hint="eastAsia" w:ascii="宋体" w:hAnsi="宋体"/>
                <w:color w:val="auto"/>
                <w:szCs w:val="21"/>
              </w:rPr>
            </w:pPr>
          </w:p>
        </w:tc>
        <w:tc>
          <w:tcPr>
            <w:tcW w:w="1453" w:type="dxa"/>
            <w:vAlign w:val="center"/>
          </w:tcPr>
          <w:p w14:paraId="0D9CFD9C">
            <w:pPr>
              <w:jc w:val="center"/>
              <w:rPr>
                <w:rFonts w:hint="eastAsia" w:ascii="宋体" w:hAnsi="宋体"/>
                <w:color w:val="auto"/>
                <w:szCs w:val="21"/>
              </w:rPr>
            </w:pPr>
          </w:p>
        </w:tc>
        <w:tc>
          <w:tcPr>
            <w:tcW w:w="1453" w:type="dxa"/>
            <w:vAlign w:val="center"/>
          </w:tcPr>
          <w:p w14:paraId="7726C790">
            <w:pPr>
              <w:jc w:val="center"/>
              <w:rPr>
                <w:rFonts w:hint="eastAsia" w:ascii="宋体" w:hAnsi="宋体"/>
                <w:color w:val="auto"/>
                <w:szCs w:val="21"/>
              </w:rPr>
            </w:pPr>
          </w:p>
        </w:tc>
        <w:tc>
          <w:tcPr>
            <w:tcW w:w="1453" w:type="dxa"/>
            <w:vAlign w:val="center"/>
          </w:tcPr>
          <w:p w14:paraId="1C15C598">
            <w:pPr>
              <w:jc w:val="center"/>
              <w:rPr>
                <w:rFonts w:hint="eastAsia" w:ascii="宋体" w:hAnsi="宋体"/>
                <w:color w:val="auto"/>
                <w:szCs w:val="21"/>
              </w:rPr>
            </w:pPr>
          </w:p>
        </w:tc>
        <w:tc>
          <w:tcPr>
            <w:tcW w:w="1454" w:type="dxa"/>
            <w:vAlign w:val="center"/>
          </w:tcPr>
          <w:p w14:paraId="7B25AE26">
            <w:pPr>
              <w:jc w:val="center"/>
              <w:rPr>
                <w:rFonts w:hint="eastAsia" w:ascii="宋体" w:hAnsi="宋体"/>
                <w:color w:val="auto"/>
                <w:szCs w:val="21"/>
              </w:rPr>
            </w:pPr>
          </w:p>
        </w:tc>
        <w:tc>
          <w:tcPr>
            <w:tcW w:w="1454" w:type="dxa"/>
            <w:vAlign w:val="center"/>
          </w:tcPr>
          <w:p w14:paraId="65BBBEE6">
            <w:pPr>
              <w:jc w:val="center"/>
              <w:rPr>
                <w:rFonts w:hint="eastAsia" w:ascii="宋体" w:hAnsi="宋体"/>
                <w:color w:val="auto"/>
                <w:szCs w:val="21"/>
              </w:rPr>
            </w:pPr>
          </w:p>
        </w:tc>
      </w:tr>
      <w:tr w14:paraId="0BA13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1676142E">
            <w:pPr>
              <w:jc w:val="center"/>
              <w:rPr>
                <w:rFonts w:hint="eastAsia" w:ascii="宋体" w:hAnsi="宋体"/>
                <w:color w:val="auto"/>
                <w:szCs w:val="21"/>
              </w:rPr>
            </w:pPr>
          </w:p>
        </w:tc>
        <w:tc>
          <w:tcPr>
            <w:tcW w:w="1453" w:type="dxa"/>
            <w:vAlign w:val="center"/>
          </w:tcPr>
          <w:p w14:paraId="2997D7EB">
            <w:pPr>
              <w:jc w:val="center"/>
              <w:rPr>
                <w:rFonts w:hint="eastAsia" w:ascii="宋体" w:hAnsi="宋体"/>
                <w:color w:val="auto"/>
                <w:szCs w:val="21"/>
              </w:rPr>
            </w:pPr>
          </w:p>
        </w:tc>
        <w:tc>
          <w:tcPr>
            <w:tcW w:w="1453" w:type="dxa"/>
            <w:vAlign w:val="center"/>
          </w:tcPr>
          <w:p w14:paraId="0353B877">
            <w:pPr>
              <w:jc w:val="center"/>
              <w:rPr>
                <w:rFonts w:hint="eastAsia" w:ascii="宋体" w:hAnsi="宋体"/>
                <w:color w:val="auto"/>
                <w:szCs w:val="21"/>
              </w:rPr>
            </w:pPr>
          </w:p>
        </w:tc>
        <w:tc>
          <w:tcPr>
            <w:tcW w:w="1453" w:type="dxa"/>
            <w:vAlign w:val="center"/>
          </w:tcPr>
          <w:p w14:paraId="5934A257">
            <w:pPr>
              <w:jc w:val="center"/>
              <w:rPr>
                <w:rFonts w:hint="eastAsia" w:ascii="宋体" w:hAnsi="宋体"/>
                <w:color w:val="auto"/>
                <w:szCs w:val="21"/>
              </w:rPr>
            </w:pPr>
          </w:p>
        </w:tc>
        <w:tc>
          <w:tcPr>
            <w:tcW w:w="1454" w:type="dxa"/>
            <w:vAlign w:val="center"/>
          </w:tcPr>
          <w:p w14:paraId="4D83C1CE">
            <w:pPr>
              <w:jc w:val="center"/>
              <w:rPr>
                <w:rFonts w:hint="eastAsia" w:ascii="宋体" w:hAnsi="宋体"/>
                <w:color w:val="auto"/>
                <w:szCs w:val="21"/>
              </w:rPr>
            </w:pPr>
          </w:p>
        </w:tc>
        <w:tc>
          <w:tcPr>
            <w:tcW w:w="1454" w:type="dxa"/>
            <w:vAlign w:val="center"/>
          </w:tcPr>
          <w:p w14:paraId="39DC936C">
            <w:pPr>
              <w:jc w:val="center"/>
              <w:rPr>
                <w:rFonts w:hint="eastAsia" w:ascii="宋体" w:hAnsi="宋体"/>
                <w:color w:val="auto"/>
                <w:szCs w:val="21"/>
              </w:rPr>
            </w:pPr>
          </w:p>
        </w:tc>
      </w:tr>
      <w:tr w14:paraId="3BE0B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6543A0F0">
            <w:pPr>
              <w:jc w:val="center"/>
              <w:rPr>
                <w:rFonts w:hint="eastAsia" w:ascii="宋体" w:hAnsi="宋体"/>
                <w:color w:val="auto"/>
                <w:szCs w:val="21"/>
              </w:rPr>
            </w:pPr>
          </w:p>
        </w:tc>
        <w:tc>
          <w:tcPr>
            <w:tcW w:w="1453" w:type="dxa"/>
            <w:vAlign w:val="center"/>
          </w:tcPr>
          <w:p w14:paraId="5D7040F1">
            <w:pPr>
              <w:jc w:val="center"/>
              <w:rPr>
                <w:rFonts w:hint="eastAsia" w:ascii="宋体" w:hAnsi="宋体"/>
                <w:color w:val="auto"/>
                <w:szCs w:val="21"/>
              </w:rPr>
            </w:pPr>
          </w:p>
        </w:tc>
        <w:tc>
          <w:tcPr>
            <w:tcW w:w="1453" w:type="dxa"/>
            <w:vAlign w:val="center"/>
          </w:tcPr>
          <w:p w14:paraId="03BDB5A2">
            <w:pPr>
              <w:jc w:val="center"/>
              <w:rPr>
                <w:rFonts w:hint="eastAsia" w:ascii="宋体" w:hAnsi="宋体"/>
                <w:color w:val="auto"/>
                <w:szCs w:val="21"/>
              </w:rPr>
            </w:pPr>
          </w:p>
        </w:tc>
        <w:tc>
          <w:tcPr>
            <w:tcW w:w="1453" w:type="dxa"/>
            <w:vAlign w:val="center"/>
          </w:tcPr>
          <w:p w14:paraId="6EFF5EC1">
            <w:pPr>
              <w:jc w:val="center"/>
              <w:rPr>
                <w:rFonts w:hint="eastAsia" w:ascii="宋体" w:hAnsi="宋体"/>
                <w:color w:val="auto"/>
                <w:szCs w:val="21"/>
              </w:rPr>
            </w:pPr>
          </w:p>
        </w:tc>
        <w:tc>
          <w:tcPr>
            <w:tcW w:w="1454" w:type="dxa"/>
            <w:vAlign w:val="center"/>
          </w:tcPr>
          <w:p w14:paraId="489E9776">
            <w:pPr>
              <w:jc w:val="center"/>
              <w:rPr>
                <w:rFonts w:hint="eastAsia" w:ascii="宋体" w:hAnsi="宋体"/>
                <w:color w:val="auto"/>
                <w:szCs w:val="21"/>
              </w:rPr>
            </w:pPr>
          </w:p>
        </w:tc>
        <w:tc>
          <w:tcPr>
            <w:tcW w:w="1454" w:type="dxa"/>
            <w:vAlign w:val="center"/>
          </w:tcPr>
          <w:p w14:paraId="4E16A68C">
            <w:pPr>
              <w:jc w:val="center"/>
              <w:rPr>
                <w:rFonts w:hint="eastAsia" w:ascii="宋体" w:hAnsi="宋体"/>
                <w:color w:val="auto"/>
                <w:szCs w:val="21"/>
              </w:rPr>
            </w:pPr>
          </w:p>
        </w:tc>
      </w:tr>
      <w:tr w14:paraId="7C538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1F5CA502">
            <w:pPr>
              <w:jc w:val="center"/>
              <w:rPr>
                <w:rFonts w:hint="eastAsia" w:ascii="宋体" w:hAnsi="宋体"/>
                <w:color w:val="auto"/>
                <w:szCs w:val="21"/>
              </w:rPr>
            </w:pPr>
          </w:p>
        </w:tc>
        <w:tc>
          <w:tcPr>
            <w:tcW w:w="1453" w:type="dxa"/>
            <w:vAlign w:val="center"/>
          </w:tcPr>
          <w:p w14:paraId="00FF5F7B">
            <w:pPr>
              <w:jc w:val="center"/>
              <w:rPr>
                <w:rFonts w:hint="eastAsia" w:ascii="宋体" w:hAnsi="宋体"/>
                <w:color w:val="auto"/>
                <w:szCs w:val="21"/>
              </w:rPr>
            </w:pPr>
          </w:p>
        </w:tc>
        <w:tc>
          <w:tcPr>
            <w:tcW w:w="1453" w:type="dxa"/>
            <w:vAlign w:val="center"/>
          </w:tcPr>
          <w:p w14:paraId="2D3339E1">
            <w:pPr>
              <w:jc w:val="center"/>
              <w:rPr>
                <w:rFonts w:hint="eastAsia" w:ascii="宋体" w:hAnsi="宋体"/>
                <w:color w:val="auto"/>
                <w:szCs w:val="21"/>
              </w:rPr>
            </w:pPr>
          </w:p>
        </w:tc>
        <w:tc>
          <w:tcPr>
            <w:tcW w:w="1453" w:type="dxa"/>
            <w:vAlign w:val="center"/>
          </w:tcPr>
          <w:p w14:paraId="5C9BCFE5">
            <w:pPr>
              <w:jc w:val="center"/>
              <w:rPr>
                <w:rFonts w:hint="eastAsia" w:ascii="宋体" w:hAnsi="宋体"/>
                <w:color w:val="auto"/>
                <w:szCs w:val="21"/>
              </w:rPr>
            </w:pPr>
          </w:p>
        </w:tc>
        <w:tc>
          <w:tcPr>
            <w:tcW w:w="1454" w:type="dxa"/>
            <w:vAlign w:val="center"/>
          </w:tcPr>
          <w:p w14:paraId="711D4D0D">
            <w:pPr>
              <w:jc w:val="center"/>
              <w:rPr>
                <w:rFonts w:hint="eastAsia" w:ascii="宋体" w:hAnsi="宋体"/>
                <w:color w:val="auto"/>
                <w:szCs w:val="21"/>
              </w:rPr>
            </w:pPr>
          </w:p>
        </w:tc>
        <w:tc>
          <w:tcPr>
            <w:tcW w:w="1454" w:type="dxa"/>
            <w:vAlign w:val="center"/>
          </w:tcPr>
          <w:p w14:paraId="531C0DE0">
            <w:pPr>
              <w:jc w:val="center"/>
              <w:rPr>
                <w:rFonts w:hint="eastAsia" w:ascii="宋体" w:hAnsi="宋体"/>
                <w:color w:val="auto"/>
                <w:szCs w:val="21"/>
              </w:rPr>
            </w:pPr>
          </w:p>
        </w:tc>
      </w:tr>
      <w:tr w14:paraId="4E4CF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2EE3F919">
            <w:pPr>
              <w:jc w:val="center"/>
              <w:rPr>
                <w:rFonts w:hint="eastAsia" w:ascii="宋体" w:hAnsi="宋体"/>
                <w:color w:val="auto"/>
                <w:szCs w:val="21"/>
              </w:rPr>
            </w:pPr>
          </w:p>
        </w:tc>
        <w:tc>
          <w:tcPr>
            <w:tcW w:w="1453" w:type="dxa"/>
            <w:vAlign w:val="center"/>
          </w:tcPr>
          <w:p w14:paraId="45C81003">
            <w:pPr>
              <w:jc w:val="center"/>
              <w:rPr>
                <w:rFonts w:hint="eastAsia" w:ascii="宋体" w:hAnsi="宋体"/>
                <w:color w:val="auto"/>
                <w:szCs w:val="21"/>
              </w:rPr>
            </w:pPr>
          </w:p>
        </w:tc>
        <w:tc>
          <w:tcPr>
            <w:tcW w:w="1453" w:type="dxa"/>
            <w:vAlign w:val="center"/>
          </w:tcPr>
          <w:p w14:paraId="7CB074D6">
            <w:pPr>
              <w:jc w:val="center"/>
              <w:rPr>
                <w:rFonts w:hint="eastAsia" w:ascii="宋体" w:hAnsi="宋体"/>
                <w:color w:val="auto"/>
                <w:szCs w:val="21"/>
              </w:rPr>
            </w:pPr>
          </w:p>
        </w:tc>
        <w:tc>
          <w:tcPr>
            <w:tcW w:w="1453" w:type="dxa"/>
            <w:vAlign w:val="center"/>
          </w:tcPr>
          <w:p w14:paraId="3ECAA97B">
            <w:pPr>
              <w:jc w:val="center"/>
              <w:rPr>
                <w:rFonts w:hint="eastAsia" w:ascii="宋体" w:hAnsi="宋体"/>
                <w:color w:val="auto"/>
                <w:szCs w:val="21"/>
              </w:rPr>
            </w:pPr>
          </w:p>
        </w:tc>
        <w:tc>
          <w:tcPr>
            <w:tcW w:w="1454" w:type="dxa"/>
            <w:vAlign w:val="center"/>
          </w:tcPr>
          <w:p w14:paraId="6D93C8A2">
            <w:pPr>
              <w:jc w:val="center"/>
              <w:rPr>
                <w:rFonts w:hint="eastAsia" w:ascii="宋体" w:hAnsi="宋体"/>
                <w:color w:val="auto"/>
                <w:szCs w:val="21"/>
              </w:rPr>
            </w:pPr>
          </w:p>
        </w:tc>
        <w:tc>
          <w:tcPr>
            <w:tcW w:w="1454" w:type="dxa"/>
            <w:vAlign w:val="center"/>
          </w:tcPr>
          <w:p w14:paraId="2C6C2BAA">
            <w:pPr>
              <w:jc w:val="center"/>
              <w:rPr>
                <w:rFonts w:hint="eastAsia" w:ascii="宋体" w:hAnsi="宋体"/>
                <w:color w:val="auto"/>
                <w:szCs w:val="21"/>
              </w:rPr>
            </w:pPr>
          </w:p>
        </w:tc>
      </w:tr>
      <w:tr w14:paraId="3D8FE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02CC275A">
            <w:pPr>
              <w:jc w:val="center"/>
              <w:rPr>
                <w:rFonts w:hint="eastAsia" w:ascii="宋体" w:hAnsi="宋体"/>
                <w:color w:val="auto"/>
                <w:szCs w:val="21"/>
              </w:rPr>
            </w:pPr>
          </w:p>
        </w:tc>
        <w:tc>
          <w:tcPr>
            <w:tcW w:w="1453" w:type="dxa"/>
            <w:vAlign w:val="center"/>
          </w:tcPr>
          <w:p w14:paraId="4DCA5302">
            <w:pPr>
              <w:jc w:val="center"/>
              <w:rPr>
                <w:rFonts w:hint="eastAsia" w:ascii="宋体" w:hAnsi="宋体"/>
                <w:color w:val="auto"/>
                <w:szCs w:val="21"/>
              </w:rPr>
            </w:pPr>
          </w:p>
        </w:tc>
        <w:tc>
          <w:tcPr>
            <w:tcW w:w="1453" w:type="dxa"/>
            <w:vAlign w:val="center"/>
          </w:tcPr>
          <w:p w14:paraId="0787D4F5">
            <w:pPr>
              <w:jc w:val="center"/>
              <w:rPr>
                <w:rFonts w:hint="eastAsia" w:ascii="宋体" w:hAnsi="宋体"/>
                <w:color w:val="auto"/>
                <w:szCs w:val="21"/>
              </w:rPr>
            </w:pPr>
          </w:p>
        </w:tc>
        <w:tc>
          <w:tcPr>
            <w:tcW w:w="1453" w:type="dxa"/>
            <w:vAlign w:val="center"/>
          </w:tcPr>
          <w:p w14:paraId="47C4236B">
            <w:pPr>
              <w:jc w:val="center"/>
              <w:rPr>
                <w:rFonts w:hint="eastAsia" w:ascii="宋体" w:hAnsi="宋体"/>
                <w:color w:val="auto"/>
                <w:szCs w:val="21"/>
              </w:rPr>
            </w:pPr>
          </w:p>
        </w:tc>
        <w:tc>
          <w:tcPr>
            <w:tcW w:w="1454" w:type="dxa"/>
            <w:vAlign w:val="center"/>
          </w:tcPr>
          <w:p w14:paraId="5570065F">
            <w:pPr>
              <w:jc w:val="center"/>
              <w:rPr>
                <w:rFonts w:hint="eastAsia" w:ascii="宋体" w:hAnsi="宋体"/>
                <w:color w:val="auto"/>
                <w:szCs w:val="21"/>
              </w:rPr>
            </w:pPr>
          </w:p>
        </w:tc>
        <w:tc>
          <w:tcPr>
            <w:tcW w:w="1454" w:type="dxa"/>
            <w:vAlign w:val="center"/>
          </w:tcPr>
          <w:p w14:paraId="257738B9">
            <w:pPr>
              <w:jc w:val="center"/>
              <w:rPr>
                <w:rFonts w:hint="eastAsia" w:ascii="宋体" w:hAnsi="宋体"/>
                <w:color w:val="auto"/>
                <w:szCs w:val="21"/>
              </w:rPr>
            </w:pPr>
          </w:p>
        </w:tc>
      </w:tr>
      <w:tr w14:paraId="057CA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53D0CD11">
            <w:pPr>
              <w:jc w:val="center"/>
              <w:rPr>
                <w:rFonts w:hint="eastAsia" w:ascii="宋体" w:hAnsi="宋体"/>
                <w:color w:val="auto"/>
                <w:szCs w:val="21"/>
              </w:rPr>
            </w:pPr>
          </w:p>
        </w:tc>
        <w:tc>
          <w:tcPr>
            <w:tcW w:w="1453" w:type="dxa"/>
            <w:vAlign w:val="center"/>
          </w:tcPr>
          <w:p w14:paraId="5B9F1C7F">
            <w:pPr>
              <w:jc w:val="center"/>
              <w:rPr>
                <w:rFonts w:hint="eastAsia" w:ascii="宋体" w:hAnsi="宋体"/>
                <w:color w:val="auto"/>
                <w:szCs w:val="21"/>
              </w:rPr>
            </w:pPr>
          </w:p>
        </w:tc>
        <w:tc>
          <w:tcPr>
            <w:tcW w:w="1453" w:type="dxa"/>
            <w:vAlign w:val="center"/>
          </w:tcPr>
          <w:p w14:paraId="3EA36461">
            <w:pPr>
              <w:jc w:val="center"/>
              <w:rPr>
                <w:rFonts w:hint="eastAsia" w:ascii="宋体" w:hAnsi="宋体"/>
                <w:color w:val="auto"/>
                <w:szCs w:val="21"/>
              </w:rPr>
            </w:pPr>
          </w:p>
        </w:tc>
        <w:tc>
          <w:tcPr>
            <w:tcW w:w="1453" w:type="dxa"/>
            <w:vAlign w:val="center"/>
          </w:tcPr>
          <w:p w14:paraId="1F638821">
            <w:pPr>
              <w:jc w:val="center"/>
              <w:rPr>
                <w:rFonts w:hint="eastAsia" w:ascii="宋体" w:hAnsi="宋体"/>
                <w:color w:val="auto"/>
                <w:szCs w:val="21"/>
              </w:rPr>
            </w:pPr>
          </w:p>
        </w:tc>
        <w:tc>
          <w:tcPr>
            <w:tcW w:w="1454" w:type="dxa"/>
            <w:vAlign w:val="center"/>
          </w:tcPr>
          <w:p w14:paraId="7B94300C">
            <w:pPr>
              <w:jc w:val="center"/>
              <w:rPr>
                <w:rFonts w:hint="eastAsia" w:ascii="宋体" w:hAnsi="宋体"/>
                <w:color w:val="auto"/>
                <w:szCs w:val="21"/>
              </w:rPr>
            </w:pPr>
          </w:p>
        </w:tc>
        <w:tc>
          <w:tcPr>
            <w:tcW w:w="1454" w:type="dxa"/>
            <w:vAlign w:val="center"/>
          </w:tcPr>
          <w:p w14:paraId="1D744C75">
            <w:pPr>
              <w:jc w:val="center"/>
              <w:rPr>
                <w:rFonts w:hint="eastAsia" w:ascii="宋体" w:hAnsi="宋体"/>
                <w:color w:val="auto"/>
                <w:szCs w:val="21"/>
              </w:rPr>
            </w:pPr>
          </w:p>
        </w:tc>
      </w:tr>
      <w:tr w14:paraId="6EB7A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77679888">
            <w:pPr>
              <w:jc w:val="center"/>
              <w:rPr>
                <w:rFonts w:hint="eastAsia" w:ascii="宋体" w:hAnsi="宋体"/>
                <w:color w:val="auto"/>
                <w:szCs w:val="21"/>
              </w:rPr>
            </w:pPr>
          </w:p>
        </w:tc>
        <w:tc>
          <w:tcPr>
            <w:tcW w:w="1453" w:type="dxa"/>
            <w:vAlign w:val="center"/>
          </w:tcPr>
          <w:p w14:paraId="273EC36D">
            <w:pPr>
              <w:jc w:val="center"/>
              <w:rPr>
                <w:rFonts w:hint="eastAsia" w:ascii="宋体" w:hAnsi="宋体"/>
                <w:color w:val="auto"/>
                <w:szCs w:val="21"/>
              </w:rPr>
            </w:pPr>
          </w:p>
        </w:tc>
        <w:tc>
          <w:tcPr>
            <w:tcW w:w="1453" w:type="dxa"/>
            <w:vAlign w:val="center"/>
          </w:tcPr>
          <w:p w14:paraId="2196A993">
            <w:pPr>
              <w:jc w:val="center"/>
              <w:rPr>
                <w:rFonts w:hint="eastAsia" w:ascii="宋体" w:hAnsi="宋体"/>
                <w:color w:val="auto"/>
                <w:szCs w:val="21"/>
              </w:rPr>
            </w:pPr>
          </w:p>
        </w:tc>
        <w:tc>
          <w:tcPr>
            <w:tcW w:w="1453" w:type="dxa"/>
            <w:vAlign w:val="center"/>
          </w:tcPr>
          <w:p w14:paraId="10970729">
            <w:pPr>
              <w:jc w:val="center"/>
              <w:rPr>
                <w:rFonts w:hint="eastAsia" w:ascii="宋体" w:hAnsi="宋体"/>
                <w:color w:val="auto"/>
                <w:szCs w:val="21"/>
              </w:rPr>
            </w:pPr>
          </w:p>
        </w:tc>
        <w:tc>
          <w:tcPr>
            <w:tcW w:w="1454" w:type="dxa"/>
            <w:vAlign w:val="center"/>
          </w:tcPr>
          <w:p w14:paraId="17D964F2">
            <w:pPr>
              <w:jc w:val="center"/>
              <w:rPr>
                <w:rFonts w:hint="eastAsia" w:ascii="宋体" w:hAnsi="宋体"/>
                <w:color w:val="auto"/>
                <w:szCs w:val="21"/>
              </w:rPr>
            </w:pPr>
          </w:p>
        </w:tc>
        <w:tc>
          <w:tcPr>
            <w:tcW w:w="1454" w:type="dxa"/>
            <w:vAlign w:val="center"/>
          </w:tcPr>
          <w:p w14:paraId="3B950750">
            <w:pPr>
              <w:jc w:val="center"/>
              <w:rPr>
                <w:rFonts w:hint="eastAsia" w:ascii="宋体" w:hAnsi="宋体"/>
                <w:color w:val="auto"/>
                <w:szCs w:val="21"/>
              </w:rPr>
            </w:pPr>
          </w:p>
        </w:tc>
      </w:tr>
      <w:tr w14:paraId="3043C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28651412">
            <w:pPr>
              <w:jc w:val="center"/>
              <w:rPr>
                <w:rFonts w:hint="eastAsia" w:ascii="宋体" w:hAnsi="宋体"/>
                <w:color w:val="auto"/>
                <w:szCs w:val="21"/>
              </w:rPr>
            </w:pPr>
          </w:p>
        </w:tc>
        <w:tc>
          <w:tcPr>
            <w:tcW w:w="1453" w:type="dxa"/>
            <w:vAlign w:val="center"/>
          </w:tcPr>
          <w:p w14:paraId="7057B6E4">
            <w:pPr>
              <w:jc w:val="center"/>
              <w:rPr>
                <w:rFonts w:hint="eastAsia" w:ascii="宋体" w:hAnsi="宋体"/>
                <w:color w:val="auto"/>
                <w:szCs w:val="21"/>
              </w:rPr>
            </w:pPr>
          </w:p>
        </w:tc>
        <w:tc>
          <w:tcPr>
            <w:tcW w:w="1453" w:type="dxa"/>
            <w:vAlign w:val="center"/>
          </w:tcPr>
          <w:p w14:paraId="783C92A4">
            <w:pPr>
              <w:jc w:val="center"/>
              <w:rPr>
                <w:rFonts w:hint="eastAsia" w:ascii="宋体" w:hAnsi="宋体"/>
                <w:color w:val="auto"/>
                <w:szCs w:val="21"/>
              </w:rPr>
            </w:pPr>
          </w:p>
        </w:tc>
        <w:tc>
          <w:tcPr>
            <w:tcW w:w="1453" w:type="dxa"/>
            <w:vAlign w:val="center"/>
          </w:tcPr>
          <w:p w14:paraId="589370F4">
            <w:pPr>
              <w:jc w:val="center"/>
              <w:rPr>
                <w:rFonts w:hint="eastAsia" w:ascii="宋体" w:hAnsi="宋体"/>
                <w:color w:val="auto"/>
                <w:szCs w:val="21"/>
              </w:rPr>
            </w:pPr>
          </w:p>
        </w:tc>
        <w:tc>
          <w:tcPr>
            <w:tcW w:w="1454" w:type="dxa"/>
            <w:vAlign w:val="center"/>
          </w:tcPr>
          <w:p w14:paraId="11048EC1">
            <w:pPr>
              <w:jc w:val="center"/>
              <w:rPr>
                <w:rFonts w:hint="eastAsia" w:ascii="宋体" w:hAnsi="宋体"/>
                <w:color w:val="auto"/>
                <w:szCs w:val="21"/>
              </w:rPr>
            </w:pPr>
          </w:p>
        </w:tc>
        <w:tc>
          <w:tcPr>
            <w:tcW w:w="1454" w:type="dxa"/>
            <w:vAlign w:val="center"/>
          </w:tcPr>
          <w:p w14:paraId="0E7702AC">
            <w:pPr>
              <w:jc w:val="center"/>
              <w:rPr>
                <w:rFonts w:hint="eastAsia" w:ascii="宋体" w:hAnsi="宋体"/>
                <w:color w:val="auto"/>
                <w:szCs w:val="21"/>
              </w:rPr>
            </w:pPr>
          </w:p>
        </w:tc>
      </w:tr>
      <w:tr w14:paraId="7D015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51F66C4D">
            <w:pPr>
              <w:jc w:val="center"/>
              <w:rPr>
                <w:rFonts w:hint="eastAsia" w:ascii="宋体" w:hAnsi="宋体"/>
                <w:color w:val="auto"/>
                <w:szCs w:val="21"/>
              </w:rPr>
            </w:pPr>
          </w:p>
        </w:tc>
        <w:tc>
          <w:tcPr>
            <w:tcW w:w="1453" w:type="dxa"/>
            <w:vAlign w:val="center"/>
          </w:tcPr>
          <w:p w14:paraId="532A9E5D">
            <w:pPr>
              <w:jc w:val="center"/>
              <w:rPr>
                <w:rFonts w:hint="eastAsia" w:ascii="宋体" w:hAnsi="宋体"/>
                <w:color w:val="auto"/>
                <w:szCs w:val="21"/>
              </w:rPr>
            </w:pPr>
          </w:p>
        </w:tc>
        <w:tc>
          <w:tcPr>
            <w:tcW w:w="1453" w:type="dxa"/>
            <w:vAlign w:val="center"/>
          </w:tcPr>
          <w:p w14:paraId="72842E13">
            <w:pPr>
              <w:jc w:val="center"/>
              <w:rPr>
                <w:rFonts w:hint="eastAsia" w:ascii="宋体" w:hAnsi="宋体"/>
                <w:color w:val="auto"/>
                <w:szCs w:val="21"/>
              </w:rPr>
            </w:pPr>
          </w:p>
        </w:tc>
        <w:tc>
          <w:tcPr>
            <w:tcW w:w="1453" w:type="dxa"/>
            <w:vAlign w:val="center"/>
          </w:tcPr>
          <w:p w14:paraId="2523F254">
            <w:pPr>
              <w:jc w:val="center"/>
              <w:rPr>
                <w:rFonts w:hint="eastAsia" w:ascii="宋体" w:hAnsi="宋体"/>
                <w:color w:val="auto"/>
                <w:szCs w:val="21"/>
              </w:rPr>
            </w:pPr>
          </w:p>
        </w:tc>
        <w:tc>
          <w:tcPr>
            <w:tcW w:w="1454" w:type="dxa"/>
            <w:vAlign w:val="center"/>
          </w:tcPr>
          <w:p w14:paraId="4EAFC67C">
            <w:pPr>
              <w:jc w:val="center"/>
              <w:rPr>
                <w:rFonts w:hint="eastAsia" w:ascii="宋体" w:hAnsi="宋体"/>
                <w:color w:val="auto"/>
                <w:szCs w:val="21"/>
              </w:rPr>
            </w:pPr>
          </w:p>
        </w:tc>
        <w:tc>
          <w:tcPr>
            <w:tcW w:w="1454" w:type="dxa"/>
            <w:vAlign w:val="center"/>
          </w:tcPr>
          <w:p w14:paraId="73341CE7">
            <w:pPr>
              <w:jc w:val="center"/>
              <w:rPr>
                <w:rFonts w:hint="eastAsia" w:ascii="宋体" w:hAnsi="宋体"/>
                <w:color w:val="auto"/>
                <w:szCs w:val="21"/>
              </w:rPr>
            </w:pPr>
          </w:p>
        </w:tc>
      </w:tr>
      <w:tr w14:paraId="57B31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03A32B23">
            <w:pPr>
              <w:jc w:val="center"/>
              <w:rPr>
                <w:rFonts w:hint="eastAsia" w:ascii="宋体" w:hAnsi="宋体"/>
                <w:color w:val="auto"/>
                <w:szCs w:val="21"/>
              </w:rPr>
            </w:pPr>
          </w:p>
        </w:tc>
        <w:tc>
          <w:tcPr>
            <w:tcW w:w="1453" w:type="dxa"/>
            <w:vAlign w:val="center"/>
          </w:tcPr>
          <w:p w14:paraId="5E906289">
            <w:pPr>
              <w:jc w:val="center"/>
              <w:rPr>
                <w:rFonts w:hint="eastAsia" w:ascii="宋体" w:hAnsi="宋体"/>
                <w:color w:val="auto"/>
                <w:szCs w:val="21"/>
              </w:rPr>
            </w:pPr>
          </w:p>
        </w:tc>
        <w:tc>
          <w:tcPr>
            <w:tcW w:w="1453" w:type="dxa"/>
            <w:vAlign w:val="center"/>
          </w:tcPr>
          <w:p w14:paraId="3E9E2A79">
            <w:pPr>
              <w:jc w:val="center"/>
              <w:rPr>
                <w:rFonts w:hint="eastAsia" w:ascii="宋体" w:hAnsi="宋体"/>
                <w:color w:val="auto"/>
                <w:szCs w:val="21"/>
              </w:rPr>
            </w:pPr>
          </w:p>
        </w:tc>
        <w:tc>
          <w:tcPr>
            <w:tcW w:w="1453" w:type="dxa"/>
            <w:vAlign w:val="center"/>
          </w:tcPr>
          <w:p w14:paraId="0DFEB889">
            <w:pPr>
              <w:jc w:val="center"/>
              <w:rPr>
                <w:rFonts w:hint="eastAsia" w:ascii="宋体" w:hAnsi="宋体"/>
                <w:color w:val="auto"/>
                <w:szCs w:val="21"/>
              </w:rPr>
            </w:pPr>
          </w:p>
        </w:tc>
        <w:tc>
          <w:tcPr>
            <w:tcW w:w="1454" w:type="dxa"/>
            <w:vAlign w:val="center"/>
          </w:tcPr>
          <w:p w14:paraId="7B3036C6">
            <w:pPr>
              <w:jc w:val="center"/>
              <w:rPr>
                <w:rFonts w:hint="eastAsia" w:ascii="宋体" w:hAnsi="宋体"/>
                <w:color w:val="auto"/>
                <w:szCs w:val="21"/>
              </w:rPr>
            </w:pPr>
          </w:p>
        </w:tc>
        <w:tc>
          <w:tcPr>
            <w:tcW w:w="1454" w:type="dxa"/>
            <w:vAlign w:val="center"/>
          </w:tcPr>
          <w:p w14:paraId="64E95866">
            <w:pPr>
              <w:jc w:val="center"/>
              <w:rPr>
                <w:rFonts w:hint="eastAsia" w:ascii="宋体" w:hAnsi="宋体"/>
                <w:color w:val="auto"/>
                <w:szCs w:val="21"/>
              </w:rPr>
            </w:pPr>
          </w:p>
        </w:tc>
      </w:tr>
      <w:tr w14:paraId="0C885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714BCE0F">
            <w:pPr>
              <w:jc w:val="center"/>
              <w:rPr>
                <w:rFonts w:hint="eastAsia" w:ascii="宋体" w:hAnsi="宋体"/>
                <w:color w:val="auto"/>
                <w:szCs w:val="21"/>
              </w:rPr>
            </w:pPr>
          </w:p>
        </w:tc>
        <w:tc>
          <w:tcPr>
            <w:tcW w:w="1453" w:type="dxa"/>
            <w:vAlign w:val="center"/>
          </w:tcPr>
          <w:p w14:paraId="6CE14367">
            <w:pPr>
              <w:jc w:val="center"/>
              <w:rPr>
                <w:rFonts w:hint="eastAsia" w:ascii="宋体" w:hAnsi="宋体"/>
                <w:color w:val="auto"/>
                <w:szCs w:val="21"/>
              </w:rPr>
            </w:pPr>
          </w:p>
        </w:tc>
        <w:tc>
          <w:tcPr>
            <w:tcW w:w="1453" w:type="dxa"/>
            <w:vAlign w:val="center"/>
          </w:tcPr>
          <w:p w14:paraId="76547F24">
            <w:pPr>
              <w:jc w:val="center"/>
              <w:rPr>
                <w:rFonts w:hint="eastAsia" w:ascii="宋体" w:hAnsi="宋体"/>
                <w:color w:val="auto"/>
                <w:szCs w:val="21"/>
              </w:rPr>
            </w:pPr>
          </w:p>
        </w:tc>
        <w:tc>
          <w:tcPr>
            <w:tcW w:w="1453" w:type="dxa"/>
            <w:vAlign w:val="center"/>
          </w:tcPr>
          <w:p w14:paraId="09778868">
            <w:pPr>
              <w:jc w:val="center"/>
              <w:rPr>
                <w:rFonts w:hint="eastAsia" w:ascii="宋体" w:hAnsi="宋体"/>
                <w:color w:val="auto"/>
                <w:szCs w:val="21"/>
              </w:rPr>
            </w:pPr>
          </w:p>
        </w:tc>
        <w:tc>
          <w:tcPr>
            <w:tcW w:w="1454" w:type="dxa"/>
            <w:vAlign w:val="center"/>
          </w:tcPr>
          <w:p w14:paraId="4CB1A6B5">
            <w:pPr>
              <w:jc w:val="center"/>
              <w:rPr>
                <w:rFonts w:hint="eastAsia" w:ascii="宋体" w:hAnsi="宋体"/>
                <w:color w:val="auto"/>
                <w:szCs w:val="21"/>
              </w:rPr>
            </w:pPr>
          </w:p>
        </w:tc>
        <w:tc>
          <w:tcPr>
            <w:tcW w:w="1454" w:type="dxa"/>
            <w:vAlign w:val="center"/>
          </w:tcPr>
          <w:p w14:paraId="326604DA">
            <w:pPr>
              <w:jc w:val="center"/>
              <w:rPr>
                <w:rFonts w:hint="eastAsia" w:ascii="宋体" w:hAnsi="宋体"/>
                <w:color w:val="auto"/>
                <w:szCs w:val="21"/>
              </w:rPr>
            </w:pPr>
          </w:p>
        </w:tc>
      </w:tr>
      <w:tr w14:paraId="26926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726794A5">
            <w:pPr>
              <w:jc w:val="center"/>
              <w:rPr>
                <w:rFonts w:hint="eastAsia" w:ascii="宋体" w:hAnsi="宋体"/>
                <w:color w:val="auto"/>
                <w:szCs w:val="21"/>
              </w:rPr>
            </w:pPr>
          </w:p>
        </w:tc>
        <w:tc>
          <w:tcPr>
            <w:tcW w:w="1453" w:type="dxa"/>
            <w:vAlign w:val="center"/>
          </w:tcPr>
          <w:p w14:paraId="7EFFE691">
            <w:pPr>
              <w:jc w:val="center"/>
              <w:rPr>
                <w:rFonts w:hint="eastAsia" w:ascii="宋体" w:hAnsi="宋体"/>
                <w:color w:val="auto"/>
                <w:szCs w:val="21"/>
              </w:rPr>
            </w:pPr>
          </w:p>
        </w:tc>
        <w:tc>
          <w:tcPr>
            <w:tcW w:w="1453" w:type="dxa"/>
            <w:vAlign w:val="center"/>
          </w:tcPr>
          <w:p w14:paraId="0E78C87D">
            <w:pPr>
              <w:jc w:val="center"/>
              <w:rPr>
                <w:rFonts w:hint="eastAsia" w:ascii="宋体" w:hAnsi="宋体"/>
                <w:color w:val="auto"/>
                <w:szCs w:val="21"/>
              </w:rPr>
            </w:pPr>
          </w:p>
        </w:tc>
        <w:tc>
          <w:tcPr>
            <w:tcW w:w="1453" w:type="dxa"/>
            <w:vAlign w:val="center"/>
          </w:tcPr>
          <w:p w14:paraId="1AAD66EB">
            <w:pPr>
              <w:jc w:val="center"/>
              <w:rPr>
                <w:rFonts w:hint="eastAsia" w:ascii="宋体" w:hAnsi="宋体"/>
                <w:color w:val="auto"/>
                <w:szCs w:val="21"/>
              </w:rPr>
            </w:pPr>
          </w:p>
        </w:tc>
        <w:tc>
          <w:tcPr>
            <w:tcW w:w="1454" w:type="dxa"/>
            <w:vAlign w:val="center"/>
          </w:tcPr>
          <w:p w14:paraId="3BC6B0EB">
            <w:pPr>
              <w:jc w:val="center"/>
              <w:rPr>
                <w:rFonts w:hint="eastAsia" w:ascii="宋体" w:hAnsi="宋体"/>
                <w:color w:val="auto"/>
                <w:szCs w:val="21"/>
              </w:rPr>
            </w:pPr>
          </w:p>
        </w:tc>
        <w:tc>
          <w:tcPr>
            <w:tcW w:w="1454" w:type="dxa"/>
            <w:vAlign w:val="center"/>
          </w:tcPr>
          <w:p w14:paraId="2A9D9005">
            <w:pPr>
              <w:jc w:val="center"/>
              <w:rPr>
                <w:rFonts w:hint="eastAsia" w:ascii="宋体" w:hAnsi="宋体"/>
                <w:color w:val="auto"/>
                <w:szCs w:val="21"/>
              </w:rPr>
            </w:pPr>
          </w:p>
        </w:tc>
      </w:tr>
      <w:tr w14:paraId="59770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6CAF9263">
            <w:pPr>
              <w:jc w:val="center"/>
              <w:rPr>
                <w:rFonts w:hint="eastAsia" w:ascii="宋体" w:hAnsi="宋体"/>
                <w:color w:val="auto"/>
                <w:szCs w:val="21"/>
              </w:rPr>
            </w:pPr>
          </w:p>
        </w:tc>
        <w:tc>
          <w:tcPr>
            <w:tcW w:w="1453" w:type="dxa"/>
            <w:vAlign w:val="center"/>
          </w:tcPr>
          <w:p w14:paraId="65222352">
            <w:pPr>
              <w:jc w:val="center"/>
              <w:rPr>
                <w:rFonts w:hint="eastAsia" w:ascii="宋体" w:hAnsi="宋体"/>
                <w:color w:val="auto"/>
                <w:szCs w:val="21"/>
              </w:rPr>
            </w:pPr>
          </w:p>
        </w:tc>
        <w:tc>
          <w:tcPr>
            <w:tcW w:w="1453" w:type="dxa"/>
            <w:vAlign w:val="center"/>
          </w:tcPr>
          <w:p w14:paraId="3CF4AD4F">
            <w:pPr>
              <w:jc w:val="center"/>
              <w:rPr>
                <w:rFonts w:hint="eastAsia" w:ascii="宋体" w:hAnsi="宋体"/>
                <w:color w:val="auto"/>
                <w:szCs w:val="21"/>
              </w:rPr>
            </w:pPr>
          </w:p>
        </w:tc>
        <w:tc>
          <w:tcPr>
            <w:tcW w:w="1453" w:type="dxa"/>
            <w:vAlign w:val="center"/>
          </w:tcPr>
          <w:p w14:paraId="66015943">
            <w:pPr>
              <w:jc w:val="center"/>
              <w:rPr>
                <w:rFonts w:hint="eastAsia" w:ascii="宋体" w:hAnsi="宋体"/>
                <w:color w:val="auto"/>
                <w:szCs w:val="21"/>
              </w:rPr>
            </w:pPr>
          </w:p>
        </w:tc>
        <w:tc>
          <w:tcPr>
            <w:tcW w:w="1454" w:type="dxa"/>
            <w:vAlign w:val="center"/>
          </w:tcPr>
          <w:p w14:paraId="2EFD84DA">
            <w:pPr>
              <w:jc w:val="center"/>
              <w:rPr>
                <w:rFonts w:hint="eastAsia" w:ascii="宋体" w:hAnsi="宋体"/>
                <w:color w:val="auto"/>
                <w:szCs w:val="21"/>
              </w:rPr>
            </w:pPr>
          </w:p>
        </w:tc>
        <w:tc>
          <w:tcPr>
            <w:tcW w:w="1454" w:type="dxa"/>
            <w:vAlign w:val="center"/>
          </w:tcPr>
          <w:p w14:paraId="3A9D6940">
            <w:pPr>
              <w:jc w:val="center"/>
              <w:rPr>
                <w:rFonts w:hint="eastAsia" w:ascii="宋体" w:hAnsi="宋体"/>
                <w:color w:val="auto"/>
                <w:szCs w:val="21"/>
              </w:rPr>
            </w:pPr>
          </w:p>
        </w:tc>
      </w:tr>
      <w:tr w14:paraId="745B2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1932EE94">
            <w:pPr>
              <w:jc w:val="center"/>
              <w:rPr>
                <w:rFonts w:hint="eastAsia" w:ascii="宋体" w:hAnsi="宋体"/>
                <w:color w:val="auto"/>
                <w:szCs w:val="21"/>
              </w:rPr>
            </w:pPr>
          </w:p>
        </w:tc>
        <w:tc>
          <w:tcPr>
            <w:tcW w:w="1453" w:type="dxa"/>
            <w:vAlign w:val="center"/>
          </w:tcPr>
          <w:p w14:paraId="291A3C48">
            <w:pPr>
              <w:jc w:val="center"/>
              <w:rPr>
                <w:rFonts w:hint="eastAsia" w:ascii="宋体" w:hAnsi="宋体"/>
                <w:color w:val="auto"/>
                <w:szCs w:val="21"/>
              </w:rPr>
            </w:pPr>
          </w:p>
        </w:tc>
        <w:tc>
          <w:tcPr>
            <w:tcW w:w="1453" w:type="dxa"/>
            <w:vAlign w:val="center"/>
          </w:tcPr>
          <w:p w14:paraId="1C87F593">
            <w:pPr>
              <w:jc w:val="center"/>
              <w:rPr>
                <w:rFonts w:hint="eastAsia" w:ascii="宋体" w:hAnsi="宋体"/>
                <w:color w:val="auto"/>
                <w:szCs w:val="21"/>
              </w:rPr>
            </w:pPr>
          </w:p>
        </w:tc>
        <w:tc>
          <w:tcPr>
            <w:tcW w:w="1453" w:type="dxa"/>
            <w:vAlign w:val="center"/>
          </w:tcPr>
          <w:p w14:paraId="48489FBA">
            <w:pPr>
              <w:jc w:val="center"/>
              <w:rPr>
                <w:rFonts w:hint="eastAsia" w:ascii="宋体" w:hAnsi="宋体"/>
                <w:color w:val="auto"/>
                <w:szCs w:val="21"/>
              </w:rPr>
            </w:pPr>
          </w:p>
        </w:tc>
        <w:tc>
          <w:tcPr>
            <w:tcW w:w="1454" w:type="dxa"/>
            <w:vAlign w:val="center"/>
          </w:tcPr>
          <w:p w14:paraId="2C63EE59">
            <w:pPr>
              <w:jc w:val="center"/>
              <w:rPr>
                <w:rFonts w:hint="eastAsia" w:ascii="宋体" w:hAnsi="宋体"/>
                <w:color w:val="auto"/>
                <w:szCs w:val="21"/>
              </w:rPr>
            </w:pPr>
          </w:p>
        </w:tc>
        <w:tc>
          <w:tcPr>
            <w:tcW w:w="1454" w:type="dxa"/>
            <w:vAlign w:val="center"/>
          </w:tcPr>
          <w:p w14:paraId="3C8E61F0">
            <w:pPr>
              <w:jc w:val="center"/>
              <w:rPr>
                <w:rFonts w:hint="eastAsia" w:ascii="宋体" w:hAnsi="宋体"/>
                <w:color w:val="auto"/>
                <w:szCs w:val="21"/>
              </w:rPr>
            </w:pPr>
          </w:p>
        </w:tc>
      </w:tr>
      <w:tr w14:paraId="7C844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35F9E4F8">
            <w:pPr>
              <w:jc w:val="center"/>
              <w:rPr>
                <w:rFonts w:hint="eastAsia" w:ascii="宋体" w:hAnsi="宋体"/>
                <w:color w:val="auto"/>
                <w:szCs w:val="21"/>
              </w:rPr>
            </w:pPr>
          </w:p>
        </w:tc>
        <w:tc>
          <w:tcPr>
            <w:tcW w:w="1453" w:type="dxa"/>
            <w:vAlign w:val="center"/>
          </w:tcPr>
          <w:p w14:paraId="1841F09A">
            <w:pPr>
              <w:jc w:val="center"/>
              <w:rPr>
                <w:rFonts w:hint="eastAsia" w:ascii="宋体" w:hAnsi="宋体"/>
                <w:color w:val="auto"/>
                <w:szCs w:val="21"/>
              </w:rPr>
            </w:pPr>
          </w:p>
        </w:tc>
        <w:tc>
          <w:tcPr>
            <w:tcW w:w="1453" w:type="dxa"/>
            <w:vAlign w:val="center"/>
          </w:tcPr>
          <w:p w14:paraId="208276F7">
            <w:pPr>
              <w:jc w:val="center"/>
              <w:rPr>
                <w:rFonts w:hint="eastAsia" w:ascii="宋体" w:hAnsi="宋体"/>
                <w:color w:val="auto"/>
                <w:szCs w:val="21"/>
              </w:rPr>
            </w:pPr>
          </w:p>
        </w:tc>
        <w:tc>
          <w:tcPr>
            <w:tcW w:w="1453" w:type="dxa"/>
            <w:vAlign w:val="center"/>
          </w:tcPr>
          <w:p w14:paraId="39961489">
            <w:pPr>
              <w:jc w:val="center"/>
              <w:rPr>
                <w:rFonts w:hint="eastAsia" w:ascii="宋体" w:hAnsi="宋体"/>
                <w:color w:val="auto"/>
                <w:szCs w:val="21"/>
              </w:rPr>
            </w:pPr>
          </w:p>
        </w:tc>
        <w:tc>
          <w:tcPr>
            <w:tcW w:w="1454" w:type="dxa"/>
            <w:vAlign w:val="center"/>
          </w:tcPr>
          <w:p w14:paraId="6AC8D58A">
            <w:pPr>
              <w:jc w:val="center"/>
              <w:rPr>
                <w:rFonts w:hint="eastAsia" w:ascii="宋体" w:hAnsi="宋体"/>
                <w:color w:val="auto"/>
                <w:szCs w:val="21"/>
              </w:rPr>
            </w:pPr>
          </w:p>
        </w:tc>
        <w:tc>
          <w:tcPr>
            <w:tcW w:w="1454" w:type="dxa"/>
            <w:vAlign w:val="center"/>
          </w:tcPr>
          <w:p w14:paraId="15AA3403">
            <w:pPr>
              <w:jc w:val="center"/>
              <w:rPr>
                <w:rFonts w:hint="eastAsia" w:ascii="宋体" w:hAnsi="宋体"/>
                <w:color w:val="auto"/>
                <w:szCs w:val="21"/>
              </w:rPr>
            </w:pPr>
          </w:p>
        </w:tc>
      </w:tr>
      <w:tr w14:paraId="25E85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18E69F14">
            <w:pPr>
              <w:jc w:val="center"/>
              <w:rPr>
                <w:rFonts w:hint="eastAsia" w:ascii="宋体" w:hAnsi="宋体"/>
                <w:color w:val="auto"/>
                <w:szCs w:val="21"/>
              </w:rPr>
            </w:pPr>
          </w:p>
        </w:tc>
        <w:tc>
          <w:tcPr>
            <w:tcW w:w="1453" w:type="dxa"/>
            <w:vAlign w:val="center"/>
          </w:tcPr>
          <w:p w14:paraId="707345EB">
            <w:pPr>
              <w:jc w:val="center"/>
              <w:rPr>
                <w:rFonts w:hint="eastAsia" w:ascii="宋体" w:hAnsi="宋体"/>
                <w:color w:val="auto"/>
                <w:szCs w:val="21"/>
              </w:rPr>
            </w:pPr>
          </w:p>
        </w:tc>
        <w:tc>
          <w:tcPr>
            <w:tcW w:w="1453" w:type="dxa"/>
            <w:vAlign w:val="center"/>
          </w:tcPr>
          <w:p w14:paraId="75233A06">
            <w:pPr>
              <w:jc w:val="center"/>
              <w:rPr>
                <w:rFonts w:hint="eastAsia" w:ascii="宋体" w:hAnsi="宋体"/>
                <w:color w:val="auto"/>
                <w:szCs w:val="21"/>
              </w:rPr>
            </w:pPr>
          </w:p>
        </w:tc>
        <w:tc>
          <w:tcPr>
            <w:tcW w:w="1453" w:type="dxa"/>
            <w:vAlign w:val="center"/>
          </w:tcPr>
          <w:p w14:paraId="632CC1C6">
            <w:pPr>
              <w:jc w:val="center"/>
              <w:rPr>
                <w:rFonts w:hint="eastAsia" w:ascii="宋体" w:hAnsi="宋体"/>
                <w:color w:val="auto"/>
                <w:szCs w:val="21"/>
              </w:rPr>
            </w:pPr>
          </w:p>
        </w:tc>
        <w:tc>
          <w:tcPr>
            <w:tcW w:w="1454" w:type="dxa"/>
            <w:vAlign w:val="center"/>
          </w:tcPr>
          <w:p w14:paraId="5D0C6712">
            <w:pPr>
              <w:jc w:val="center"/>
              <w:rPr>
                <w:rFonts w:hint="eastAsia" w:ascii="宋体" w:hAnsi="宋体"/>
                <w:color w:val="auto"/>
                <w:szCs w:val="21"/>
              </w:rPr>
            </w:pPr>
          </w:p>
        </w:tc>
        <w:tc>
          <w:tcPr>
            <w:tcW w:w="1454" w:type="dxa"/>
            <w:vAlign w:val="center"/>
          </w:tcPr>
          <w:p w14:paraId="5DE7457F">
            <w:pPr>
              <w:jc w:val="center"/>
              <w:rPr>
                <w:rFonts w:hint="eastAsia" w:ascii="宋体" w:hAnsi="宋体"/>
                <w:color w:val="auto"/>
                <w:szCs w:val="21"/>
              </w:rPr>
            </w:pPr>
          </w:p>
        </w:tc>
      </w:tr>
    </w:tbl>
    <w:p w14:paraId="43027630">
      <w:pPr>
        <w:rPr>
          <w:color w:val="auto"/>
          <w:szCs w:val="21"/>
        </w:rPr>
      </w:pPr>
    </w:p>
    <w:p w14:paraId="2F755ADC">
      <w:pPr>
        <w:rPr>
          <w:color w:val="auto"/>
          <w:szCs w:val="21"/>
        </w:rPr>
      </w:pPr>
      <w:r>
        <w:rPr>
          <w:color w:val="auto"/>
          <w:szCs w:val="21"/>
        </w:rPr>
        <w:br w:type="page"/>
      </w:r>
    </w:p>
    <w:p w14:paraId="18FA620C">
      <w:pPr>
        <w:pStyle w:val="25"/>
        <w:rPr>
          <w:rFonts w:ascii="黑体"/>
          <w:color w:val="auto"/>
          <w:sz w:val="24"/>
        </w:rPr>
      </w:pPr>
      <w:bookmarkStart w:id="1969" w:name="_Toc173866993"/>
      <w:bookmarkStart w:id="1970" w:name="_Toc12369"/>
      <w:r>
        <w:rPr>
          <w:rFonts w:hint="eastAsia"/>
          <w:color w:val="auto"/>
          <w:sz w:val="24"/>
          <w:szCs w:val="24"/>
          <w:lang w:eastAsia="zh-CN"/>
        </w:rPr>
        <w:t>2.</w:t>
      </w:r>
      <w:r>
        <w:rPr>
          <w:rFonts w:hint="eastAsia"/>
          <w:color w:val="auto"/>
          <w:sz w:val="24"/>
          <w:szCs w:val="24"/>
        </w:rPr>
        <w:t>图  纸</w:t>
      </w:r>
      <w:bookmarkEnd w:id="1969"/>
      <w:bookmarkEnd w:id="1970"/>
    </w:p>
    <w:p w14:paraId="639B680B">
      <w:pPr>
        <w:rPr>
          <w:color w:val="auto"/>
        </w:rPr>
        <w:sectPr>
          <w:pgSz w:w="11906" w:h="16838"/>
          <w:pgMar w:top="1440" w:right="1800" w:bottom="1440" w:left="1800" w:header="851" w:footer="992" w:gutter="0"/>
          <w:cols w:space="425" w:num="1"/>
          <w:docGrid w:type="lines" w:linePitch="312" w:charSpace="0"/>
        </w:sectPr>
      </w:pPr>
    </w:p>
    <w:p w14:paraId="55ECAE8F">
      <w:pPr>
        <w:rPr>
          <w:rFonts w:ascii="黑体" w:eastAsia="黑体"/>
          <w:color w:val="auto"/>
          <w:sz w:val="24"/>
        </w:rPr>
      </w:pPr>
    </w:p>
    <w:p w14:paraId="2C7F9682">
      <w:pPr>
        <w:rPr>
          <w:rFonts w:ascii="黑体" w:eastAsia="黑体"/>
          <w:color w:val="auto"/>
          <w:sz w:val="24"/>
        </w:rPr>
      </w:pPr>
    </w:p>
    <w:p w14:paraId="3C6873E9">
      <w:pPr>
        <w:rPr>
          <w:rFonts w:ascii="黑体" w:eastAsia="黑体"/>
          <w:color w:val="auto"/>
          <w:sz w:val="24"/>
        </w:rPr>
      </w:pPr>
    </w:p>
    <w:p w14:paraId="7CDBD93B">
      <w:pPr>
        <w:rPr>
          <w:rFonts w:hint="eastAsia" w:ascii="黑体" w:eastAsia="黑体"/>
          <w:color w:val="auto"/>
          <w:sz w:val="24"/>
        </w:rPr>
      </w:pPr>
    </w:p>
    <w:p w14:paraId="42669871">
      <w:pPr>
        <w:rPr>
          <w:rFonts w:hint="eastAsia" w:ascii="黑体" w:eastAsia="黑体"/>
          <w:color w:val="auto"/>
          <w:sz w:val="24"/>
        </w:rPr>
      </w:pPr>
    </w:p>
    <w:p w14:paraId="59EA8C83">
      <w:pPr>
        <w:rPr>
          <w:rFonts w:hint="eastAsia" w:ascii="黑体" w:eastAsia="黑体"/>
          <w:color w:val="auto"/>
          <w:sz w:val="24"/>
        </w:rPr>
      </w:pPr>
    </w:p>
    <w:p w14:paraId="1B798AFF">
      <w:pPr>
        <w:rPr>
          <w:rFonts w:hint="eastAsia" w:ascii="黑体" w:eastAsia="黑体"/>
          <w:color w:val="auto"/>
          <w:sz w:val="24"/>
        </w:rPr>
      </w:pPr>
    </w:p>
    <w:p w14:paraId="58C3A124">
      <w:pPr>
        <w:rPr>
          <w:rFonts w:hint="eastAsia" w:ascii="黑体" w:eastAsia="黑体"/>
          <w:color w:val="auto"/>
          <w:sz w:val="24"/>
        </w:rPr>
      </w:pPr>
    </w:p>
    <w:p w14:paraId="6D402FF1">
      <w:pPr>
        <w:rPr>
          <w:rFonts w:hint="eastAsia" w:ascii="黑体" w:eastAsia="黑体"/>
          <w:color w:val="auto"/>
          <w:sz w:val="24"/>
        </w:rPr>
      </w:pPr>
    </w:p>
    <w:p w14:paraId="0C4DB4CB">
      <w:pPr>
        <w:rPr>
          <w:rFonts w:hint="eastAsia" w:ascii="黑体" w:eastAsia="黑体"/>
          <w:color w:val="auto"/>
          <w:sz w:val="24"/>
        </w:rPr>
      </w:pPr>
    </w:p>
    <w:p w14:paraId="6ACBA1C9">
      <w:pPr>
        <w:rPr>
          <w:rFonts w:hint="eastAsia" w:ascii="黑体" w:eastAsia="黑体"/>
          <w:color w:val="auto"/>
          <w:sz w:val="24"/>
        </w:rPr>
      </w:pPr>
    </w:p>
    <w:p w14:paraId="34E6C263">
      <w:pPr>
        <w:rPr>
          <w:rFonts w:hint="eastAsia" w:ascii="黑体" w:eastAsia="黑体"/>
          <w:color w:val="auto"/>
          <w:sz w:val="24"/>
        </w:rPr>
      </w:pPr>
    </w:p>
    <w:p w14:paraId="1DACD358">
      <w:pPr>
        <w:rPr>
          <w:rFonts w:hint="eastAsia" w:ascii="黑体" w:eastAsia="黑体"/>
          <w:color w:val="auto"/>
          <w:sz w:val="24"/>
        </w:rPr>
      </w:pPr>
    </w:p>
    <w:p w14:paraId="24B78629">
      <w:pPr>
        <w:rPr>
          <w:rFonts w:hint="eastAsia" w:ascii="黑体" w:eastAsia="黑体"/>
          <w:color w:val="auto"/>
          <w:sz w:val="24"/>
        </w:rPr>
      </w:pPr>
    </w:p>
    <w:p w14:paraId="66EC33C3">
      <w:pPr>
        <w:rPr>
          <w:rFonts w:hint="eastAsia" w:ascii="黑体" w:eastAsia="黑体"/>
          <w:color w:val="auto"/>
          <w:sz w:val="24"/>
        </w:rPr>
      </w:pPr>
    </w:p>
    <w:p w14:paraId="12EDC40E">
      <w:pPr>
        <w:rPr>
          <w:rFonts w:hint="eastAsia" w:ascii="黑体" w:eastAsia="黑体"/>
          <w:color w:val="auto"/>
          <w:sz w:val="24"/>
        </w:rPr>
      </w:pPr>
    </w:p>
    <w:p w14:paraId="1A9D8A98">
      <w:pPr>
        <w:rPr>
          <w:rFonts w:hint="eastAsia" w:ascii="黑体" w:eastAsia="黑体"/>
          <w:color w:val="auto"/>
          <w:sz w:val="24"/>
        </w:rPr>
      </w:pPr>
    </w:p>
    <w:p w14:paraId="1E3B0050">
      <w:pPr>
        <w:rPr>
          <w:rFonts w:hint="eastAsia" w:ascii="黑体" w:eastAsia="黑体"/>
          <w:color w:val="auto"/>
          <w:sz w:val="24"/>
        </w:rPr>
      </w:pPr>
    </w:p>
    <w:p w14:paraId="4EBBD8CF">
      <w:pPr>
        <w:rPr>
          <w:rFonts w:hint="eastAsia"/>
          <w:color w:val="auto"/>
          <w:szCs w:val="21"/>
        </w:rPr>
      </w:pPr>
    </w:p>
    <w:p w14:paraId="3EAB61FA">
      <w:pPr>
        <w:pStyle w:val="2"/>
        <w:spacing w:before="120" w:after="120" w:line="400" w:lineRule="exact"/>
        <w:jc w:val="center"/>
        <w:rPr>
          <w:rFonts w:hint="eastAsia" w:ascii="黑体" w:hAnsi="黑体" w:eastAsia="黑体"/>
          <w:b w:val="0"/>
          <w:bCs w:val="0"/>
          <w:color w:val="auto"/>
          <w:sz w:val="48"/>
          <w:szCs w:val="48"/>
        </w:rPr>
      </w:pPr>
      <w:bookmarkStart w:id="1971" w:name="_Toc28115"/>
      <w:bookmarkStart w:id="1972" w:name="_Toc122603041"/>
      <w:r>
        <w:rPr>
          <w:rFonts w:hint="eastAsia" w:ascii="黑体" w:hAnsi="黑体" w:eastAsia="黑体"/>
          <w:b w:val="0"/>
          <w:bCs w:val="0"/>
          <w:color w:val="auto"/>
          <w:sz w:val="48"/>
          <w:szCs w:val="48"/>
        </w:rPr>
        <w:t>第三卷</w:t>
      </w:r>
      <w:bookmarkEnd w:id="1971"/>
      <w:bookmarkEnd w:id="1972"/>
    </w:p>
    <w:p w14:paraId="42339864">
      <w:pPr>
        <w:jc w:val="center"/>
        <w:rPr>
          <w:rFonts w:hint="eastAsia" w:ascii="黑体" w:eastAsia="黑体"/>
          <w:color w:val="auto"/>
          <w:sz w:val="32"/>
          <w:szCs w:val="32"/>
        </w:rPr>
      </w:pPr>
    </w:p>
    <w:p w14:paraId="5DAB623D">
      <w:pPr>
        <w:rPr>
          <w:color w:val="auto"/>
        </w:rPr>
        <w:sectPr>
          <w:pgSz w:w="11906" w:h="16838"/>
          <w:pgMar w:top="1440" w:right="1800" w:bottom="1440" w:left="1800" w:header="851" w:footer="992" w:gutter="0"/>
          <w:cols w:space="425" w:num="1"/>
          <w:docGrid w:type="lines" w:linePitch="312" w:charSpace="0"/>
        </w:sectPr>
      </w:pPr>
    </w:p>
    <w:p w14:paraId="48D5D6F0">
      <w:pPr>
        <w:spacing w:line="420" w:lineRule="exact"/>
        <w:jc w:val="center"/>
        <w:rPr>
          <w:rFonts w:ascii="楷体_GB2312" w:eastAsia="楷体_GB2312"/>
          <w:color w:val="auto"/>
        </w:rPr>
      </w:pPr>
    </w:p>
    <w:p w14:paraId="75F7F6DA">
      <w:pPr>
        <w:spacing w:line="420" w:lineRule="exact"/>
        <w:jc w:val="center"/>
        <w:rPr>
          <w:rFonts w:ascii="楷体_GB2312" w:eastAsia="楷体_GB2312"/>
          <w:color w:val="auto"/>
        </w:rPr>
      </w:pPr>
    </w:p>
    <w:p w14:paraId="61778222">
      <w:pPr>
        <w:spacing w:line="420" w:lineRule="exact"/>
        <w:jc w:val="center"/>
        <w:rPr>
          <w:rFonts w:ascii="楷体_GB2312" w:eastAsia="楷体_GB2312"/>
          <w:color w:val="auto"/>
        </w:rPr>
      </w:pPr>
    </w:p>
    <w:p w14:paraId="58CF634C">
      <w:pPr>
        <w:spacing w:line="420" w:lineRule="exact"/>
        <w:jc w:val="center"/>
        <w:rPr>
          <w:rFonts w:ascii="楷体_GB2312" w:eastAsia="楷体_GB2312"/>
          <w:color w:val="auto"/>
        </w:rPr>
      </w:pPr>
    </w:p>
    <w:p w14:paraId="36AABCEB">
      <w:pPr>
        <w:spacing w:line="420" w:lineRule="exact"/>
        <w:jc w:val="center"/>
        <w:rPr>
          <w:rFonts w:ascii="楷体_GB2312" w:eastAsia="楷体_GB2312"/>
          <w:color w:val="auto"/>
        </w:rPr>
      </w:pPr>
    </w:p>
    <w:p w14:paraId="0661B5B6">
      <w:pPr>
        <w:spacing w:line="420" w:lineRule="exact"/>
        <w:jc w:val="center"/>
        <w:rPr>
          <w:rFonts w:ascii="楷体_GB2312" w:eastAsia="楷体_GB2312"/>
          <w:color w:val="auto"/>
        </w:rPr>
      </w:pPr>
    </w:p>
    <w:p w14:paraId="3E4116DB">
      <w:pPr>
        <w:spacing w:line="420" w:lineRule="exact"/>
        <w:jc w:val="center"/>
        <w:rPr>
          <w:rFonts w:ascii="楷体_GB2312" w:eastAsia="楷体_GB2312"/>
          <w:color w:val="auto"/>
        </w:rPr>
      </w:pPr>
    </w:p>
    <w:p w14:paraId="5C709083">
      <w:pPr>
        <w:spacing w:line="420" w:lineRule="exact"/>
        <w:jc w:val="center"/>
        <w:rPr>
          <w:rFonts w:ascii="楷体_GB2312" w:eastAsia="楷体_GB2312"/>
          <w:color w:val="auto"/>
        </w:rPr>
      </w:pPr>
    </w:p>
    <w:p w14:paraId="503950BB">
      <w:pPr>
        <w:spacing w:line="420" w:lineRule="exact"/>
        <w:jc w:val="center"/>
        <w:rPr>
          <w:rFonts w:ascii="楷体_GB2312" w:eastAsia="楷体_GB2312"/>
          <w:color w:val="auto"/>
        </w:rPr>
      </w:pPr>
    </w:p>
    <w:p w14:paraId="671E3441">
      <w:pPr>
        <w:spacing w:line="420" w:lineRule="exact"/>
        <w:jc w:val="center"/>
        <w:rPr>
          <w:rFonts w:ascii="楷体_GB2312" w:eastAsia="楷体_GB2312"/>
          <w:color w:val="auto"/>
        </w:rPr>
      </w:pPr>
    </w:p>
    <w:p w14:paraId="792A7E94">
      <w:pPr>
        <w:spacing w:line="420" w:lineRule="exact"/>
        <w:jc w:val="center"/>
        <w:rPr>
          <w:rFonts w:ascii="楷体_GB2312" w:eastAsia="楷体_GB2312"/>
          <w:color w:val="auto"/>
        </w:rPr>
      </w:pPr>
    </w:p>
    <w:p w14:paraId="2A4DE6FC">
      <w:pPr>
        <w:spacing w:line="420" w:lineRule="exact"/>
        <w:jc w:val="center"/>
        <w:rPr>
          <w:rFonts w:ascii="楷体_GB2312" w:eastAsia="楷体_GB2312"/>
          <w:color w:val="auto"/>
        </w:rPr>
      </w:pPr>
    </w:p>
    <w:p w14:paraId="193743AF">
      <w:pPr>
        <w:spacing w:line="420" w:lineRule="exact"/>
        <w:jc w:val="center"/>
        <w:rPr>
          <w:rFonts w:ascii="楷体_GB2312" w:eastAsia="楷体_GB2312"/>
          <w:color w:val="auto"/>
        </w:rPr>
      </w:pPr>
    </w:p>
    <w:p w14:paraId="0E4B206D">
      <w:pPr>
        <w:pStyle w:val="2"/>
        <w:spacing w:before="120" w:after="120" w:line="400" w:lineRule="exact"/>
        <w:jc w:val="center"/>
        <w:rPr>
          <w:rFonts w:ascii="黑体" w:hAnsi="黑体" w:eastAsia="黑体"/>
          <w:b w:val="0"/>
          <w:bCs w:val="0"/>
          <w:color w:val="auto"/>
          <w:sz w:val="32"/>
        </w:rPr>
      </w:pPr>
      <w:bookmarkStart w:id="1973" w:name="_Toc152264764"/>
      <w:bookmarkStart w:id="1974" w:name="_Toc21519"/>
      <w:r>
        <w:rPr>
          <w:rFonts w:hint="eastAsia" w:ascii="黑体" w:hAnsi="黑体" w:eastAsia="黑体"/>
          <w:b w:val="0"/>
          <w:bCs w:val="0"/>
          <w:color w:val="auto"/>
          <w:sz w:val="32"/>
        </w:rPr>
        <w:t>第七章  技术标准和要求</w:t>
      </w:r>
      <w:bookmarkEnd w:id="1973"/>
      <w:bookmarkEnd w:id="1974"/>
    </w:p>
    <w:p w14:paraId="7CD1D2D9">
      <w:pPr>
        <w:rPr>
          <w:color w:val="auto"/>
        </w:rPr>
      </w:pPr>
      <w:r>
        <w:rPr>
          <w:color w:val="auto"/>
        </w:rPr>
        <w:br w:type="page"/>
      </w:r>
    </w:p>
    <w:p w14:paraId="1E64494B">
      <w:pPr>
        <w:pStyle w:val="7"/>
        <w:widowControl w:val="0"/>
        <w:numPr>
          <w:ilvl w:val="0"/>
          <w:numId w:val="0"/>
        </w:numPr>
        <w:tabs>
          <w:tab w:val="left" w:pos="312"/>
        </w:tabs>
        <w:spacing w:line="360" w:lineRule="auto"/>
        <w:jc w:val="left"/>
        <w:outlineLvl w:val="1"/>
        <w:rPr>
          <w:rFonts w:hint="default" w:ascii="宋体" w:hAnsi="宋体" w:eastAsia="宋体" w:cstheme="minorBidi"/>
          <w:b/>
          <w:bCs/>
          <w:color w:val="auto"/>
          <w:kern w:val="2"/>
          <w:sz w:val="21"/>
          <w:szCs w:val="24"/>
          <w:highlight w:val="none"/>
          <w:u w:val="none"/>
          <w:lang w:val="en-US" w:eastAsia="zh-CN" w:bidi="ar-SA"/>
        </w:rPr>
      </w:pPr>
      <w:bookmarkStart w:id="1975" w:name="_Toc1027"/>
      <w:r>
        <w:rPr>
          <w:rFonts w:hint="default" w:ascii="宋体" w:hAnsi="宋体" w:eastAsia="宋体" w:cstheme="minorBidi"/>
          <w:b/>
          <w:bCs/>
          <w:color w:val="auto"/>
          <w:kern w:val="2"/>
          <w:sz w:val="21"/>
          <w:szCs w:val="24"/>
          <w:highlight w:val="none"/>
          <w:u w:val="none"/>
          <w:lang w:val="en-US" w:eastAsia="zh-CN" w:bidi="ar-SA"/>
        </w:rPr>
        <w:t>第一节一般要求</w:t>
      </w:r>
      <w:bookmarkEnd w:id="1975"/>
    </w:p>
    <w:p w14:paraId="4E3CC4DF">
      <w:pPr>
        <w:pStyle w:val="7"/>
        <w:keepNext w:val="0"/>
        <w:keepLines w:val="0"/>
        <w:pageBreakBefore w:val="0"/>
        <w:widowControl w:val="0"/>
        <w:numPr>
          <w:ilvl w:val="0"/>
          <w:numId w:val="0"/>
        </w:numPr>
        <w:tabs>
          <w:tab w:val="left" w:pos="312"/>
        </w:tabs>
        <w:kinsoku/>
        <w:wordWrap/>
        <w:overflowPunct/>
        <w:topLinePunct w:val="0"/>
        <w:autoSpaceDE/>
        <w:autoSpaceDN/>
        <w:bidi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1.工程说明</w:t>
      </w:r>
    </w:p>
    <w:p w14:paraId="7CA18251">
      <w:pPr>
        <w:pStyle w:val="7"/>
        <w:keepNext w:val="0"/>
        <w:keepLines w:val="0"/>
        <w:pageBreakBefore w:val="0"/>
        <w:widowControl w:val="0"/>
        <w:numPr>
          <w:ilvl w:val="0"/>
          <w:numId w:val="0"/>
        </w:numPr>
        <w:tabs>
          <w:tab w:val="left" w:pos="312"/>
        </w:tabs>
        <w:kinsoku/>
        <w:wordWrap/>
        <w:overflowPunct/>
        <w:topLinePunct w:val="0"/>
        <w:autoSpaceDE/>
        <w:autoSpaceDN/>
        <w:bidi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1.1工程概况</w:t>
      </w:r>
    </w:p>
    <w:p w14:paraId="14305787">
      <w:pPr>
        <w:pStyle w:val="7"/>
        <w:keepNext w:val="0"/>
        <w:keepLines w:val="0"/>
        <w:pageBreakBefore w:val="0"/>
        <w:widowControl w:val="0"/>
        <w:numPr>
          <w:ilvl w:val="0"/>
          <w:numId w:val="0"/>
        </w:numPr>
        <w:tabs>
          <w:tab w:val="left" w:pos="312"/>
        </w:tabs>
        <w:kinsoku/>
        <w:wordWrap/>
        <w:overflowPunct/>
        <w:topLinePunct w:val="0"/>
        <w:autoSpaceDE/>
        <w:autoSpaceDN/>
        <w:bidi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l.1.1本工程基本情况如下：</w:t>
      </w:r>
    </w:p>
    <w:p w14:paraId="0E965F02">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本项目维修改造内容包括：</w:t>
      </w:r>
      <w:r>
        <w:rPr>
          <w:rFonts w:hint="default" w:ascii="宋体" w:hAnsi="宋体" w:eastAsia="宋体" w:cstheme="minorBidi"/>
          <w:b w:val="0"/>
          <w:bCs w:val="0"/>
          <w:color w:val="auto"/>
          <w:kern w:val="2"/>
          <w:sz w:val="21"/>
          <w:szCs w:val="24"/>
          <w:highlight w:val="yellow"/>
          <w:u w:val="none"/>
          <w:lang w:val="en-US" w:eastAsia="zh-CN" w:bidi="ar-SA"/>
        </w:rPr>
        <w:t>承重系统、围护系统、建筑装修系统、给排水系统、采暖系统、通风与空调系统、电气系统、建筑消防系统、建筑智能化系统</w:t>
      </w:r>
      <w:r>
        <w:rPr>
          <w:rFonts w:hint="eastAsia" w:ascii="宋体" w:hAnsi="宋体" w:cstheme="minorBidi"/>
          <w:b w:val="0"/>
          <w:bCs w:val="0"/>
          <w:color w:val="auto"/>
          <w:kern w:val="2"/>
          <w:sz w:val="21"/>
          <w:szCs w:val="24"/>
          <w:highlight w:val="yellow"/>
          <w:u w:val="none"/>
          <w:lang w:val="en-US" w:eastAsia="zh-CN" w:bidi="ar-SA"/>
        </w:rPr>
        <w:t>。</w:t>
      </w:r>
      <w:r>
        <w:rPr>
          <w:rFonts w:hint="default" w:ascii="宋体" w:hAnsi="宋体" w:eastAsia="宋体" w:cstheme="minorBidi"/>
          <w:b w:val="0"/>
          <w:bCs w:val="0"/>
          <w:color w:val="auto"/>
          <w:kern w:val="2"/>
          <w:sz w:val="21"/>
          <w:szCs w:val="24"/>
          <w:highlight w:val="none"/>
          <w:u w:val="none"/>
          <w:lang w:val="en-US" w:eastAsia="zh-CN" w:bidi="ar-SA"/>
        </w:rPr>
        <w:t>具体详见招标文件、图纸及工程量清单。</w:t>
      </w:r>
    </w:p>
    <w:p w14:paraId="3C56E50B">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1.1.2本工程施工场地（现场）具体地理位置如下：</w:t>
      </w:r>
    </w:p>
    <w:p w14:paraId="3FF2A002">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eastAsia" w:ascii="宋体" w:hAnsi="宋体" w:cstheme="minorBidi"/>
          <w:b w:val="0"/>
          <w:bCs w:val="0"/>
          <w:color w:val="auto"/>
          <w:kern w:val="2"/>
          <w:sz w:val="21"/>
          <w:szCs w:val="24"/>
          <w:highlight w:val="none"/>
          <w:u w:val="none"/>
          <w:lang w:val="en-US" w:eastAsia="zh-CN" w:bidi="ar-SA"/>
        </w:rPr>
        <w:t>辽宁省</w:t>
      </w:r>
      <w:r>
        <w:rPr>
          <w:rFonts w:hint="default" w:ascii="宋体" w:hAnsi="宋体" w:eastAsia="宋体" w:cstheme="minorBidi"/>
          <w:b w:val="0"/>
          <w:bCs w:val="0"/>
          <w:color w:val="auto"/>
          <w:kern w:val="2"/>
          <w:sz w:val="21"/>
          <w:szCs w:val="24"/>
          <w:highlight w:val="none"/>
          <w:u w:val="none"/>
          <w:lang w:val="en-US" w:eastAsia="zh-CN" w:bidi="ar-SA"/>
        </w:rPr>
        <w:t>营口市盖州市市府大街6号</w:t>
      </w:r>
    </w:p>
    <w:p w14:paraId="5B5CFEDB">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1.2现场条件和周围环境</w:t>
      </w:r>
    </w:p>
    <w:p w14:paraId="2AEDA1B7">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1.2.1本工程施工场地（现场）已经具备施工条件。</w:t>
      </w:r>
    </w:p>
    <w:p w14:paraId="3C5F05D1">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1.2.2现场条件和周围环境的其他资料和信息数据如下：</w:t>
      </w:r>
    </w:p>
    <w:p w14:paraId="0F4DB1EE">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远离住宅及商业区。道路畅通，室外作业面满足施工设备条件。</w:t>
      </w:r>
    </w:p>
    <w:p w14:paraId="4C834454">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1.2.3承包人被认为已在本工程投标阶段踏勘现场时充分了解本工程现场条件和周围环境，并已在其投标时就此给予了充分的考虑。</w:t>
      </w:r>
    </w:p>
    <w:p w14:paraId="225F02A8">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1.3地质及水文资料</w:t>
      </w:r>
    </w:p>
    <w:p w14:paraId="24674176">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1.3.1现场地质及水文资料和信息数据如下：</w:t>
      </w:r>
    </w:p>
    <w:p w14:paraId="63AB5497">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现场地质情况良好，周边无河流湖泊。地下水位较低，无影响正常施工室外环境因素。</w:t>
      </w:r>
    </w:p>
    <w:p w14:paraId="70699086">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1.4资料和信息的使用</w:t>
      </w:r>
    </w:p>
    <w:p w14:paraId="6FD7865D">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1.4.1合同文件中载明的涉及本工程现场条件、周围环境、地质及水文等情况的资料和信息数据，是发包人现有的和客观的，发包人保证有关资料和信息数据的真实、准确。但承包人据此作出的推论、判断和决策，由承包人自行负责。</w:t>
      </w:r>
    </w:p>
    <w:p w14:paraId="74375119">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2.承包范围</w:t>
      </w:r>
    </w:p>
    <w:p w14:paraId="52EEB52F">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2.1承包范围</w:t>
      </w:r>
    </w:p>
    <w:p w14:paraId="0256B125">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2.1.1承包人自行施工范围</w:t>
      </w:r>
    </w:p>
    <w:p w14:paraId="6ED3ECC1">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eastAsia" w:ascii="宋体" w:hAnsi="宋体" w:cstheme="minorBidi"/>
          <w:b w:val="0"/>
          <w:bCs w:val="0"/>
          <w:color w:val="auto"/>
          <w:kern w:val="2"/>
          <w:sz w:val="21"/>
          <w:szCs w:val="24"/>
          <w:highlight w:val="none"/>
          <w:u w:val="none"/>
          <w:lang w:val="en-US" w:eastAsia="zh-CN" w:bidi="ar-SA"/>
        </w:rPr>
        <w:t>国家税务总局盖州市税务局综合业务办公用房维修改造项目</w:t>
      </w:r>
      <w:r>
        <w:rPr>
          <w:rFonts w:hint="default" w:ascii="宋体" w:hAnsi="宋体" w:eastAsia="宋体" w:cstheme="minorBidi"/>
          <w:b w:val="0"/>
          <w:bCs w:val="0"/>
          <w:color w:val="auto"/>
          <w:kern w:val="2"/>
          <w:sz w:val="21"/>
          <w:szCs w:val="24"/>
          <w:highlight w:val="none"/>
          <w:u w:val="none"/>
          <w:lang w:val="en-US" w:eastAsia="zh-CN" w:bidi="ar-SA"/>
        </w:rPr>
        <w:t>施工图纸</w:t>
      </w:r>
      <w:r>
        <w:rPr>
          <w:rFonts w:hint="eastAsia" w:ascii="宋体" w:hAnsi="宋体" w:cstheme="minorBidi"/>
          <w:b w:val="0"/>
          <w:bCs w:val="0"/>
          <w:color w:val="auto"/>
          <w:kern w:val="2"/>
          <w:sz w:val="21"/>
          <w:szCs w:val="24"/>
          <w:highlight w:val="none"/>
          <w:u w:val="none"/>
          <w:lang w:val="en-US" w:eastAsia="zh-CN" w:bidi="ar-SA"/>
        </w:rPr>
        <w:t>及</w:t>
      </w:r>
      <w:r>
        <w:rPr>
          <w:rFonts w:hint="default" w:ascii="宋体" w:hAnsi="宋体" w:eastAsia="宋体" w:cstheme="minorBidi"/>
          <w:b w:val="0"/>
          <w:bCs w:val="0"/>
          <w:color w:val="auto"/>
          <w:kern w:val="2"/>
          <w:sz w:val="21"/>
          <w:szCs w:val="24"/>
          <w:highlight w:val="none"/>
          <w:u w:val="none"/>
          <w:lang w:val="en-US" w:eastAsia="zh-CN" w:bidi="ar-SA"/>
        </w:rPr>
        <w:t>工程量清单的全部内容。</w:t>
      </w:r>
    </w:p>
    <w:p w14:paraId="57EFA879">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2.1.2承包范围内的暂估价项目</w:t>
      </w:r>
    </w:p>
    <w:p w14:paraId="73D7BD88">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本项目抗震支架</w:t>
      </w:r>
      <w:r>
        <w:rPr>
          <w:rFonts w:hint="eastAsia" w:ascii="宋体" w:hAnsi="宋体" w:eastAsia="宋体" w:cstheme="minorBidi"/>
          <w:b w:val="0"/>
          <w:bCs w:val="0"/>
          <w:color w:val="auto"/>
          <w:kern w:val="2"/>
          <w:sz w:val="21"/>
          <w:szCs w:val="24"/>
          <w:highlight w:val="none"/>
          <w:u w:val="none"/>
          <w:lang w:val="en-US" w:eastAsia="zh-CN" w:bidi="ar-SA"/>
        </w:rPr>
        <w:t>和</w:t>
      </w:r>
      <w:r>
        <w:rPr>
          <w:rFonts w:hint="default" w:ascii="宋体" w:hAnsi="宋体" w:eastAsia="宋体" w:cstheme="minorBidi"/>
          <w:b w:val="0"/>
          <w:bCs w:val="0"/>
          <w:color w:val="auto"/>
          <w:kern w:val="2"/>
          <w:sz w:val="21"/>
          <w:szCs w:val="24"/>
          <w:highlight w:val="none"/>
          <w:u w:val="none"/>
          <w:lang w:val="en-US" w:eastAsia="zh-CN" w:bidi="ar-SA"/>
        </w:rPr>
        <w:t>拆除工程</w:t>
      </w:r>
      <w:r>
        <w:rPr>
          <w:rFonts w:hint="eastAsia" w:ascii="宋体" w:hAnsi="宋体" w:eastAsia="宋体" w:cstheme="minorBidi"/>
          <w:b w:val="0"/>
          <w:bCs w:val="0"/>
          <w:color w:val="auto"/>
          <w:kern w:val="2"/>
          <w:sz w:val="21"/>
          <w:szCs w:val="24"/>
          <w:highlight w:val="none"/>
          <w:u w:val="none"/>
          <w:lang w:val="en-US" w:eastAsia="zh-CN" w:bidi="ar-SA"/>
        </w:rPr>
        <w:t>以</w:t>
      </w:r>
      <w:r>
        <w:rPr>
          <w:rFonts w:hint="default" w:ascii="宋体" w:hAnsi="宋体" w:eastAsia="宋体" w:cstheme="minorBidi"/>
          <w:b w:val="0"/>
          <w:bCs w:val="0"/>
          <w:color w:val="auto"/>
          <w:kern w:val="2"/>
          <w:sz w:val="21"/>
          <w:szCs w:val="24"/>
          <w:highlight w:val="none"/>
          <w:u w:val="none"/>
          <w:lang w:val="en-US" w:eastAsia="zh-CN" w:bidi="ar-SA"/>
        </w:rPr>
        <w:t>暂估价</w:t>
      </w:r>
      <w:r>
        <w:rPr>
          <w:rFonts w:hint="eastAsia" w:ascii="宋体" w:hAnsi="宋体" w:eastAsia="宋体" w:cstheme="minorBidi"/>
          <w:b w:val="0"/>
          <w:bCs w:val="0"/>
          <w:color w:val="auto"/>
          <w:kern w:val="2"/>
          <w:sz w:val="21"/>
          <w:szCs w:val="24"/>
          <w:highlight w:val="none"/>
          <w:u w:val="none"/>
          <w:lang w:val="en-US" w:eastAsia="zh-CN" w:bidi="ar-SA"/>
        </w:rPr>
        <w:t>形式</w:t>
      </w:r>
      <w:r>
        <w:rPr>
          <w:rFonts w:hint="default" w:ascii="宋体" w:hAnsi="宋体" w:eastAsia="宋体" w:cstheme="minorBidi"/>
          <w:b w:val="0"/>
          <w:bCs w:val="0"/>
          <w:color w:val="auto"/>
          <w:kern w:val="2"/>
          <w:sz w:val="21"/>
          <w:szCs w:val="24"/>
          <w:highlight w:val="none"/>
          <w:u w:val="none"/>
          <w:lang w:val="en-US" w:eastAsia="zh-CN" w:bidi="ar-SA"/>
        </w:rPr>
        <w:t xml:space="preserve">列入本项目最高投标限价，据实结算。 </w:t>
      </w:r>
    </w:p>
    <w:p w14:paraId="4ACB0949">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2.1.2.1承包范围内以暂估价形式实施的专业工程见“工程量清单”“专业工程暂估价表”。</w:t>
      </w:r>
    </w:p>
    <w:p w14:paraId="49E09C2F">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2.1.2.2承包范围内以暂估价形式实施的材料和工程设备见“工程量清单”“材料和工程设备暂估单价表”。</w:t>
      </w:r>
    </w:p>
    <w:p w14:paraId="2B9BC1D9">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3.工期要求</w:t>
      </w:r>
    </w:p>
    <w:p w14:paraId="4DA928AB">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3.1合同工期</w:t>
      </w:r>
    </w:p>
    <w:p w14:paraId="46E4C036">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3.本工程合同工期和计划开、竣工日期为承包人在投标函附录中承诺的工期和计划开、竣工日期，并在合同协议书中载明。（具体约定工期以实际甲乙双方签订合同为准）。</w:t>
      </w:r>
    </w:p>
    <w:p w14:paraId="167E5592">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3.2关于工期的一般规定</w:t>
      </w:r>
    </w:p>
    <w:p w14:paraId="69434FE2">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3.2.1承包人在投标函中承诺的工期和计划开、竣工日期之间发生矛盾或者不一致时，以承包人承诺的工期为准。实际开工日期以通用合同条款约定的监理人发出的开工通知中载明的开工日期为准。</w:t>
      </w:r>
    </w:p>
    <w:p w14:paraId="372EE199">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3.2.2如果承包人在投标函附录中承诺的工期提前于发包人在本工程招标文件中所要求的工期，承包人在施工组织设计中应当制定相应的工期保证措施，由此而增加的费用应当被认为已经包括在投标总价中。除合同另有约定外，合同履约过程中发包人不会因此再向承包人支付任何性质的技术措施费用、赶工费用或其他任何性质的提前完工奖励等费用。</w:t>
      </w:r>
    </w:p>
    <w:p w14:paraId="3F3A5D80">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3.2.3承包人在投标函附录中所承诺的工期应当包括实施并完成本节上述2.1.2项规定的暂估价项目在内的所有工作的工期。</w:t>
      </w:r>
    </w:p>
    <w:p w14:paraId="77AD68C5">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4.质量要求</w:t>
      </w:r>
    </w:p>
    <w:p w14:paraId="5FF6ABCF">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4.1质量标准</w:t>
      </w:r>
    </w:p>
    <w:p w14:paraId="3FD0B747">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4.1.1本工程要求的质量标准为符合现行国家有关工程施工验收规范和标准的要求（也称合格）。</w:t>
      </w:r>
    </w:p>
    <w:p w14:paraId="166B9089">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4.1.2工程质量要求</w:t>
      </w:r>
      <w:r>
        <w:rPr>
          <w:rFonts w:hint="eastAsia" w:ascii="宋体" w:hAnsi="宋体" w:cstheme="minorBidi"/>
          <w:b w:val="0"/>
          <w:bCs w:val="0"/>
          <w:color w:val="auto"/>
          <w:kern w:val="2"/>
          <w:sz w:val="21"/>
          <w:szCs w:val="24"/>
          <w:highlight w:val="none"/>
          <w:u w:val="none"/>
          <w:lang w:val="en-US" w:eastAsia="zh-CN" w:bidi="ar-SA"/>
        </w:rPr>
        <w:t>：</w:t>
      </w:r>
      <w:r>
        <w:rPr>
          <w:rFonts w:hint="default" w:ascii="宋体" w:hAnsi="宋体" w:eastAsia="宋体" w:cstheme="minorBidi"/>
          <w:b w:val="0"/>
          <w:bCs w:val="0"/>
          <w:color w:val="auto"/>
          <w:kern w:val="2"/>
          <w:sz w:val="21"/>
          <w:szCs w:val="24"/>
          <w:highlight w:val="none"/>
          <w:u w:val="none"/>
          <w:lang w:val="en-US" w:eastAsia="zh-CN" w:bidi="ar-SA"/>
        </w:rPr>
        <w:t>按照法律规定及合同约定组织完成工程施工，确保工程一次性通过消防、住建等相关部门验收，电梯取得特种设备使用登记证。所有建筑材料均需满足国家环保标准。</w:t>
      </w:r>
    </w:p>
    <w:p w14:paraId="29AD7DBB">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4.2材料质量要求</w:t>
      </w:r>
    </w:p>
    <w:p w14:paraId="12A31A9A">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eastAsia" w:ascii="宋体" w:hAnsi="宋体" w:eastAsia="宋体" w:cstheme="minorBidi"/>
          <w:b w:val="0"/>
          <w:bCs w:val="0"/>
          <w:color w:val="auto"/>
          <w:kern w:val="2"/>
          <w:sz w:val="21"/>
          <w:szCs w:val="24"/>
          <w:highlight w:val="none"/>
          <w:u w:val="none"/>
          <w:lang w:val="en-US" w:eastAsia="zh-CN" w:bidi="ar-SA"/>
        </w:rPr>
        <w:t>4.2.1</w:t>
      </w:r>
      <w:r>
        <w:rPr>
          <w:rFonts w:hint="default" w:ascii="宋体" w:hAnsi="宋体" w:eastAsia="宋体" w:cstheme="minorBidi"/>
          <w:b w:val="0"/>
          <w:bCs w:val="0"/>
          <w:color w:val="auto"/>
          <w:kern w:val="2"/>
          <w:sz w:val="21"/>
          <w:szCs w:val="24"/>
          <w:highlight w:val="none"/>
          <w:u w:val="none"/>
          <w:lang w:val="en-US" w:eastAsia="zh-CN" w:bidi="ar-SA"/>
        </w:rPr>
        <w:t>所有进场材料、设备及构配件必须为全新、未使用过的合格产品，表面无破损、无锈蚀、无变形、无质量缺陷，严禁使用国家明令淘汰、禁止使用的产品及假冒伪劣产品。</w:t>
      </w:r>
    </w:p>
    <w:p w14:paraId="2ED7EA79">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eastAsia" w:ascii="宋体" w:hAnsi="宋体" w:eastAsia="宋体" w:cstheme="minorBidi"/>
          <w:b w:val="0"/>
          <w:bCs w:val="0"/>
          <w:color w:val="auto"/>
          <w:kern w:val="2"/>
          <w:sz w:val="21"/>
          <w:szCs w:val="24"/>
          <w:highlight w:val="none"/>
          <w:u w:val="none"/>
          <w:lang w:val="en-US" w:eastAsia="zh-CN" w:bidi="ar-SA"/>
        </w:rPr>
        <w:t>4.2.2</w:t>
      </w:r>
      <w:r>
        <w:rPr>
          <w:rFonts w:hint="default" w:ascii="宋体" w:hAnsi="宋体" w:eastAsia="宋体" w:cstheme="minorBidi"/>
          <w:b w:val="0"/>
          <w:bCs w:val="0"/>
          <w:color w:val="auto"/>
          <w:kern w:val="2"/>
          <w:sz w:val="21"/>
          <w:szCs w:val="24"/>
          <w:highlight w:val="none"/>
          <w:u w:val="none"/>
          <w:lang w:val="en-US" w:eastAsia="zh-CN" w:bidi="ar-SA"/>
        </w:rPr>
        <w:t>材料质量须符合现行国家及行业质量标准、辽宁省地方标准、设计图纸要求及招标文件技术要求；涉及安全、消防、节能、环保的材料，必须同时满足相应强制性标准。</w:t>
      </w:r>
    </w:p>
    <w:p w14:paraId="3F52037F">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eastAsia" w:ascii="宋体" w:hAnsi="宋体" w:eastAsia="宋体" w:cstheme="minorBidi"/>
          <w:b w:val="0"/>
          <w:bCs w:val="0"/>
          <w:color w:val="auto"/>
          <w:kern w:val="2"/>
          <w:sz w:val="21"/>
          <w:szCs w:val="24"/>
          <w:highlight w:val="none"/>
          <w:u w:val="none"/>
          <w:lang w:val="en-US" w:eastAsia="zh-CN" w:bidi="ar-SA"/>
        </w:rPr>
        <w:t>4.2.3</w:t>
      </w:r>
      <w:r>
        <w:rPr>
          <w:rFonts w:hint="default" w:ascii="宋体" w:hAnsi="宋体" w:eastAsia="宋体" w:cstheme="minorBidi"/>
          <w:b w:val="0"/>
          <w:bCs w:val="0"/>
          <w:color w:val="auto"/>
          <w:kern w:val="2"/>
          <w:sz w:val="21"/>
          <w:szCs w:val="24"/>
          <w:highlight w:val="none"/>
          <w:u w:val="none"/>
          <w:lang w:val="en-US" w:eastAsia="zh-CN" w:bidi="ar-SA"/>
        </w:rPr>
        <w:t>工程所使用的主材料、设备等必须具有合格证明文件，规格、型号及性能检测报告，包括但不限于产品合格证、出厂检验报告、质量保证书；应符合国家技术标准和设计要求。涉及强制认证的产品须提供对应认证证书。</w:t>
      </w:r>
    </w:p>
    <w:p w14:paraId="547BEBF2">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eastAsia" w:ascii="宋体" w:hAnsi="宋体" w:eastAsia="宋体" w:cstheme="minorBidi"/>
          <w:b w:val="0"/>
          <w:bCs w:val="0"/>
          <w:color w:val="auto"/>
          <w:kern w:val="2"/>
          <w:sz w:val="21"/>
          <w:szCs w:val="24"/>
          <w:highlight w:val="none"/>
          <w:u w:val="none"/>
          <w:lang w:val="en-US" w:eastAsia="zh-CN" w:bidi="ar-SA"/>
        </w:rPr>
        <w:t>4.2.4</w:t>
      </w:r>
      <w:r>
        <w:rPr>
          <w:rFonts w:hint="default" w:ascii="宋体" w:hAnsi="宋体" w:eastAsia="宋体" w:cstheme="minorBidi"/>
          <w:b w:val="0"/>
          <w:bCs w:val="0"/>
          <w:color w:val="auto"/>
          <w:kern w:val="2"/>
          <w:sz w:val="21"/>
          <w:szCs w:val="24"/>
          <w:highlight w:val="none"/>
          <w:u w:val="none"/>
          <w:lang w:val="en-US" w:eastAsia="zh-CN" w:bidi="ar-SA"/>
        </w:rPr>
        <w:t>室内装修材料须符合 GB 50325-2020《民用建筑工程室内环境污染控制标准》要求，有害物质释放量不得超过国家标准限值。</w:t>
      </w:r>
    </w:p>
    <w:p w14:paraId="56EFF506">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eastAsia" w:ascii="宋体" w:hAnsi="宋体" w:eastAsia="宋体" w:cstheme="minorBidi"/>
          <w:b w:val="0"/>
          <w:bCs w:val="0"/>
          <w:color w:val="auto"/>
          <w:kern w:val="2"/>
          <w:sz w:val="21"/>
          <w:szCs w:val="24"/>
          <w:highlight w:val="none"/>
          <w:u w:val="none"/>
          <w:lang w:val="en-US" w:eastAsia="zh-CN" w:bidi="ar-SA"/>
        </w:rPr>
        <w:t>4.2.5</w:t>
      </w:r>
      <w:r>
        <w:rPr>
          <w:rFonts w:hint="default" w:ascii="宋体" w:hAnsi="宋体" w:eastAsia="宋体" w:cstheme="minorBidi"/>
          <w:b w:val="0"/>
          <w:bCs w:val="0"/>
          <w:color w:val="auto"/>
          <w:kern w:val="2"/>
          <w:sz w:val="21"/>
          <w:szCs w:val="24"/>
          <w:highlight w:val="none"/>
          <w:u w:val="none"/>
          <w:lang w:val="en-US" w:eastAsia="zh-CN" w:bidi="ar-SA"/>
        </w:rPr>
        <w:t>主要装饰材料、饰面材料、关键设备进场前，承包人须提前报送样品及相关资料，经建设单位、监理单位确认并封存样品后，方可批量采购进场；实际进场材料质量不得低于封存样品标准。</w:t>
      </w:r>
    </w:p>
    <w:p w14:paraId="538BDF79">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eastAsia" w:ascii="宋体" w:hAnsi="宋体" w:eastAsia="宋体" w:cstheme="minorBidi"/>
          <w:b w:val="0"/>
          <w:bCs w:val="0"/>
          <w:color w:val="auto"/>
          <w:kern w:val="2"/>
          <w:sz w:val="21"/>
          <w:szCs w:val="24"/>
          <w:highlight w:val="none"/>
          <w:u w:val="none"/>
          <w:lang w:val="en-US" w:eastAsia="zh-CN" w:bidi="ar-SA"/>
        </w:rPr>
        <w:t>4.2.6</w:t>
      </w:r>
      <w:r>
        <w:rPr>
          <w:rFonts w:hint="default" w:ascii="宋体" w:hAnsi="宋体" w:eastAsia="宋体" w:cstheme="minorBidi"/>
          <w:b w:val="0"/>
          <w:bCs w:val="0"/>
          <w:color w:val="auto"/>
          <w:kern w:val="2"/>
          <w:sz w:val="21"/>
          <w:szCs w:val="24"/>
          <w:highlight w:val="none"/>
          <w:u w:val="none"/>
          <w:lang w:val="en-US" w:eastAsia="zh-CN" w:bidi="ar-SA"/>
        </w:rPr>
        <w:t>材料到场前需要按照图纸向甲方提供样品，甲方确认合格后方可大批量进场，材料进场后如出现与样件不符等现象将按合同处罚并退场处理。</w:t>
      </w:r>
    </w:p>
    <w:p w14:paraId="2A3FF056">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eastAsia" w:ascii="宋体" w:hAnsi="宋体" w:eastAsia="宋体" w:cstheme="minorBidi"/>
          <w:b w:val="0"/>
          <w:bCs w:val="0"/>
          <w:color w:val="auto"/>
          <w:kern w:val="2"/>
          <w:sz w:val="21"/>
          <w:szCs w:val="24"/>
          <w:highlight w:val="none"/>
          <w:u w:val="none"/>
          <w:lang w:val="en-US" w:eastAsia="zh-CN" w:bidi="ar-SA"/>
        </w:rPr>
        <w:t>4.2.7</w:t>
      </w:r>
      <w:r>
        <w:rPr>
          <w:rFonts w:hint="default" w:ascii="宋体" w:hAnsi="宋体" w:eastAsia="宋体" w:cstheme="minorBidi"/>
          <w:b w:val="0"/>
          <w:bCs w:val="0"/>
          <w:color w:val="auto"/>
          <w:kern w:val="2"/>
          <w:sz w:val="21"/>
          <w:szCs w:val="24"/>
          <w:highlight w:val="none"/>
          <w:u w:val="none"/>
          <w:lang w:val="en-US" w:eastAsia="zh-CN" w:bidi="ar-SA"/>
        </w:rPr>
        <w:t>投标时选用的材料如不符合工程规范和设计要求，施工时必须予以更换，但材料价格及涉及的其它费用均不做调整。</w:t>
      </w:r>
    </w:p>
    <w:p w14:paraId="12F2F4FC">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5.其他要求</w:t>
      </w:r>
    </w:p>
    <w:p w14:paraId="7E9AA39F">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5.1拆除的材料、管道</w:t>
      </w:r>
      <w:r>
        <w:rPr>
          <w:rFonts w:hint="eastAsia" w:ascii="宋体" w:hAnsi="宋体" w:eastAsia="宋体" w:cstheme="minorBidi"/>
          <w:b w:val="0"/>
          <w:bCs w:val="0"/>
          <w:color w:val="auto"/>
          <w:kern w:val="2"/>
          <w:sz w:val="21"/>
          <w:szCs w:val="24"/>
          <w:highlight w:val="none"/>
          <w:u w:val="none"/>
          <w:lang w:val="en-US" w:eastAsia="zh-CN" w:bidi="ar-SA"/>
        </w:rPr>
        <w:t>、设备</w:t>
      </w:r>
      <w:r>
        <w:rPr>
          <w:rFonts w:hint="default" w:ascii="宋体" w:hAnsi="宋体" w:eastAsia="宋体" w:cstheme="minorBidi"/>
          <w:b w:val="0"/>
          <w:bCs w:val="0"/>
          <w:color w:val="auto"/>
          <w:kern w:val="2"/>
          <w:sz w:val="21"/>
          <w:szCs w:val="24"/>
          <w:highlight w:val="none"/>
          <w:u w:val="none"/>
          <w:lang w:val="en-US" w:eastAsia="zh-CN" w:bidi="ar-SA"/>
        </w:rPr>
        <w:t>等的处置权归招标人所有。拆除后，需经招标人确认后再进行处置，如经招标人确认不需中标人弃运的，据实结算。</w:t>
      </w:r>
    </w:p>
    <w:p w14:paraId="7CEA2454">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5.2对于建筑物内不需拆除修缮部分（石材、楼梯扶手等无需更换部分），施工单位负责照管。在项目施工期间，因施工单位原因造成损坏的，由施工单位负责修复或更换，并承担由此增加的费用和（或）延误的工期。</w:t>
      </w:r>
    </w:p>
    <w:p w14:paraId="0CA121BC">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6.现场管理</w:t>
      </w:r>
    </w:p>
    <w:p w14:paraId="5E993DF9">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6.1安全与成品保护：施工区域须设置封闭围挡与安全警示标识，对原有保留设施、办公设备采取可靠的成品保护措施，造成损坏的由中标人全额赔偿。</w:t>
      </w:r>
    </w:p>
    <w:p w14:paraId="49C4693D">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6.2安全文明施工：严格执行辽宁省建筑施工安全文明施工管理规定，落实农民工工资专用账户、实名制管理要求，杜绝拖欠农民工工资行为。</w:t>
      </w:r>
    </w:p>
    <w:p w14:paraId="69D74091">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6.3变更管理：所有设计变更</w:t>
      </w:r>
      <w:r>
        <w:rPr>
          <w:rFonts w:hint="eastAsia" w:ascii="宋体" w:hAnsi="宋体" w:cstheme="minorBidi"/>
          <w:b w:val="0"/>
          <w:bCs w:val="0"/>
          <w:color w:val="auto"/>
          <w:kern w:val="2"/>
          <w:sz w:val="21"/>
          <w:szCs w:val="24"/>
          <w:highlight w:val="none"/>
          <w:u w:val="none"/>
          <w:lang w:val="en-US" w:eastAsia="zh-CN" w:bidi="ar-SA"/>
        </w:rPr>
        <w:t>均</w:t>
      </w:r>
      <w:r>
        <w:rPr>
          <w:rFonts w:hint="default" w:ascii="宋体" w:hAnsi="宋体" w:eastAsia="宋体" w:cstheme="minorBidi"/>
          <w:b w:val="0"/>
          <w:bCs w:val="0"/>
          <w:color w:val="auto"/>
          <w:kern w:val="2"/>
          <w:sz w:val="21"/>
          <w:szCs w:val="24"/>
          <w:highlight w:val="none"/>
          <w:u w:val="none"/>
          <w:lang w:val="en-US" w:eastAsia="zh-CN" w:bidi="ar-SA"/>
        </w:rPr>
        <w:t>须经建设单位、监理单位、设计单位共同签字确认后方可实施，严禁擅自变更施工内容。</w:t>
      </w:r>
    </w:p>
    <w:p w14:paraId="4D1AD114">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7.质量验收标准</w:t>
      </w:r>
    </w:p>
    <w:p w14:paraId="4B7FA456">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7.1执行国家现行《建筑工程施工质量验收统一标准》（GB50300-2013）及各专业验收规范；执行辽宁省、营口市地方工程建设标准及质量监督管理规定；</w:t>
      </w:r>
    </w:p>
    <w:p w14:paraId="405D8434">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7.2工程质量标准必须符合现行国家有关工程施工质量验收规范和标准的要求。</w:t>
      </w:r>
    </w:p>
    <w:p w14:paraId="57F20452">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7.3有关工程质量的特殊标准或要求由合同当事人在专用合同条款中约定。发包人应按合同约定及时组织竣工验收。</w:t>
      </w:r>
    </w:p>
    <w:p w14:paraId="62A13666">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8.验收要求</w:t>
      </w:r>
    </w:p>
    <w:p w14:paraId="57542F1F">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8.1隐蔽工程须在隐蔽前通知建设单位、监理单位共同验收，验收合格并签字确认后方可进行下一道工序施工；未经验收擅自隐蔽的，建设单位有权要求剥露检查，费用由承包人承担。</w:t>
      </w:r>
    </w:p>
    <w:p w14:paraId="69E806EC">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8.2分部分项工程完成后，按规范进行检验批验收，验收合格后方可进入下一工序。</w:t>
      </w:r>
    </w:p>
    <w:p w14:paraId="660EACF8">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8.3工程竣工后，按规定完成消防、特种设备等专项验收，取得合格证明文件后方可办理竣工验收。</w:t>
      </w:r>
    </w:p>
    <w:p w14:paraId="63101C5D">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8.4竣工验收时须提供完整的竣工资料，包括竣工图纸、隐蔽验收记录、材料合格证、检测报告、各专业验收记录等。</w:t>
      </w:r>
    </w:p>
    <w:p w14:paraId="4468B3E8">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2" w:firstLineChars="200"/>
        <w:jc w:val="left"/>
        <w:textAlignment w:val="auto"/>
        <w:outlineLvl w:val="1"/>
        <w:rPr>
          <w:rFonts w:hint="default" w:ascii="宋体" w:hAnsi="宋体" w:eastAsia="宋体" w:cstheme="minorBidi"/>
          <w:b/>
          <w:bCs/>
          <w:color w:val="auto"/>
          <w:kern w:val="2"/>
          <w:sz w:val="21"/>
          <w:szCs w:val="24"/>
          <w:highlight w:val="none"/>
          <w:u w:val="none"/>
          <w:lang w:val="en-US" w:eastAsia="zh-CN" w:bidi="ar-SA"/>
        </w:rPr>
      </w:pPr>
      <w:bookmarkStart w:id="1976" w:name="_Toc20321"/>
      <w:r>
        <w:rPr>
          <w:rFonts w:hint="default" w:ascii="宋体" w:hAnsi="宋体" w:eastAsia="宋体" w:cstheme="minorBidi"/>
          <w:b/>
          <w:bCs/>
          <w:color w:val="auto"/>
          <w:kern w:val="2"/>
          <w:sz w:val="21"/>
          <w:szCs w:val="24"/>
          <w:highlight w:val="none"/>
          <w:u w:val="none"/>
          <w:lang w:val="en-US" w:eastAsia="zh-CN" w:bidi="ar-SA"/>
        </w:rPr>
        <w:t>第二节特殊技术标准和要求（本项目不采用）</w:t>
      </w:r>
      <w:bookmarkEnd w:id="1976"/>
    </w:p>
    <w:p w14:paraId="43C0AD3D">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2" w:firstLineChars="200"/>
        <w:jc w:val="left"/>
        <w:textAlignment w:val="auto"/>
        <w:outlineLvl w:val="1"/>
        <w:rPr>
          <w:rFonts w:hint="default" w:ascii="宋体" w:hAnsi="宋体" w:eastAsia="宋体" w:cstheme="minorBidi"/>
          <w:b/>
          <w:bCs/>
          <w:color w:val="auto"/>
          <w:kern w:val="2"/>
          <w:sz w:val="21"/>
          <w:szCs w:val="24"/>
          <w:highlight w:val="none"/>
          <w:u w:val="none"/>
          <w:lang w:val="en-US" w:eastAsia="zh-CN" w:bidi="ar-SA"/>
        </w:rPr>
      </w:pPr>
      <w:bookmarkStart w:id="1977" w:name="_Toc4616"/>
      <w:r>
        <w:rPr>
          <w:rFonts w:hint="default" w:ascii="宋体" w:hAnsi="宋体" w:eastAsia="宋体" w:cstheme="minorBidi"/>
          <w:b/>
          <w:bCs/>
          <w:color w:val="auto"/>
          <w:kern w:val="2"/>
          <w:sz w:val="21"/>
          <w:szCs w:val="24"/>
          <w:highlight w:val="none"/>
          <w:u w:val="none"/>
          <w:lang w:val="en-US" w:eastAsia="zh-CN" w:bidi="ar-SA"/>
        </w:rPr>
        <w:t>第三节适用的国家、行业以及地方规范、标准和规程</w:t>
      </w:r>
      <w:bookmarkEnd w:id="1977"/>
    </w:p>
    <w:p w14:paraId="12420347">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承包人应遵照下列（但不限于）技术标准、规程和规范，下列技术标准、规程和规范如有更新版本的，遵照新版本执行。</w:t>
      </w:r>
    </w:p>
    <w:p w14:paraId="2EBD1F25">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《工程建设强制性条文》</w:t>
      </w:r>
    </w:p>
    <w:p w14:paraId="12EA6825">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《工程测量通用规范》</w:t>
      </w:r>
      <w:r>
        <w:rPr>
          <w:rFonts w:hint="eastAsia" w:ascii="宋体" w:hAnsi="宋体" w:cstheme="minorBidi"/>
          <w:b w:val="0"/>
          <w:bCs w:val="0"/>
          <w:color w:val="auto"/>
          <w:kern w:val="2"/>
          <w:sz w:val="21"/>
          <w:szCs w:val="24"/>
          <w:highlight w:val="none"/>
          <w:u w:val="none"/>
          <w:lang w:val="en-US" w:eastAsia="zh-CN" w:bidi="ar-SA"/>
        </w:rPr>
        <w:t>（</w:t>
      </w:r>
      <w:r>
        <w:rPr>
          <w:rFonts w:hint="default" w:ascii="宋体" w:hAnsi="宋体" w:eastAsia="宋体" w:cstheme="minorBidi"/>
          <w:b w:val="0"/>
          <w:bCs w:val="0"/>
          <w:color w:val="auto"/>
          <w:kern w:val="2"/>
          <w:sz w:val="21"/>
          <w:szCs w:val="24"/>
          <w:highlight w:val="none"/>
          <w:u w:val="none"/>
          <w:lang w:val="en-US" w:eastAsia="zh-CN" w:bidi="ar-SA"/>
        </w:rPr>
        <w:t>‌GB55018-2021</w:t>
      </w:r>
      <w:r>
        <w:rPr>
          <w:rFonts w:hint="eastAsia" w:ascii="宋体" w:hAnsi="宋体" w:cstheme="minorBidi"/>
          <w:b w:val="0"/>
          <w:bCs w:val="0"/>
          <w:color w:val="auto"/>
          <w:kern w:val="2"/>
          <w:sz w:val="21"/>
          <w:szCs w:val="24"/>
          <w:highlight w:val="none"/>
          <w:u w:val="none"/>
          <w:lang w:val="en-US" w:eastAsia="zh-CN" w:bidi="ar-SA"/>
        </w:rPr>
        <w:t>）</w:t>
      </w:r>
    </w:p>
    <w:p w14:paraId="78839265">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《建筑工程施工质量验收统一标准》（GB50300-2013）</w:t>
      </w:r>
    </w:p>
    <w:p w14:paraId="57F44006">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《工程建设施工企业质量管理规范》</w:t>
      </w:r>
      <w:r>
        <w:rPr>
          <w:rFonts w:hint="eastAsia" w:ascii="宋体" w:hAnsi="宋体" w:cstheme="minorBidi"/>
          <w:b w:val="0"/>
          <w:bCs w:val="0"/>
          <w:color w:val="auto"/>
          <w:kern w:val="2"/>
          <w:sz w:val="21"/>
          <w:szCs w:val="24"/>
          <w:highlight w:val="none"/>
          <w:u w:val="none"/>
          <w:lang w:val="en-US" w:eastAsia="zh-CN" w:bidi="ar-SA"/>
        </w:rPr>
        <w:t>（</w:t>
      </w:r>
      <w:r>
        <w:rPr>
          <w:rFonts w:hint="default" w:ascii="宋体" w:hAnsi="宋体" w:eastAsia="宋体" w:cstheme="minorBidi"/>
          <w:b w:val="0"/>
          <w:bCs w:val="0"/>
          <w:color w:val="auto"/>
          <w:kern w:val="2"/>
          <w:sz w:val="21"/>
          <w:szCs w:val="24"/>
          <w:highlight w:val="none"/>
          <w:u w:val="none"/>
          <w:lang w:val="en-US" w:eastAsia="zh-CN" w:bidi="ar-SA"/>
        </w:rPr>
        <w:t>GB/T50430-2017</w:t>
      </w:r>
      <w:r>
        <w:rPr>
          <w:rFonts w:hint="eastAsia" w:ascii="宋体" w:hAnsi="宋体" w:cstheme="minorBidi"/>
          <w:b w:val="0"/>
          <w:bCs w:val="0"/>
          <w:color w:val="auto"/>
          <w:kern w:val="2"/>
          <w:sz w:val="21"/>
          <w:szCs w:val="24"/>
          <w:highlight w:val="none"/>
          <w:u w:val="none"/>
          <w:lang w:val="en-US" w:eastAsia="zh-CN" w:bidi="ar-SA"/>
        </w:rPr>
        <w:t>）</w:t>
      </w:r>
    </w:p>
    <w:p w14:paraId="582CA19B">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《建筑装饰装修工程质量验收规范》（GB50210-2018）</w:t>
      </w:r>
    </w:p>
    <w:p w14:paraId="62B9A421">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《建筑内部装修防火施工及验收规范（GB50354-2005）</w:t>
      </w:r>
    </w:p>
    <w:p w14:paraId="46A9AFCF">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《混凝土结构工程施工质量验收规范》</w:t>
      </w:r>
      <w:r>
        <w:rPr>
          <w:rFonts w:hint="eastAsia" w:ascii="宋体" w:hAnsi="宋体" w:cstheme="minorBidi"/>
          <w:b w:val="0"/>
          <w:bCs w:val="0"/>
          <w:color w:val="auto"/>
          <w:kern w:val="2"/>
          <w:sz w:val="21"/>
          <w:szCs w:val="24"/>
          <w:highlight w:val="none"/>
          <w:u w:val="none"/>
          <w:lang w:val="en-US" w:eastAsia="zh-CN" w:bidi="ar-SA"/>
        </w:rPr>
        <w:t>（</w:t>
      </w:r>
      <w:r>
        <w:rPr>
          <w:rFonts w:hint="default" w:ascii="宋体" w:hAnsi="宋体" w:eastAsia="宋体" w:cstheme="minorBidi"/>
          <w:b w:val="0"/>
          <w:bCs w:val="0"/>
          <w:color w:val="auto"/>
          <w:kern w:val="2"/>
          <w:sz w:val="21"/>
          <w:szCs w:val="24"/>
          <w:highlight w:val="none"/>
          <w:u w:val="none"/>
          <w:lang w:val="en-US" w:eastAsia="zh-CN" w:bidi="ar-SA"/>
        </w:rPr>
        <w:t>GB50204-2015</w:t>
      </w:r>
      <w:r>
        <w:rPr>
          <w:rFonts w:hint="eastAsia" w:ascii="宋体" w:hAnsi="宋体" w:cstheme="minorBidi"/>
          <w:b w:val="0"/>
          <w:bCs w:val="0"/>
          <w:color w:val="auto"/>
          <w:kern w:val="2"/>
          <w:sz w:val="21"/>
          <w:szCs w:val="24"/>
          <w:highlight w:val="none"/>
          <w:u w:val="none"/>
          <w:lang w:val="en-US" w:eastAsia="zh-CN" w:bidi="ar-SA"/>
        </w:rPr>
        <w:t>）</w:t>
      </w:r>
    </w:p>
    <w:p w14:paraId="026AA571">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《建筑涂饰工程施工及验收规范》（JGJ/T29-20</w:t>
      </w:r>
      <w:r>
        <w:rPr>
          <w:rFonts w:hint="eastAsia" w:ascii="宋体" w:hAnsi="宋体" w:cstheme="minorBidi"/>
          <w:b w:val="0"/>
          <w:bCs w:val="0"/>
          <w:color w:val="auto"/>
          <w:kern w:val="2"/>
          <w:sz w:val="21"/>
          <w:szCs w:val="24"/>
          <w:highlight w:val="green"/>
          <w:u w:val="none"/>
          <w:lang w:val="en-US" w:eastAsia="zh-CN" w:bidi="ar-SA"/>
        </w:rPr>
        <w:t>15</w:t>
      </w:r>
      <w:r>
        <w:rPr>
          <w:rFonts w:hint="default" w:ascii="宋体" w:hAnsi="宋体" w:eastAsia="宋体" w:cstheme="minorBidi"/>
          <w:b w:val="0"/>
          <w:bCs w:val="0"/>
          <w:color w:val="auto"/>
          <w:kern w:val="2"/>
          <w:sz w:val="21"/>
          <w:szCs w:val="24"/>
          <w:highlight w:val="none"/>
          <w:u w:val="none"/>
          <w:lang w:val="en-US" w:eastAsia="zh-CN" w:bidi="ar-SA"/>
        </w:rPr>
        <w:t>）</w:t>
      </w:r>
    </w:p>
    <w:p w14:paraId="4B8EF22E">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《公共建筑</w:t>
      </w:r>
      <w:r>
        <w:rPr>
          <w:rFonts w:hint="eastAsia" w:ascii="宋体" w:hAnsi="宋体" w:cstheme="minorBidi"/>
          <w:b w:val="0"/>
          <w:bCs w:val="0"/>
          <w:color w:val="auto"/>
          <w:kern w:val="2"/>
          <w:sz w:val="21"/>
          <w:szCs w:val="24"/>
          <w:highlight w:val="none"/>
          <w:u w:val="none"/>
          <w:lang w:val="en-US" w:eastAsia="zh-CN" w:bidi="ar-SA"/>
        </w:rPr>
        <w:t>节</w:t>
      </w:r>
      <w:r>
        <w:rPr>
          <w:rFonts w:hint="default" w:ascii="宋体" w:hAnsi="宋体" w:eastAsia="宋体" w:cstheme="minorBidi"/>
          <w:b w:val="0"/>
          <w:bCs w:val="0"/>
          <w:color w:val="auto"/>
          <w:kern w:val="2"/>
          <w:sz w:val="21"/>
          <w:szCs w:val="24"/>
          <w:highlight w:val="none"/>
          <w:u w:val="none"/>
          <w:lang w:val="en-US" w:eastAsia="zh-CN" w:bidi="ar-SA"/>
        </w:rPr>
        <w:t>能设计标准》</w:t>
      </w:r>
      <w:r>
        <w:rPr>
          <w:rFonts w:hint="eastAsia" w:ascii="宋体" w:hAnsi="宋体" w:cstheme="minorBidi"/>
          <w:b w:val="0"/>
          <w:bCs w:val="0"/>
          <w:color w:val="auto"/>
          <w:kern w:val="2"/>
          <w:sz w:val="21"/>
          <w:szCs w:val="24"/>
          <w:highlight w:val="none"/>
          <w:u w:val="none"/>
          <w:lang w:val="en-US" w:eastAsia="zh-CN" w:bidi="ar-SA"/>
        </w:rPr>
        <w:t>（</w:t>
      </w:r>
      <w:r>
        <w:rPr>
          <w:rFonts w:hint="default" w:ascii="宋体" w:hAnsi="宋体" w:eastAsia="宋体" w:cstheme="minorBidi"/>
          <w:b w:val="0"/>
          <w:bCs w:val="0"/>
          <w:color w:val="auto"/>
          <w:kern w:val="2"/>
          <w:sz w:val="21"/>
          <w:szCs w:val="24"/>
          <w:highlight w:val="none"/>
          <w:u w:val="none"/>
          <w:lang w:val="en-US" w:eastAsia="zh-CN" w:bidi="ar-SA"/>
        </w:rPr>
        <w:t>GB 50189-2015</w:t>
      </w:r>
      <w:r>
        <w:rPr>
          <w:rFonts w:hint="eastAsia" w:ascii="宋体" w:hAnsi="宋体" w:cstheme="minorBidi"/>
          <w:b w:val="0"/>
          <w:bCs w:val="0"/>
          <w:color w:val="auto"/>
          <w:kern w:val="2"/>
          <w:sz w:val="21"/>
          <w:szCs w:val="24"/>
          <w:highlight w:val="none"/>
          <w:u w:val="none"/>
          <w:lang w:val="en-US" w:eastAsia="zh-CN" w:bidi="ar-SA"/>
        </w:rPr>
        <w:t>）</w:t>
      </w:r>
    </w:p>
    <w:p w14:paraId="2B7B093F">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《建筑内部装修设计防火规范》</w:t>
      </w:r>
      <w:r>
        <w:rPr>
          <w:rFonts w:hint="eastAsia" w:ascii="宋体" w:hAnsi="宋体" w:cstheme="minorBidi"/>
          <w:b w:val="0"/>
          <w:bCs w:val="0"/>
          <w:color w:val="auto"/>
          <w:kern w:val="2"/>
          <w:sz w:val="21"/>
          <w:szCs w:val="24"/>
          <w:highlight w:val="none"/>
          <w:u w:val="none"/>
          <w:lang w:val="en-US" w:eastAsia="zh-CN" w:bidi="ar-SA"/>
        </w:rPr>
        <w:t>（</w:t>
      </w:r>
      <w:r>
        <w:rPr>
          <w:rFonts w:hint="default" w:ascii="宋体" w:hAnsi="宋体" w:eastAsia="宋体" w:cstheme="minorBidi"/>
          <w:b w:val="0"/>
          <w:bCs w:val="0"/>
          <w:color w:val="auto"/>
          <w:kern w:val="2"/>
          <w:sz w:val="21"/>
          <w:szCs w:val="24"/>
          <w:highlight w:val="none"/>
          <w:u w:val="none"/>
          <w:lang w:val="en-US" w:eastAsia="zh-CN" w:bidi="ar-SA"/>
        </w:rPr>
        <w:t>GB50222-2017</w:t>
      </w:r>
      <w:r>
        <w:rPr>
          <w:rFonts w:hint="eastAsia" w:ascii="宋体" w:hAnsi="宋体" w:cstheme="minorBidi"/>
          <w:b w:val="0"/>
          <w:bCs w:val="0"/>
          <w:color w:val="auto"/>
          <w:kern w:val="2"/>
          <w:sz w:val="21"/>
          <w:szCs w:val="24"/>
          <w:highlight w:val="none"/>
          <w:u w:val="none"/>
          <w:lang w:val="en-US" w:eastAsia="zh-CN" w:bidi="ar-SA"/>
        </w:rPr>
        <w:t>）</w:t>
      </w:r>
    </w:p>
    <w:p w14:paraId="562FD5AF">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《建筑设计防火规范》（GB50016-2014</w:t>
      </w:r>
      <w:r>
        <w:rPr>
          <w:rFonts w:hint="eastAsia" w:ascii="宋体" w:hAnsi="宋体" w:cstheme="minorBidi"/>
          <w:b w:val="0"/>
          <w:bCs w:val="0"/>
          <w:color w:val="auto"/>
          <w:kern w:val="2"/>
          <w:sz w:val="21"/>
          <w:szCs w:val="24"/>
          <w:highlight w:val="none"/>
          <w:u w:val="none"/>
          <w:lang w:val="en-US" w:eastAsia="zh-CN" w:bidi="ar-SA"/>
        </w:rPr>
        <w:t>（</w:t>
      </w:r>
      <w:r>
        <w:rPr>
          <w:rFonts w:hint="default" w:ascii="宋体" w:hAnsi="宋体" w:eastAsia="宋体" w:cstheme="minorBidi"/>
          <w:b w:val="0"/>
          <w:bCs w:val="0"/>
          <w:color w:val="auto"/>
          <w:kern w:val="2"/>
          <w:sz w:val="21"/>
          <w:szCs w:val="24"/>
          <w:highlight w:val="none"/>
          <w:u w:val="none"/>
          <w:lang w:val="en-US" w:eastAsia="zh-CN" w:bidi="ar-SA"/>
        </w:rPr>
        <w:t>2018版</w:t>
      </w:r>
      <w:r>
        <w:rPr>
          <w:rFonts w:hint="eastAsia" w:ascii="宋体" w:hAnsi="宋体" w:cstheme="minorBidi"/>
          <w:b w:val="0"/>
          <w:bCs w:val="0"/>
          <w:color w:val="auto"/>
          <w:kern w:val="2"/>
          <w:sz w:val="21"/>
          <w:szCs w:val="24"/>
          <w:highlight w:val="none"/>
          <w:u w:val="none"/>
          <w:lang w:val="en-US" w:eastAsia="zh-CN" w:bidi="ar-SA"/>
        </w:rPr>
        <w:t>）</w:t>
      </w:r>
    </w:p>
    <w:p w14:paraId="74833434">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《火灾自动报警系统施工及验收标准》GB 50166-2019</w:t>
      </w:r>
    </w:p>
    <w:p w14:paraId="4A0E85D1">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《自动喷水灭火系统施工及验收规范》GB 50261-2017</w:t>
      </w:r>
    </w:p>
    <w:p w14:paraId="76197EF1">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《消防应急照明和疏散指示系统技术标准》</w:t>
      </w:r>
      <w:r>
        <w:rPr>
          <w:rFonts w:hint="eastAsia" w:ascii="宋体" w:hAnsi="宋体" w:cstheme="minorBidi"/>
          <w:b w:val="0"/>
          <w:bCs w:val="0"/>
          <w:color w:val="auto"/>
          <w:kern w:val="2"/>
          <w:sz w:val="21"/>
          <w:szCs w:val="24"/>
          <w:highlight w:val="none"/>
          <w:u w:val="none"/>
          <w:lang w:val="en-US" w:eastAsia="zh-CN" w:bidi="ar-SA"/>
        </w:rPr>
        <w:t>（</w:t>
      </w:r>
      <w:r>
        <w:rPr>
          <w:rFonts w:hint="default" w:ascii="宋体" w:hAnsi="宋体" w:eastAsia="宋体" w:cstheme="minorBidi"/>
          <w:b w:val="0"/>
          <w:bCs w:val="0"/>
          <w:color w:val="auto"/>
          <w:kern w:val="2"/>
          <w:sz w:val="21"/>
          <w:szCs w:val="24"/>
          <w:highlight w:val="none"/>
          <w:u w:val="none"/>
          <w:lang w:val="en-US" w:eastAsia="zh-CN" w:bidi="ar-SA"/>
        </w:rPr>
        <w:t>GB51309-2018</w:t>
      </w:r>
      <w:r>
        <w:rPr>
          <w:rFonts w:hint="eastAsia" w:ascii="宋体" w:hAnsi="宋体" w:cstheme="minorBidi"/>
          <w:b w:val="0"/>
          <w:bCs w:val="0"/>
          <w:color w:val="auto"/>
          <w:kern w:val="2"/>
          <w:sz w:val="21"/>
          <w:szCs w:val="24"/>
          <w:highlight w:val="none"/>
          <w:u w:val="none"/>
          <w:lang w:val="en-US" w:eastAsia="zh-CN" w:bidi="ar-SA"/>
        </w:rPr>
        <w:t>）</w:t>
      </w:r>
    </w:p>
    <w:p w14:paraId="3206B2C0">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《民用建筑节水设计标准》（GB50555-2010）</w:t>
      </w:r>
    </w:p>
    <w:p w14:paraId="2B56589C">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《建设工程项目管理规范》GB/T 50326-2017</w:t>
      </w:r>
    </w:p>
    <w:p w14:paraId="2D567845">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《建筑工程冬期施工规程》JGJ/T 104-2011</w:t>
      </w:r>
    </w:p>
    <w:p w14:paraId="66F35638">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《建设工程文件归档规范》GB/T 50328-2014</w:t>
      </w:r>
    </w:p>
    <w:p w14:paraId="14663AAC">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《屋面工程质量验收规范》GB 50207-2012</w:t>
      </w:r>
    </w:p>
    <w:p w14:paraId="6D808ADE">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《建筑给水排水及采暖工程施工质量验收规范》GB 50242-20</w:t>
      </w:r>
      <w:r>
        <w:rPr>
          <w:rFonts w:hint="eastAsia" w:ascii="宋体" w:hAnsi="宋体" w:cstheme="minorBidi"/>
          <w:b w:val="0"/>
          <w:bCs w:val="0"/>
          <w:color w:val="auto"/>
          <w:kern w:val="2"/>
          <w:sz w:val="21"/>
          <w:szCs w:val="24"/>
          <w:highlight w:val="green"/>
          <w:u w:val="none"/>
          <w:lang w:val="en-US" w:eastAsia="zh-CN" w:bidi="ar-SA"/>
        </w:rPr>
        <w:t>19</w:t>
      </w:r>
    </w:p>
    <w:p w14:paraId="7B068796">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《节水型卫生洁具》GB/T 31436-2015</w:t>
      </w:r>
    </w:p>
    <w:p w14:paraId="0F15712B">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《建筑电气工程施工质量验收规范》GB 50303-2015</w:t>
      </w:r>
    </w:p>
    <w:p w14:paraId="31A1DE04">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《建筑照明设计标准》GB 50034-20</w:t>
      </w:r>
      <w:r>
        <w:rPr>
          <w:rFonts w:hint="eastAsia" w:ascii="宋体" w:hAnsi="宋体" w:cstheme="minorBidi"/>
          <w:b w:val="0"/>
          <w:bCs w:val="0"/>
          <w:color w:val="auto"/>
          <w:kern w:val="2"/>
          <w:sz w:val="21"/>
          <w:szCs w:val="24"/>
          <w:highlight w:val="green"/>
          <w:u w:val="none"/>
          <w:lang w:val="en-US" w:eastAsia="zh-CN" w:bidi="ar-SA"/>
        </w:rPr>
        <w:t>24</w:t>
      </w:r>
    </w:p>
    <w:p w14:paraId="28095DC0">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《综合布线系统工程验收规范》GB/T 50312-2016</w:t>
      </w:r>
    </w:p>
    <w:p w14:paraId="47243076">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《电子信息系统机房施工及验收规范》GB 50462-20</w:t>
      </w:r>
      <w:r>
        <w:rPr>
          <w:rFonts w:hint="eastAsia" w:ascii="宋体" w:hAnsi="宋体" w:cstheme="minorBidi"/>
          <w:b w:val="0"/>
          <w:bCs w:val="0"/>
          <w:color w:val="auto"/>
          <w:kern w:val="2"/>
          <w:sz w:val="21"/>
          <w:szCs w:val="24"/>
          <w:highlight w:val="green"/>
          <w:u w:val="none"/>
          <w:lang w:val="en-US" w:eastAsia="zh-CN" w:bidi="ar-SA"/>
        </w:rPr>
        <w:t>24</w:t>
      </w:r>
    </w:p>
    <w:p w14:paraId="04D4ED30">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《通风与空调工程施工质量验收规范》GB 50243-2016</w:t>
      </w:r>
    </w:p>
    <w:p w14:paraId="16F11B81">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《通风与空调工程施工规范》GB 50738-2011</w:t>
      </w:r>
    </w:p>
    <w:p w14:paraId="4D8C5404">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《房间空气调节器能效限定值及能效等级》GB 21455-2019</w:t>
      </w:r>
    </w:p>
    <w:p w14:paraId="7CECA771">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（三）安全生产规范、规程与标准</w:t>
      </w:r>
    </w:p>
    <w:p w14:paraId="1632FB19">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《建筑施工企业安全生产管理规范》（GB50656-2011）</w:t>
      </w:r>
    </w:p>
    <w:p w14:paraId="114286B8">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《建筑施工安全技术统一规范》</w:t>
      </w:r>
      <w:r>
        <w:rPr>
          <w:rFonts w:hint="eastAsia" w:ascii="宋体" w:hAnsi="宋体" w:cstheme="minorBidi"/>
          <w:b w:val="0"/>
          <w:bCs w:val="0"/>
          <w:color w:val="auto"/>
          <w:kern w:val="2"/>
          <w:sz w:val="21"/>
          <w:szCs w:val="24"/>
          <w:highlight w:val="none"/>
          <w:u w:val="none"/>
          <w:lang w:val="en-US" w:eastAsia="zh-CN" w:bidi="ar-SA"/>
        </w:rPr>
        <w:t>（</w:t>
      </w:r>
      <w:r>
        <w:rPr>
          <w:rFonts w:hint="default" w:ascii="宋体" w:hAnsi="宋体" w:eastAsia="宋体" w:cstheme="minorBidi"/>
          <w:b w:val="0"/>
          <w:bCs w:val="0"/>
          <w:color w:val="auto"/>
          <w:kern w:val="2"/>
          <w:sz w:val="21"/>
          <w:szCs w:val="24"/>
          <w:highlight w:val="none"/>
          <w:u w:val="none"/>
          <w:lang w:val="en-US" w:eastAsia="zh-CN" w:bidi="ar-SA"/>
        </w:rPr>
        <w:t>GB50870—2013</w:t>
      </w:r>
      <w:r>
        <w:rPr>
          <w:rFonts w:hint="eastAsia" w:ascii="宋体" w:hAnsi="宋体" w:cstheme="minorBidi"/>
          <w:b w:val="0"/>
          <w:bCs w:val="0"/>
          <w:color w:val="auto"/>
          <w:kern w:val="2"/>
          <w:sz w:val="21"/>
          <w:szCs w:val="24"/>
          <w:highlight w:val="none"/>
          <w:u w:val="none"/>
          <w:lang w:val="en-US" w:eastAsia="zh-CN" w:bidi="ar-SA"/>
        </w:rPr>
        <w:t>）</w:t>
      </w:r>
    </w:p>
    <w:p w14:paraId="23F7495D">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《建筑机械使用安全技术规程》（JGB33-2012）</w:t>
      </w:r>
    </w:p>
    <w:p w14:paraId="2883F243">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green"/>
          <w:u w:val="none"/>
          <w:lang w:val="en-US" w:eastAsia="zh-CN" w:bidi="ar-SA"/>
        </w:rPr>
        <w:t>《建设工程施工现场消防安全技术标准》‌GB/T 50720-2011（2025 年版）</w:t>
      </w:r>
      <w:r>
        <w:rPr>
          <w:rFonts w:hint="default" w:ascii="宋体" w:hAnsi="宋体" w:eastAsia="宋体" w:cstheme="minorBidi"/>
          <w:b w:val="0"/>
          <w:bCs w:val="0"/>
          <w:color w:val="auto"/>
          <w:kern w:val="2"/>
          <w:sz w:val="21"/>
          <w:szCs w:val="24"/>
          <w:highlight w:val="none"/>
          <w:u w:val="none"/>
          <w:lang w:val="en-US" w:eastAsia="zh-CN" w:bidi="ar-SA"/>
        </w:rPr>
        <w:t>‌</w:t>
      </w:r>
    </w:p>
    <w:p w14:paraId="16332A80">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green"/>
          <w:u w:val="none"/>
          <w:lang w:val="en-US" w:eastAsia="zh-CN" w:bidi="ar-SA"/>
        </w:rPr>
      </w:pPr>
      <w:r>
        <w:rPr>
          <w:rFonts w:hint="default" w:ascii="宋体" w:hAnsi="宋体" w:eastAsia="宋体" w:cstheme="minorBidi"/>
          <w:b w:val="0"/>
          <w:bCs w:val="0"/>
          <w:color w:val="auto"/>
          <w:kern w:val="2"/>
          <w:sz w:val="21"/>
          <w:szCs w:val="24"/>
          <w:highlight w:val="green"/>
          <w:u w:val="none"/>
          <w:lang w:val="en-US" w:eastAsia="zh-CN" w:bidi="ar-SA"/>
        </w:rPr>
        <w:t>《建筑与市政工程施工现场临时用电安全技术标准》JGJ/T 46-2024</w:t>
      </w:r>
    </w:p>
    <w:p w14:paraId="13803186">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《建筑施工安全检查标准》JGJ 59-2011</w:t>
      </w:r>
    </w:p>
    <w:p w14:paraId="7DF4C1E6">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《建设工程施工现场环境与卫生标准》（JGJ146-2013）</w:t>
      </w:r>
    </w:p>
    <w:p w14:paraId="5F6400BC">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heme="minorBidi"/>
          <w:b w:val="0"/>
          <w:bCs w:val="0"/>
          <w:color w:val="auto"/>
          <w:kern w:val="2"/>
          <w:sz w:val="21"/>
          <w:szCs w:val="24"/>
          <w:highlight w:val="none"/>
          <w:u w:val="none"/>
          <w:lang w:val="en-US" w:eastAsia="zh-CN" w:bidi="ar-SA"/>
        </w:rPr>
      </w:pPr>
      <w:r>
        <w:rPr>
          <w:rFonts w:hint="default" w:ascii="宋体" w:hAnsi="宋体" w:eastAsia="宋体" w:cstheme="minorBidi"/>
          <w:b w:val="0"/>
          <w:bCs w:val="0"/>
          <w:color w:val="auto"/>
          <w:kern w:val="2"/>
          <w:sz w:val="21"/>
          <w:szCs w:val="24"/>
          <w:highlight w:val="none"/>
          <w:u w:val="none"/>
          <w:lang w:val="en-US" w:eastAsia="zh-CN" w:bidi="ar-SA"/>
        </w:rPr>
        <w:t>（四）上述规范、标准、规程仅是本工程建设的最基本要求，并未包括实施中所</w:t>
      </w:r>
      <w:r>
        <w:rPr>
          <w:rFonts w:hint="eastAsia" w:ascii="宋体" w:hAnsi="宋体" w:cstheme="minorBidi"/>
          <w:b w:val="0"/>
          <w:bCs w:val="0"/>
          <w:color w:val="auto"/>
          <w:kern w:val="2"/>
          <w:sz w:val="21"/>
          <w:szCs w:val="24"/>
          <w:highlight w:val="none"/>
          <w:u w:val="none"/>
          <w:lang w:val="en-US" w:eastAsia="zh-CN" w:bidi="ar-SA"/>
        </w:rPr>
        <w:t>涉及</w:t>
      </w:r>
      <w:r>
        <w:rPr>
          <w:rFonts w:hint="default" w:ascii="宋体" w:hAnsi="宋体" w:eastAsia="宋体" w:cstheme="minorBidi"/>
          <w:b w:val="0"/>
          <w:bCs w:val="0"/>
          <w:color w:val="auto"/>
          <w:kern w:val="2"/>
          <w:sz w:val="21"/>
          <w:szCs w:val="24"/>
          <w:highlight w:val="none"/>
          <w:u w:val="none"/>
          <w:lang w:val="en-US" w:eastAsia="zh-CN" w:bidi="ar-SA"/>
        </w:rPr>
        <w:t>的所有规定、标准和规程。当国家、行业、地方标准及税务系统行业规定不一致时，按要求较高者执行。在施工中对于上述未尽事宜，按国家和地方现行的规定执行。</w:t>
      </w:r>
      <w:r>
        <w:rPr>
          <w:rFonts w:hint="eastAsia"/>
          <w:color w:val="auto"/>
          <w:lang w:eastAsia="zh-CN"/>
        </w:rPr>
        <w:t>施工期间</w:t>
      </w:r>
      <w:r>
        <w:rPr>
          <w:rFonts w:hint="default" w:ascii="宋体" w:hAnsi="宋体" w:eastAsia="宋体" w:cstheme="minorBidi"/>
          <w:b w:val="0"/>
          <w:bCs w:val="0"/>
          <w:color w:val="auto"/>
          <w:kern w:val="2"/>
          <w:sz w:val="21"/>
          <w:szCs w:val="24"/>
          <w:highlight w:val="none"/>
          <w:u w:val="none"/>
          <w:lang w:val="en-US" w:eastAsia="zh-CN" w:bidi="ar-SA"/>
        </w:rPr>
        <w:t>如遇规范标准更新，以最新版本为准。投标人须在投标文件中明确承诺所使用的材料、设备及施工工艺均符合上述规范标准要求。</w:t>
      </w:r>
    </w:p>
    <w:p w14:paraId="18F5F03E">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cstheme="minorBidi"/>
          <w:b w:val="0"/>
          <w:bCs w:val="0"/>
          <w:color w:val="auto"/>
          <w:kern w:val="2"/>
          <w:sz w:val="21"/>
          <w:szCs w:val="24"/>
          <w:highlight w:val="none"/>
          <w:u w:val="none"/>
          <w:lang w:val="en-US" w:eastAsia="zh-CN" w:bidi="ar-SA"/>
        </w:rPr>
      </w:pPr>
      <w:r>
        <w:rPr>
          <w:rFonts w:hint="eastAsia" w:ascii="宋体" w:hAnsi="宋体" w:cstheme="minorBidi"/>
          <w:b w:val="0"/>
          <w:bCs w:val="0"/>
          <w:color w:val="auto"/>
          <w:kern w:val="2"/>
          <w:sz w:val="21"/>
          <w:szCs w:val="24"/>
          <w:highlight w:val="none"/>
          <w:u w:val="none"/>
          <w:lang w:val="en-US" w:eastAsia="zh-CN" w:bidi="ar-SA"/>
        </w:rPr>
        <w:t>第四节节能、环保产品</w:t>
      </w:r>
    </w:p>
    <w:p w14:paraId="57BC2AFF">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cstheme="minorBidi"/>
          <w:b w:val="0"/>
          <w:bCs w:val="0"/>
          <w:color w:val="auto"/>
          <w:kern w:val="2"/>
          <w:sz w:val="21"/>
          <w:szCs w:val="24"/>
          <w:highlight w:val="none"/>
          <w:u w:val="none"/>
          <w:lang w:val="en-US" w:eastAsia="zh-CN" w:bidi="ar-SA"/>
        </w:rPr>
      </w:pPr>
      <w:r>
        <w:rPr>
          <w:rFonts w:hint="eastAsia" w:ascii="宋体" w:hAnsi="宋体" w:cstheme="minorBidi"/>
          <w:b w:val="0"/>
          <w:bCs w:val="0"/>
          <w:color w:val="auto"/>
          <w:kern w:val="2"/>
          <w:sz w:val="21"/>
          <w:szCs w:val="24"/>
          <w:highlight w:val="none"/>
          <w:u w:val="none"/>
          <w:lang w:val="en-US" w:eastAsia="zh-CN" w:bidi="ar-SA"/>
        </w:rPr>
        <w:t>（一）强制采购的节能产品</w:t>
      </w:r>
    </w:p>
    <w:p w14:paraId="7DB530D1">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cstheme="minorBidi"/>
          <w:b w:val="0"/>
          <w:bCs w:val="0"/>
          <w:color w:val="auto"/>
          <w:kern w:val="2"/>
          <w:sz w:val="21"/>
          <w:szCs w:val="24"/>
          <w:highlight w:val="none"/>
          <w:u w:val="none"/>
          <w:lang w:val="en-US" w:eastAsia="zh-CN" w:bidi="ar-SA"/>
        </w:rPr>
      </w:pPr>
      <w:r>
        <w:rPr>
          <w:rFonts w:hint="eastAsia" w:ascii="宋体" w:hAnsi="宋体" w:cstheme="minorBidi"/>
          <w:b w:val="0"/>
          <w:bCs w:val="0"/>
          <w:color w:val="auto"/>
          <w:kern w:val="2"/>
          <w:sz w:val="21"/>
          <w:szCs w:val="24"/>
          <w:highlight w:val="none"/>
          <w:u w:val="none"/>
          <w:lang w:val="en-US" w:eastAsia="zh-CN" w:bidi="ar-SA"/>
        </w:rPr>
        <w:t>1.具体产品为：</w:t>
      </w:r>
    </w:p>
    <w:tbl>
      <w:tblPr>
        <w:tblStyle w:val="18"/>
        <w:tblW w:w="845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95"/>
        <w:gridCol w:w="1389"/>
        <w:gridCol w:w="5974"/>
      </w:tblGrid>
      <w:tr w14:paraId="5D8E5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8F45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38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BEFF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color w:val="auto"/>
              </w:rPr>
              <w:t>照明设备</w:t>
            </w:r>
          </w:p>
        </w:tc>
        <w:tc>
          <w:tcPr>
            <w:tcW w:w="5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F996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双管日光灯</w:t>
            </w:r>
          </w:p>
        </w:tc>
      </w:tr>
      <w:tr w14:paraId="263CE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A567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AB823">
            <w:pPr>
              <w:jc w:val="center"/>
              <w:rPr>
                <w:rFonts w:hint="eastAsia" w:ascii="宋体" w:hAnsi="宋体" w:eastAsia="宋体" w:cs="宋体"/>
                <w:i w:val="0"/>
                <w:iCs w:val="0"/>
                <w:color w:val="auto"/>
                <w:sz w:val="21"/>
                <w:szCs w:val="21"/>
                <w:u w:val="none"/>
              </w:rPr>
            </w:pPr>
          </w:p>
        </w:tc>
        <w:tc>
          <w:tcPr>
            <w:tcW w:w="5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E165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LED双管日光灯</w:t>
            </w:r>
          </w:p>
        </w:tc>
      </w:tr>
      <w:tr w14:paraId="6E282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CFDF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3DC14">
            <w:pPr>
              <w:jc w:val="center"/>
              <w:rPr>
                <w:rFonts w:hint="eastAsia" w:ascii="宋体" w:hAnsi="宋体" w:eastAsia="宋体" w:cs="宋体"/>
                <w:i w:val="0"/>
                <w:iCs w:val="0"/>
                <w:color w:val="auto"/>
                <w:sz w:val="21"/>
                <w:szCs w:val="21"/>
                <w:u w:val="none"/>
              </w:rPr>
            </w:pPr>
          </w:p>
        </w:tc>
        <w:tc>
          <w:tcPr>
            <w:tcW w:w="5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63CB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矩形吸顶灯（双管）</w:t>
            </w:r>
          </w:p>
        </w:tc>
      </w:tr>
      <w:tr w14:paraId="64B1F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7BA2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138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9BBC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空调机</w:t>
            </w:r>
          </w:p>
        </w:tc>
        <w:tc>
          <w:tcPr>
            <w:tcW w:w="5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AEF8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立式分体空调</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含室内室外机</w:t>
            </w:r>
            <w:r>
              <w:rPr>
                <w:rFonts w:hint="eastAsia" w:ascii="宋体" w:hAnsi="宋体" w:cs="宋体"/>
                <w:i w:val="0"/>
                <w:iCs w:val="0"/>
                <w:color w:val="auto"/>
                <w:kern w:val="0"/>
                <w:sz w:val="21"/>
                <w:szCs w:val="21"/>
                <w:u w:val="none"/>
                <w:lang w:val="en-US" w:eastAsia="zh-CN" w:bidi="ar"/>
              </w:rPr>
              <w:t>）</w:t>
            </w:r>
          </w:p>
        </w:tc>
      </w:tr>
      <w:tr w14:paraId="4348D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EFCC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08E7C">
            <w:pPr>
              <w:jc w:val="center"/>
              <w:rPr>
                <w:rFonts w:hint="eastAsia" w:ascii="宋体" w:hAnsi="宋体" w:eastAsia="宋体" w:cs="宋体"/>
                <w:i w:val="0"/>
                <w:iCs w:val="0"/>
                <w:color w:val="auto"/>
                <w:sz w:val="21"/>
                <w:szCs w:val="21"/>
                <w:u w:val="none"/>
              </w:rPr>
            </w:pPr>
          </w:p>
        </w:tc>
        <w:tc>
          <w:tcPr>
            <w:tcW w:w="5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6027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冷暖型立式分体空调</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含室内室外机</w:t>
            </w:r>
            <w:r>
              <w:rPr>
                <w:rFonts w:hint="eastAsia" w:ascii="宋体" w:hAnsi="宋体" w:cs="宋体"/>
                <w:i w:val="0"/>
                <w:iCs w:val="0"/>
                <w:color w:val="auto"/>
                <w:kern w:val="0"/>
                <w:sz w:val="21"/>
                <w:szCs w:val="21"/>
                <w:u w:val="none"/>
                <w:lang w:val="en-US" w:eastAsia="zh-CN" w:bidi="ar"/>
              </w:rPr>
              <w:t>）</w:t>
            </w:r>
          </w:p>
        </w:tc>
      </w:tr>
      <w:tr w14:paraId="36168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564F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6F1DA">
            <w:pPr>
              <w:jc w:val="center"/>
              <w:rPr>
                <w:rFonts w:hint="eastAsia" w:ascii="宋体" w:hAnsi="宋体" w:eastAsia="宋体" w:cs="宋体"/>
                <w:i w:val="0"/>
                <w:iCs w:val="0"/>
                <w:color w:val="auto"/>
                <w:sz w:val="21"/>
                <w:szCs w:val="21"/>
                <w:u w:val="none"/>
              </w:rPr>
            </w:pPr>
          </w:p>
        </w:tc>
        <w:tc>
          <w:tcPr>
            <w:tcW w:w="5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568F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立式分体空调</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含室内室外机</w:t>
            </w:r>
            <w:r>
              <w:rPr>
                <w:rFonts w:hint="eastAsia" w:ascii="宋体" w:hAnsi="宋体" w:cs="宋体"/>
                <w:i w:val="0"/>
                <w:iCs w:val="0"/>
                <w:color w:val="auto"/>
                <w:kern w:val="0"/>
                <w:sz w:val="21"/>
                <w:szCs w:val="21"/>
                <w:u w:val="none"/>
                <w:lang w:val="en-US" w:eastAsia="zh-CN" w:bidi="ar"/>
              </w:rPr>
              <w:t>）</w:t>
            </w:r>
          </w:p>
        </w:tc>
      </w:tr>
      <w:tr w14:paraId="02910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CC1D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w:t>
            </w: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3836C">
            <w:pPr>
              <w:jc w:val="center"/>
              <w:rPr>
                <w:rFonts w:hint="eastAsia" w:ascii="宋体" w:hAnsi="宋体" w:eastAsia="宋体" w:cs="宋体"/>
                <w:i w:val="0"/>
                <w:iCs w:val="0"/>
                <w:color w:val="auto"/>
                <w:sz w:val="21"/>
                <w:szCs w:val="21"/>
                <w:u w:val="none"/>
              </w:rPr>
            </w:pPr>
          </w:p>
        </w:tc>
        <w:tc>
          <w:tcPr>
            <w:tcW w:w="5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9286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壁挂式分体空调</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含室内室外机</w:t>
            </w:r>
            <w:r>
              <w:rPr>
                <w:rFonts w:hint="eastAsia" w:ascii="宋体" w:hAnsi="宋体" w:cs="宋体"/>
                <w:i w:val="0"/>
                <w:iCs w:val="0"/>
                <w:color w:val="auto"/>
                <w:kern w:val="0"/>
                <w:sz w:val="21"/>
                <w:szCs w:val="21"/>
                <w:u w:val="none"/>
                <w:lang w:val="en-US" w:eastAsia="zh-CN" w:bidi="ar"/>
              </w:rPr>
              <w:t>）</w:t>
            </w:r>
          </w:p>
        </w:tc>
      </w:tr>
      <w:tr w14:paraId="7C78E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4188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w:t>
            </w: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262C2">
            <w:pPr>
              <w:jc w:val="center"/>
              <w:rPr>
                <w:rFonts w:hint="eastAsia" w:ascii="宋体" w:hAnsi="宋体" w:eastAsia="宋体" w:cs="宋体"/>
                <w:i w:val="0"/>
                <w:iCs w:val="0"/>
                <w:color w:val="auto"/>
                <w:sz w:val="21"/>
                <w:szCs w:val="21"/>
                <w:u w:val="none"/>
              </w:rPr>
            </w:pPr>
          </w:p>
        </w:tc>
        <w:tc>
          <w:tcPr>
            <w:tcW w:w="5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2811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壁挂式分体空调</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含室内室外机</w:t>
            </w:r>
            <w:r>
              <w:rPr>
                <w:rFonts w:hint="eastAsia" w:ascii="宋体" w:hAnsi="宋体" w:cs="宋体"/>
                <w:i w:val="0"/>
                <w:iCs w:val="0"/>
                <w:color w:val="auto"/>
                <w:kern w:val="0"/>
                <w:sz w:val="21"/>
                <w:szCs w:val="21"/>
                <w:u w:val="none"/>
                <w:lang w:val="en-US" w:eastAsia="zh-CN" w:bidi="ar"/>
              </w:rPr>
              <w:t>）</w:t>
            </w:r>
          </w:p>
        </w:tc>
      </w:tr>
      <w:tr w14:paraId="7653E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60A6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w:t>
            </w: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EABB4">
            <w:pPr>
              <w:jc w:val="center"/>
              <w:rPr>
                <w:rFonts w:hint="eastAsia" w:ascii="宋体" w:hAnsi="宋体" w:eastAsia="宋体" w:cs="宋体"/>
                <w:i w:val="0"/>
                <w:iCs w:val="0"/>
                <w:color w:val="auto"/>
                <w:sz w:val="21"/>
                <w:szCs w:val="21"/>
                <w:u w:val="none"/>
              </w:rPr>
            </w:pPr>
          </w:p>
        </w:tc>
        <w:tc>
          <w:tcPr>
            <w:tcW w:w="5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EC2D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冷暖型壁挂式分体空调</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含室内室外机</w:t>
            </w:r>
            <w:r>
              <w:rPr>
                <w:rFonts w:hint="eastAsia" w:ascii="宋体" w:hAnsi="宋体" w:cs="宋体"/>
                <w:i w:val="0"/>
                <w:iCs w:val="0"/>
                <w:color w:val="auto"/>
                <w:kern w:val="0"/>
                <w:sz w:val="21"/>
                <w:szCs w:val="21"/>
                <w:u w:val="none"/>
                <w:lang w:val="en-US" w:eastAsia="zh-CN" w:bidi="ar"/>
              </w:rPr>
              <w:t>）</w:t>
            </w:r>
          </w:p>
        </w:tc>
      </w:tr>
      <w:tr w14:paraId="2B9A9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D51E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5E22A">
            <w:pPr>
              <w:jc w:val="center"/>
              <w:rPr>
                <w:rFonts w:hint="eastAsia" w:ascii="宋体" w:hAnsi="宋体" w:eastAsia="宋体" w:cs="宋体"/>
                <w:i w:val="0"/>
                <w:iCs w:val="0"/>
                <w:color w:val="auto"/>
                <w:sz w:val="21"/>
                <w:szCs w:val="21"/>
                <w:u w:val="none"/>
              </w:rPr>
            </w:pPr>
          </w:p>
        </w:tc>
        <w:tc>
          <w:tcPr>
            <w:tcW w:w="5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D375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壁挂式分体空调</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含室内室外机</w:t>
            </w:r>
            <w:r>
              <w:rPr>
                <w:rFonts w:hint="eastAsia" w:ascii="宋体" w:hAnsi="宋体" w:cs="宋体"/>
                <w:i w:val="0"/>
                <w:iCs w:val="0"/>
                <w:color w:val="auto"/>
                <w:kern w:val="0"/>
                <w:sz w:val="21"/>
                <w:szCs w:val="21"/>
                <w:u w:val="none"/>
                <w:lang w:val="en-US" w:eastAsia="zh-CN" w:bidi="ar"/>
              </w:rPr>
              <w:t>）</w:t>
            </w:r>
          </w:p>
        </w:tc>
      </w:tr>
      <w:tr w14:paraId="75133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BB81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w:t>
            </w: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D3ACF">
            <w:pPr>
              <w:jc w:val="center"/>
              <w:rPr>
                <w:rFonts w:hint="eastAsia" w:ascii="宋体" w:hAnsi="宋体" w:eastAsia="宋体" w:cs="宋体"/>
                <w:i w:val="0"/>
                <w:iCs w:val="0"/>
                <w:color w:val="auto"/>
                <w:sz w:val="21"/>
                <w:szCs w:val="21"/>
                <w:u w:val="none"/>
              </w:rPr>
            </w:pPr>
          </w:p>
        </w:tc>
        <w:tc>
          <w:tcPr>
            <w:tcW w:w="5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9113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冷暖型壁挂式分体空调</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含室内室外机</w:t>
            </w:r>
            <w:r>
              <w:rPr>
                <w:rFonts w:hint="eastAsia" w:ascii="宋体" w:hAnsi="宋体" w:cs="宋体"/>
                <w:i w:val="0"/>
                <w:iCs w:val="0"/>
                <w:color w:val="auto"/>
                <w:kern w:val="0"/>
                <w:sz w:val="21"/>
                <w:szCs w:val="21"/>
                <w:u w:val="none"/>
                <w:lang w:val="en-US" w:eastAsia="zh-CN" w:bidi="ar"/>
              </w:rPr>
              <w:t>）</w:t>
            </w:r>
          </w:p>
        </w:tc>
      </w:tr>
      <w:tr w14:paraId="44C89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D120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C93AB">
            <w:pPr>
              <w:jc w:val="center"/>
              <w:rPr>
                <w:rFonts w:hint="eastAsia" w:ascii="宋体" w:hAnsi="宋体" w:eastAsia="宋体" w:cs="宋体"/>
                <w:i w:val="0"/>
                <w:iCs w:val="0"/>
                <w:color w:val="auto"/>
                <w:sz w:val="21"/>
                <w:szCs w:val="21"/>
                <w:u w:val="none"/>
              </w:rPr>
            </w:pPr>
          </w:p>
        </w:tc>
        <w:tc>
          <w:tcPr>
            <w:tcW w:w="5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C04F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壁挂式分体空调</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含室内室外机</w:t>
            </w:r>
            <w:r>
              <w:rPr>
                <w:rFonts w:hint="eastAsia" w:ascii="宋体" w:hAnsi="宋体" w:cs="宋体"/>
                <w:i w:val="0"/>
                <w:iCs w:val="0"/>
                <w:color w:val="auto"/>
                <w:kern w:val="0"/>
                <w:sz w:val="21"/>
                <w:szCs w:val="21"/>
                <w:u w:val="none"/>
                <w:lang w:val="en-US" w:eastAsia="zh-CN" w:bidi="ar"/>
              </w:rPr>
              <w:t>）</w:t>
            </w:r>
          </w:p>
        </w:tc>
      </w:tr>
      <w:tr w14:paraId="2E98E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DC7D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w:t>
            </w:r>
          </w:p>
        </w:tc>
        <w:tc>
          <w:tcPr>
            <w:tcW w:w="138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834F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便器</w:t>
            </w:r>
          </w:p>
        </w:tc>
        <w:tc>
          <w:tcPr>
            <w:tcW w:w="5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F503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坐式大便器</w:t>
            </w:r>
          </w:p>
        </w:tc>
      </w:tr>
      <w:tr w14:paraId="12377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89A9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w:t>
            </w: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78488">
            <w:pPr>
              <w:jc w:val="center"/>
              <w:rPr>
                <w:rFonts w:hint="eastAsia" w:ascii="宋体" w:hAnsi="宋体" w:eastAsia="宋体" w:cs="宋体"/>
                <w:i w:val="0"/>
                <w:iCs w:val="0"/>
                <w:color w:val="auto"/>
                <w:sz w:val="21"/>
                <w:szCs w:val="21"/>
                <w:u w:val="none"/>
              </w:rPr>
            </w:pPr>
          </w:p>
        </w:tc>
        <w:tc>
          <w:tcPr>
            <w:tcW w:w="5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A91D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蹲式大便器</w:t>
            </w:r>
          </w:p>
        </w:tc>
      </w:tr>
      <w:tr w14:paraId="33D80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5C48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w:t>
            </w: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83062">
            <w:pPr>
              <w:jc w:val="center"/>
              <w:rPr>
                <w:rFonts w:hint="eastAsia" w:ascii="宋体" w:hAnsi="宋体" w:eastAsia="宋体" w:cs="宋体"/>
                <w:i w:val="0"/>
                <w:iCs w:val="0"/>
                <w:color w:val="auto"/>
                <w:sz w:val="21"/>
                <w:szCs w:val="21"/>
                <w:u w:val="none"/>
              </w:rPr>
            </w:pPr>
          </w:p>
        </w:tc>
        <w:tc>
          <w:tcPr>
            <w:tcW w:w="5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CF94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挂式小便器</w:t>
            </w:r>
          </w:p>
        </w:tc>
      </w:tr>
      <w:tr w14:paraId="66082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81C2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w:t>
            </w:r>
          </w:p>
        </w:tc>
        <w:tc>
          <w:tcPr>
            <w:tcW w:w="138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C244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水嘴</w:t>
            </w:r>
          </w:p>
        </w:tc>
        <w:tc>
          <w:tcPr>
            <w:tcW w:w="5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98EA7">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台式洗脸盆</w:t>
            </w:r>
            <w:r>
              <w:rPr>
                <w:rFonts w:hint="eastAsia" w:ascii="宋体" w:hAnsi="宋体" w:cs="宋体"/>
                <w:i w:val="0"/>
                <w:iCs w:val="0"/>
                <w:color w:val="auto"/>
                <w:kern w:val="0"/>
                <w:sz w:val="21"/>
                <w:szCs w:val="21"/>
                <w:u w:val="none"/>
                <w:lang w:val="en-US" w:eastAsia="zh-CN" w:bidi="ar"/>
              </w:rPr>
              <w:t>－配套的水龙头或水嘴</w:t>
            </w:r>
          </w:p>
        </w:tc>
      </w:tr>
      <w:tr w14:paraId="2EDE9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0705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w:t>
            </w: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8FBF9">
            <w:pPr>
              <w:jc w:val="center"/>
              <w:rPr>
                <w:rFonts w:hint="eastAsia" w:ascii="宋体" w:hAnsi="宋体" w:eastAsia="宋体" w:cs="宋体"/>
                <w:i w:val="0"/>
                <w:iCs w:val="0"/>
                <w:color w:val="auto"/>
                <w:sz w:val="21"/>
                <w:szCs w:val="21"/>
                <w:u w:val="none"/>
              </w:rPr>
            </w:pPr>
          </w:p>
        </w:tc>
        <w:tc>
          <w:tcPr>
            <w:tcW w:w="5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C83D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柱式洗脸盆</w:t>
            </w:r>
            <w:r>
              <w:rPr>
                <w:rFonts w:hint="eastAsia" w:ascii="宋体" w:hAnsi="宋体" w:cs="宋体"/>
                <w:i w:val="0"/>
                <w:iCs w:val="0"/>
                <w:color w:val="auto"/>
                <w:kern w:val="0"/>
                <w:sz w:val="21"/>
                <w:szCs w:val="21"/>
                <w:u w:val="none"/>
                <w:lang w:val="en-US" w:eastAsia="zh-CN" w:bidi="ar"/>
              </w:rPr>
              <w:t>－配套的水龙头或水嘴</w:t>
            </w:r>
          </w:p>
        </w:tc>
      </w:tr>
      <w:tr w14:paraId="10BDC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3EEC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w:t>
            </w: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658D6">
            <w:pPr>
              <w:jc w:val="center"/>
              <w:rPr>
                <w:rFonts w:hint="eastAsia" w:ascii="宋体" w:hAnsi="宋体" w:eastAsia="宋体" w:cs="宋体"/>
                <w:i w:val="0"/>
                <w:iCs w:val="0"/>
                <w:color w:val="auto"/>
                <w:sz w:val="21"/>
                <w:szCs w:val="21"/>
                <w:u w:val="none"/>
              </w:rPr>
            </w:pPr>
          </w:p>
        </w:tc>
        <w:tc>
          <w:tcPr>
            <w:tcW w:w="5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8578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拖布池</w:t>
            </w:r>
            <w:r>
              <w:rPr>
                <w:rFonts w:hint="eastAsia" w:ascii="宋体" w:hAnsi="宋体" w:cs="宋体"/>
                <w:i w:val="0"/>
                <w:iCs w:val="0"/>
                <w:color w:val="auto"/>
                <w:kern w:val="0"/>
                <w:sz w:val="21"/>
                <w:szCs w:val="21"/>
                <w:u w:val="none"/>
                <w:lang w:val="en-US" w:eastAsia="zh-CN" w:bidi="ar"/>
              </w:rPr>
              <w:t>－配套的水龙头或水嘴</w:t>
            </w:r>
          </w:p>
        </w:tc>
      </w:tr>
    </w:tbl>
    <w:p w14:paraId="6293FDD9">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cstheme="minorBidi"/>
          <w:b w:val="0"/>
          <w:bCs w:val="0"/>
          <w:color w:val="auto"/>
          <w:kern w:val="2"/>
          <w:sz w:val="21"/>
          <w:szCs w:val="24"/>
          <w:highlight w:val="none"/>
          <w:u w:val="none"/>
          <w:lang w:val="en-US" w:eastAsia="zh-CN" w:bidi="ar-SA"/>
        </w:rPr>
      </w:pPr>
    </w:p>
    <w:p w14:paraId="6634E538">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cstheme="minorBidi"/>
          <w:b w:val="0"/>
          <w:bCs w:val="0"/>
          <w:color w:val="auto"/>
          <w:kern w:val="2"/>
          <w:sz w:val="21"/>
          <w:szCs w:val="24"/>
          <w:highlight w:val="none"/>
          <w:u w:val="none"/>
          <w:lang w:val="en-US" w:eastAsia="zh-CN" w:bidi="ar-SA"/>
        </w:rPr>
      </w:pPr>
      <w:r>
        <w:rPr>
          <w:rFonts w:hint="eastAsia" w:ascii="宋体" w:hAnsi="宋体" w:cstheme="minorBidi"/>
          <w:b w:val="0"/>
          <w:bCs w:val="0"/>
          <w:color w:val="auto"/>
          <w:kern w:val="2"/>
          <w:sz w:val="21"/>
          <w:szCs w:val="24"/>
          <w:highlight w:val="none"/>
          <w:u w:val="none"/>
          <w:lang w:val="en-US" w:eastAsia="zh-CN" w:bidi="ar-SA"/>
        </w:rPr>
        <w:t>2.本项目中属于政府强制采购产品的品目编码及名称为：</w:t>
      </w:r>
    </w:p>
    <w:p w14:paraId="0CA2B1F4">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630" w:firstLineChars="300"/>
        <w:jc w:val="left"/>
        <w:textAlignment w:val="auto"/>
        <w:rPr>
          <w:rFonts w:hint="default" w:ascii="宋体" w:hAnsi="宋体" w:cstheme="minorBidi"/>
          <w:b w:val="0"/>
          <w:bCs w:val="0"/>
          <w:color w:val="auto"/>
          <w:kern w:val="2"/>
          <w:sz w:val="21"/>
          <w:szCs w:val="24"/>
          <w:highlight w:val="none"/>
          <w:u w:val="none"/>
          <w:lang w:val="en-US" w:eastAsia="zh-CN" w:bidi="ar-SA"/>
        </w:rPr>
      </w:pPr>
      <w:r>
        <w:rPr>
          <w:rFonts w:hint="eastAsia" w:ascii="宋体" w:hAnsi="宋体" w:cstheme="minorBidi"/>
          <w:b w:val="0"/>
          <w:bCs w:val="0"/>
          <w:color w:val="auto"/>
          <w:kern w:val="2"/>
          <w:sz w:val="21"/>
          <w:szCs w:val="24"/>
          <w:highlight w:val="none"/>
          <w:u w:val="none"/>
          <w:lang w:val="en-US" w:eastAsia="zh-CN" w:bidi="ar-SA"/>
        </w:rPr>
        <w:t>A0206180203空调机－★房间空气调节器</w:t>
      </w:r>
    </w:p>
    <w:p w14:paraId="7CA4B81C">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630" w:firstLineChars="300"/>
        <w:jc w:val="left"/>
        <w:textAlignment w:val="auto"/>
        <w:rPr>
          <w:rFonts w:hint="default" w:ascii="宋体" w:hAnsi="宋体" w:cstheme="minorBidi"/>
          <w:b w:val="0"/>
          <w:bCs w:val="0"/>
          <w:color w:val="auto"/>
          <w:kern w:val="2"/>
          <w:sz w:val="21"/>
          <w:szCs w:val="24"/>
          <w:highlight w:val="none"/>
          <w:u w:val="none"/>
          <w:lang w:val="en-US" w:eastAsia="zh-CN" w:bidi="ar-SA"/>
        </w:rPr>
      </w:pPr>
      <w:r>
        <w:rPr>
          <w:rFonts w:hint="eastAsia" w:ascii="宋体" w:hAnsi="宋体" w:cstheme="minorBidi"/>
          <w:b w:val="0"/>
          <w:bCs w:val="0"/>
          <w:color w:val="auto"/>
          <w:kern w:val="2"/>
          <w:sz w:val="21"/>
          <w:szCs w:val="24"/>
          <w:highlight w:val="none"/>
          <w:u w:val="none"/>
          <w:lang w:val="en-US" w:eastAsia="zh-CN" w:bidi="ar-SA"/>
        </w:rPr>
        <w:t>A020619照明设备－★普通照明用双端荧光灯</w:t>
      </w:r>
    </w:p>
    <w:p w14:paraId="587591F2">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630" w:firstLineChars="300"/>
        <w:jc w:val="left"/>
        <w:textAlignment w:val="auto"/>
        <w:rPr>
          <w:rFonts w:hint="default" w:ascii="宋体" w:hAnsi="宋体" w:cstheme="minorBidi"/>
          <w:b w:val="0"/>
          <w:bCs w:val="0"/>
          <w:color w:val="auto"/>
          <w:kern w:val="2"/>
          <w:sz w:val="21"/>
          <w:szCs w:val="24"/>
          <w:highlight w:val="none"/>
          <w:u w:val="none"/>
          <w:lang w:val="en-US" w:eastAsia="zh-CN" w:bidi="ar-SA"/>
        </w:rPr>
      </w:pPr>
      <w:r>
        <w:rPr>
          <w:rFonts w:hint="eastAsia" w:ascii="宋体" w:hAnsi="宋体" w:cstheme="minorBidi"/>
          <w:b w:val="0"/>
          <w:bCs w:val="0"/>
          <w:color w:val="auto"/>
          <w:kern w:val="2"/>
          <w:sz w:val="21"/>
          <w:szCs w:val="24"/>
          <w:highlight w:val="none"/>
          <w:u w:val="none"/>
          <w:lang w:val="en-US" w:eastAsia="zh-CN" w:bidi="ar-SA"/>
        </w:rPr>
        <w:t>★A060805 便器-坐便器、蹲便器、小便器</w:t>
      </w:r>
    </w:p>
    <w:p w14:paraId="029C5AF6">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630" w:firstLineChars="300"/>
        <w:jc w:val="left"/>
        <w:textAlignment w:val="auto"/>
        <w:rPr>
          <w:color w:val="auto"/>
        </w:rPr>
      </w:pPr>
      <w:r>
        <w:rPr>
          <w:rFonts w:hint="eastAsia" w:ascii="宋体" w:hAnsi="宋体" w:cstheme="minorBidi"/>
          <w:b w:val="0"/>
          <w:bCs w:val="0"/>
          <w:color w:val="auto"/>
          <w:kern w:val="2"/>
          <w:sz w:val="21"/>
          <w:szCs w:val="24"/>
          <w:highlight w:val="none"/>
          <w:u w:val="none"/>
          <w:lang w:val="en-US" w:eastAsia="zh-CN" w:bidi="ar-SA"/>
        </w:rPr>
        <w:t>★A060806 水嘴</w:t>
      </w:r>
    </w:p>
    <w:p w14:paraId="69ECD5D8">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cstheme="minorBidi"/>
          <w:b w:val="0"/>
          <w:bCs w:val="0"/>
          <w:color w:val="auto"/>
          <w:kern w:val="2"/>
          <w:sz w:val="21"/>
          <w:szCs w:val="24"/>
          <w:highlight w:val="none"/>
          <w:u w:val="none"/>
          <w:lang w:val="en-US" w:eastAsia="zh-CN" w:bidi="ar-SA"/>
        </w:rPr>
      </w:pPr>
      <w:r>
        <w:rPr>
          <w:rFonts w:hint="eastAsia" w:ascii="宋体" w:hAnsi="宋体" w:cstheme="minorBidi"/>
          <w:b w:val="0"/>
          <w:bCs w:val="0"/>
          <w:color w:val="auto"/>
          <w:kern w:val="2"/>
          <w:sz w:val="21"/>
          <w:szCs w:val="24"/>
          <w:highlight w:val="none"/>
          <w:u w:val="none"/>
          <w:lang w:val="en-US" w:eastAsia="zh-CN" w:bidi="ar-SA"/>
        </w:rPr>
        <w:t>3.严格执行《财政部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的有关要求。</w:t>
      </w:r>
    </w:p>
    <w:p w14:paraId="21EB7917">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cstheme="minorBidi"/>
          <w:b w:val="0"/>
          <w:bCs w:val="0"/>
          <w:color w:val="auto"/>
          <w:kern w:val="2"/>
          <w:sz w:val="21"/>
          <w:szCs w:val="24"/>
          <w:highlight w:val="none"/>
          <w:u w:val="none"/>
          <w:lang w:val="en-US" w:eastAsia="zh-CN" w:bidi="ar-SA"/>
        </w:rPr>
      </w:pPr>
      <w:r>
        <w:rPr>
          <w:rFonts w:hint="eastAsia" w:ascii="宋体" w:hAnsi="宋体" w:cstheme="minorBidi"/>
          <w:b w:val="0"/>
          <w:bCs w:val="0"/>
          <w:color w:val="auto"/>
          <w:kern w:val="2"/>
          <w:sz w:val="21"/>
          <w:szCs w:val="24"/>
          <w:highlight w:val="none"/>
          <w:u w:val="none"/>
          <w:lang w:val="en-US" w:eastAsia="zh-CN" w:bidi="ar-SA"/>
        </w:rPr>
        <w:t>4.本次采购中涉及的产品属于政府强制采购产品类别的，须按照要求提供依据国家确定的认证机构出具的、处于有效期之内的产品认证证书，否则投标无效；认证机构以中国政府采购网最新公布的《市场监管总局关于发布参与实施政府采购节能产品、环境标志产品认证机构名录的公告》中所列机构为准。详见第七章 政府采购节能产品、环境标志产品认证机构名录及品目清单。</w:t>
      </w:r>
    </w:p>
    <w:p w14:paraId="6F5184DD">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cstheme="minorBidi"/>
          <w:b w:val="0"/>
          <w:bCs w:val="0"/>
          <w:color w:val="auto"/>
          <w:kern w:val="2"/>
          <w:sz w:val="21"/>
          <w:szCs w:val="24"/>
          <w:highlight w:val="none"/>
          <w:u w:val="single"/>
          <w:lang w:val="en-US" w:eastAsia="zh-CN" w:bidi="ar-SA"/>
        </w:rPr>
      </w:pPr>
      <w:r>
        <w:rPr>
          <w:rFonts w:hint="eastAsia" w:ascii="宋体" w:hAnsi="宋体" w:cstheme="minorBidi"/>
          <w:b w:val="0"/>
          <w:bCs w:val="0"/>
          <w:color w:val="auto"/>
          <w:kern w:val="2"/>
          <w:sz w:val="21"/>
          <w:szCs w:val="24"/>
          <w:highlight w:val="none"/>
          <w:u w:val="none"/>
          <w:lang w:val="en-US" w:eastAsia="zh-CN" w:bidi="ar-SA"/>
        </w:rPr>
        <w:t>5.投标文件中提供：强制性节能环保产品《品目清单》、国家确定的认证机构出具的、处于有效期之内的《节能产品认证证书》</w:t>
      </w:r>
    </w:p>
    <w:p w14:paraId="3164F078">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cstheme="minorBidi"/>
          <w:b w:val="0"/>
          <w:bCs w:val="0"/>
          <w:color w:val="auto"/>
          <w:kern w:val="2"/>
          <w:sz w:val="21"/>
          <w:szCs w:val="24"/>
          <w:highlight w:val="none"/>
          <w:u w:val="none"/>
          <w:lang w:val="en-US" w:eastAsia="zh-CN" w:bidi="ar-SA"/>
        </w:rPr>
      </w:pPr>
      <w:r>
        <w:rPr>
          <w:rFonts w:hint="eastAsia" w:ascii="宋体" w:hAnsi="宋体" w:cstheme="minorBidi"/>
          <w:b w:val="0"/>
          <w:bCs w:val="0"/>
          <w:color w:val="auto"/>
          <w:kern w:val="2"/>
          <w:sz w:val="21"/>
          <w:szCs w:val="24"/>
          <w:highlight w:val="none"/>
          <w:u w:val="none"/>
          <w:lang w:val="en-US" w:eastAsia="zh-CN" w:bidi="ar-SA"/>
        </w:rPr>
        <w:t>（二）非强制采购的节能产品、环保产品</w:t>
      </w:r>
    </w:p>
    <w:p w14:paraId="70C8A911">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cstheme="minorBidi"/>
          <w:b w:val="0"/>
          <w:bCs w:val="0"/>
          <w:color w:val="auto"/>
          <w:kern w:val="2"/>
          <w:sz w:val="21"/>
          <w:szCs w:val="24"/>
          <w:highlight w:val="none"/>
          <w:u w:val="none"/>
          <w:lang w:val="en-US" w:eastAsia="zh-CN" w:bidi="ar-SA"/>
        </w:rPr>
      </w:pPr>
      <w:r>
        <w:rPr>
          <w:rFonts w:hint="eastAsia" w:ascii="宋体" w:hAnsi="宋体" w:cstheme="minorBidi"/>
          <w:b w:val="0"/>
          <w:bCs w:val="0"/>
          <w:color w:val="auto"/>
          <w:kern w:val="2"/>
          <w:sz w:val="21"/>
          <w:szCs w:val="24"/>
          <w:highlight w:val="none"/>
          <w:u w:val="none"/>
          <w:lang w:val="en-US" w:eastAsia="zh-CN" w:bidi="ar-SA"/>
        </w:rPr>
        <w:t>1.节能产品或环境标志产品，依据品目清单和认证证书实施政府优先采购。投标单位应能够提供国家确定的认证机构出具的、处于有效期之内的节能产品、环境标志产品认证证书，方可对获得证书的产品优先推荐。评审时，对清单中产品给予相应的加分。（详见评分标准）</w:t>
      </w:r>
    </w:p>
    <w:p w14:paraId="71C1F901">
      <w:pPr>
        <w:pStyle w:val="7"/>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cstheme="minorBidi"/>
          <w:b w:val="0"/>
          <w:bCs w:val="0"/>
          <w:color w:val="auto"/>
          <w:kern w:val="2"/>
          <w:sz w:val="21"/>
          <w:szCs w:val="24"/>
          <w:highlight w:val="none"/>
          <w:u w:val="none"/>
          <w:lang w:val="en-US" w:eastAsia="zh-CN" w:bidi="ar-SA"/>
        </w:rPr>
      </w:pPr>
      <w:r>
        <w:rPr>
          <w:rFonts w:hint="eastAsia" w:ascii="宋体" w:hAnsi="宋体" w:cstheme="minorBidi"/>
          <w:b w:val="0"/>
          <w:bCs w:val="0"/>
          <w:color w:val="auto"/>
          <w:kern w:val="2"/>
          <w:sz w:val="21"/>
          <w:szCs w:val="24"/>
          <w:highlight w:val="none"/>
          <w:u w:val="none"/>
          <w:lang w:val="en-US" w:eastAsia="zh-CN" w:bidi="ar-SA"/>
        </w:rPr>
        <w:t>2.投标文件中提供：节能或环保产品证明材料（强制性节能产品除外）</w:t>
      </w:r>
    </w:p>
    <w:p w14:paraId="66638795">
      <w:pPr>
        <w:pStyle w:val="7"/>
        <w:widowControl w:val="0"/>
        <w:numPr>
          <w:ilvl w:val="0"/>
          <w:numId w:val="0"/>
        </w:numPr>
        <w:tabs>
          <w:tab w:val="left" w:pos="312"/>
        </w:tabs>
        <w:spacing w:line="360" w:lineRule="auto"/>
        <w:jc w:val="left"/>
        <w:rPr>
          <w:rFonts w:hint="default" w:ascii="宋体" w:hAnsi="宋体" w:eastAsia="宋体" w:cstheme="minorBidi"/>
          <w:b w:val="0"/>
          <w:bCs w:val="0"/>
          <w:color w:val="auto"/>
          <w:kern w:val="2"/>
          <w:sz w:val="21"/>
          <w:szCs w:val="24"/>
          <w:highlight w:val="none"/>
          <w:u w:val="none"/>
          <w:lang w:val="en-US" w:eastAsia="zh-CN" w:bidi="ar-SA"/>
        </w:rPr>
      </w:pPr>
    </w:p>
    <w:p w14:paraId="32DCA556">
      <w:pPr>
        <w:pStyle w:val="7"/>
        <w:widowControl w:val="0"/>
        <w:numPr>
          <w:ilvl w:val="0"/>
          <w:numId w:val="0"/>
        </w:numPr>
        <w:tabs>
          <w:tab w:val="left" w:pos="312"/>
        </w:tabs>
        <w:spacing w:line="360" w:lineRule="auto"/>
        <w:jc w:val="left"/>
        <w:rPr>
          <w:rFonts w:hint="default" w:ascii="宋体" w:hAnsi="宋体" w:eastAsia="宋体" w:cstheme="minorBidi"/>
          <w:b w:val="0"/>
          <w:bCs w:val="0"/>
          <w:color w:val="auto"/>
          <w:kern w:val="2"/>
          <w:sz w:val="21"/>
          <w:szCs w:val="24"/>
          <w:highlight w:val="none"/>
          <w:u w:val="none"/>
          <w:lang w:val="en-US" w:eastAsia="zh-CN" w:bidi="ar-SA"/>
        </w:rPr>
        <w:sectPr>
          <w:pgSz w:w="11906" w:h="16838"/>
          <w:pgMar w:top="1440" w:right="1800" w:bottom="1440" w:left="1800" w:header="851" w:footer="992" w:gutter="0"/>
          <w:cols w:space="425" w:num="1"/>
          <w:docGrid w:type="lines" w:linePitch="312" w:charSpace="0"/>
        </w:sectPr>
      </w:pPr>
    </w:p>
    <w:p w14:paraId="5AF93D2F">
      <w:pPr>
        <w:rPr>
          <w:rFonts w:hint="eastAsia"/>
          <w:color w:val="auto"/>
          <w:szCs w:val="21"/>
        </w:rPr>
      </w:pPr>
    </w:p>
    <w:p w14:paraId="492A89D9">
      <w:pPr>
        <w:rPr>
          <w:rFonts w:hint="eastAsia"/>
          <w:color w:val="auto"/>
          <w:szCs w:val="21"/>
        </w:rPr>
      </w:pPr>
    </w:p>
    <w:p w14:paraId="40BC4CB8">
      <w:pPr>
        <w:rPr>
          <w:color w:val="auto"/>
          <w:szCs w:val="21"/>
        </w:rPr>
      </w:pPr>
    </w:p>
    <w:p w14:paraId="56C0ED1A">
      <w:pPr>
        <w:rPr>
          <w:color w:val="auto"/>
          <w:szCs w:val="21"/>
        </w:rPr>
      </w:pPr>
    </w:p>
    <w:p w14:paraId="6D603139">
      <w:pPr>
        <w:rPr>
          <w:rFonts w:hint="eastAsia"/>
          <w:color w:val="auto"/>
          <w:szCs w:val="21"/>
        </w:rPr>
      </w:pPr>
    </w:p>
    <w:p w14:paraId="0BC0519D">
      <w:pPr>
        <w:rPr>
          <w:rFonts w:hint="eastAsia"/>
          <w:color w:val="auto"/>
          <w:szCs w:val="21"/>
        </w:rPr>
      </w:pPr>
    </w:p>
    <w:p w14:paraId="2D99E5E0">
      <w:pPr>
        <w:rPr>
          <w:rFonts w:hint="eastAsia"/>
          <w:color w:val="auto"/>
          <w:szCs w:val="21"/>
        </w:rPr>
      </w:pPr>
    </w:p>
    <w:p w14:paraId="13078804">
      <w:pPr>
        <w:rPr>
          <w:rFonts w:hint="eastAsia"/>
          <w:color w:val="auto"/>
          <w:szCs w:val="21"/>
        </w:rPr>
      </w:pPr>
    </w:p>
    <w:p w14:paraId="1DBEEF7C">
      <w:pPr>
        <w:rPr>
          <w:rFonts w:hint="eastAsia"/>
          <w:color w:val="auto"/>
          <w:szCs w:val="21"/>
        </w:rPr>
      </w:pPr>
    </w:p>
    <w:p w14:paraId="56136033">
      <w:pPr>
        <w:rPr>
          <w:rFonts w:hint="eastAsia"/>
          <w:color w:val="auto"/>
          <w:szCs w:val="21"/>
        </w:rPr>
      </w:pPr>
    </w:p>
    <w:p w14:paraId="716C400D">
      <w:pPr>
        <w:rPr>
          <w:rFonts w:hint="eastAsia"/>
          <w:color w:val="auto"/>
          <w:szCs w:val="21"/>
        </w:rPr>
      </w:pPr>
    </w:p>
    <w:p w14:paraId="14972828">
      <w:pPr>
        <w:rPr>
          <w:rFonts w:hint="eastAsia"/>
          <w:color w:val="auto"/>
          <w:szCs w:val="21"/>
        </w:rPr>
      </w:pPr>
    </w:p>
    <w:p w14:paraId="6CF087EA">
      <w:pPr>
        <w:rPr>
          <w:rFonts w:hint="eastAsia"/>
          <w:color w:val="auto"/>
          <w:szCs w:val="21"/>
        </w:rPr>
      </w:pPr>
    </w:p>
    <w:p w14:paraId="0D7E8891">
      <w:pPr>
        <w:rPr>
          <w:rFonts w:hint="eastAsia"/>
          <w:color w:val="auto"/>
          <w:szCs w:val="21"/>
        </w:rPr>
      </w:pPr>
    </w:p>
    <w:p w14:paraId="78E55955">
      <w:pPr>
        <w:pStyle w:val="2"/>
        <w:spacing w:before="120" w:after="120" w:line="400" w:lineRule="exact"/>
        <w:jc w:val="center"/>
        <w:rPr>
          <w:rFonts w:hint="eastAsia" w:ascii="黑体" w:hAnsi="黑体" w:eastAsia="黑体"/>
          <w:b w:val="0"/>
          <w:bCs w:val="0"/>
          <w:color w:val="auto"/>
          <w:sz w:val="48"/>
          <w:szCs w:val="48"/>
        </w:rPr>
      </w:pPr>
      <w:bookmarkStart w:id="1978" w:name="_Toc30852"/>
      <w:bookmarkStart w:id="1979" w:name="_Toc122603066"/>
      <w:r>
        <w:rPr>
          <w:rFonts w:hint="eastAsia" w:ascii="黑体" w:hAnsi="黑体" w:eastAsia="黑体"/>
          <w:b w:val="0"/>
          <w:bCs w:val="0"/>
          <w:color w:val="auto"/>
          <w:sz w:val="48"/>
          <w:szCs w:val="48"/>
        </w:rPr>
        <w:t>第四卷</w:t>
      </w:r>
      <w:bookmarkEnd w:id="1978"/>
      <w:bookmarkEnd w:id="1979"/>
    </w:p>
    <w:p w14:paraId="39D23F0F">
      <w:pPr>
        <w:spacing w:line="420" w:lineRule="exact"/>
        <w:rPr>
          <w:rFonts w:hint="eastAsia" w:ascii="黑体" w:eastAsia="黑体"/>
          <w:color w:val="auto"/>
          <w:sz w:val="36"/>
          <w:szCs w:val="36"/>
        </w:rPr>
      </w:pPr>
    </w:p>
    <w:p w14:paraId="71C0BB7B">
      <w:pPr>
        <w:rPr>
          <w:color w:val="auto"/>
        </w:rPr>
        <w:sectPr>
          <w:headerReference r:id="rId22" w:type="default"/>
          <w:footerReference r:id="rId23" w:type="default"/>
          <w:pgSz w:w="11906" w:h="16838"/>
          <w:pgMar w:top="1440" w:right="1800" w:bottom="1440" w:left="1800" w:header="851" w:footer="992" w:gutter="0"/>
          <w:cols w:space="425" w:num="1"/>
          <w:docGrid w:type="lines" w:linePitch="312" w:charSpace="0"/>
        </w:sectPr>
      </w:pPr>
    </w:p>
    <w:p w14:paraId="545CD14C">
      <w:pPr>
        <w:spacing w:before="120" w:after="120" w:line="400" w:lineRule="exact"/>
        <w:jc w:val="center"/>
        <w:outlineLvl w:val="9"/>
        <w:rPr>
          <w:rFonts w:hint="eastAsia" w:ascii="黑体" w:hAnsi="黑体" w:eastAsia="黑体"/>
          <w:b w:val="0"/>
          <w:bCs w:val="0"/>
          <w:color w:val="auto"/>
          <w:sz w:val="32"/>
        </w:rPr>
      </w:pPr>
      <w:bookmarkStart w:id="1980" w:name="_Toc122603042"/>
    </w:p>
    <w:p w14:paraId="6902C841">
      <w:pPr>
        <w:spacing w:before="120" w:after="120" w:line="400" w:lineRule="exact"/>
        <w:jc w:val="center"/>
        <w:outlineLvl w:val="9"/>
        <w:rPr>
          <w:rFonts w:hint="eastAsia" w:ascii="黑体" w:hAnsi="黑体" w:eastAsia="黑体"/>
          <w:b w:val="0"/>
          <w:bCs w:val="0"/>
          <w:color w:val="auto"/>
          <w:sz w:val="32"/>
        </w:rPr>
      </w:pPr>
    </w:p>
    <w:p w14:paraId="325C76A8">
      <w:pPr>
        <w:spacing w:before="120" w:after="120" w:line="400" w:lineRule="exact"/>
        <w:jc w:val="center"/>
        <w:outlineLvl w:val="9"/>
        <w:rPr>
          <w:rFonts w:hint="eastAsia" w:ascii="黑体" w:hAnsi="黑体" w:eastAsia="黑体"/>
          <w:b w:val="0"/>
          <w:bCs w:val="0"/>
          <w:color w:val="auto"/>
          <w:sz w:val="32"/>
        </w:rPr>
      </w:pPr>
    </w:p>
    <w:p w14:paraId="0905C98D">
      <w:pPr>
        <w:spacing w:before="120" w:after="120" w:line="400" w:lineRule="exact"/>
        <w:jc w:val="center"/>
        <w:outlineLvl w:val="9"/>
        <w:rPr>
          <w:rFonts w:hint="eastAsia" w:ascii="黑体" w:hAnsi="黑体" w:eastAsia="黑体"/>
          <w:b w:val="0"/>
          <w:bCs w:val="0"/>
          <w:color w:val="auto"/>
          <w:sz w:val="32"/>
        </w:rPr>
      </w:pPr>
    </w:p>
    <w:p w14:paraId="348C4F7D">
      <w:pPr>
        <w:spacing w:before="120" w:after="120" w:line="400" w:lineRule="exact"/>
        <w:jc w:val="center"/>
        <w:outlineLvl w:val="9"/>
        <w:rPr>
          <w:rFonts w:hint="eastAsia" w:ascii="黑体" w:hAnsi="黑体" w:eastAsia="黑体"/>
          <w:b w:val="0"/>
          <w:bCs w:val="0"/>
          <w:color w:val="auto"/>
          <w:sz w:val="32"/>
        </w:rPr>
      </w:pPr>
    </w:p>
    <w:p w14:paraId="0E9626DE">
      <w:pPr>
        <w:spacing w:before="120" w:after="120" w:line="400" w:lineRule="exact"/>
        <w:jc w:val="center"/>
        <w:outlineLvl w:val="9"/>
        <w:rPr>
          <w:rFonts w:hint="eastAsia" w:ascii="黑体" w:hAnsi="黑体" w:eastAsia="黑体"/>
          <w:b w:val="0"/>
          <w:bCs w:val="0"/>
          <w:color w:val="auto"/>
          <w:sz w:val="32"/>
        </w:rPr>
      </w:pPr>
    </w:p>
    <w:p w14:paraId="5C7DEC1D">
      <w:pPr>
        <w:spacing w:before="120" w:after="120" w:line="400" w:lineRule="exact"/>
        <w:jc w:val="center"/>
        <w:outlineLvl w:val="9"/>
        <w:rPr>
          <w:rFonts w:hint="eastAsia" w:ascii="黑体" w:hAnsi="黑体" w:eastAsia="黑体"/>
          <w:b w:val="0"/>
          <w:bCs w:val="0"/>
          <w:color w:val="auto"/>
          <w:sz w:val="32"/>
        </w:rPr>
      </w:pPr>
    </w:p>
    <w:p w14:paraId="0F89D751">
      <w:pPr>
        <w:spacing w:before="120" w:after="120" w:line="400" w:lineRule="exact"/>
        <w:jc w:val="center"/>
        <w:outlineLvl w:val="9"/>
        <w:rPr>
          <w:rFonts w:hint="eastAsia" w:ascii="黑体" w:hAnsi="黑体" w:eastAsia="黑体"/>
          <w:b w:val="0"/>
          <w:bCs w:val="0"/>
          <w:color w:val="auto"/>
          <w:sz w:val="32"/>
        </w:rPr>
      </w:pPr>
    </w:p>
    <w:bookmarkEnd w:id="1980"/>
    <w:p w14:paraId="0DB1EE39">
      <w:pPr>
        <w:spacing w:before="120" w:after="120" w:line="400" w:lineRule="exact"/>
        <w:jc w:val="center"/>
        <w:outlineLvl w:val="9"/>
        <w:rPr>
          <w:rFonts w:hint="eastAsia" w:ascii="黑体" w:hAnsi="黑体" w:eastAsia="黑体"/>
          <w:b w:val="0"/>
          <w:bCs w:val="0"/>
          <w:color w:val="auto"/>
          <w:sz w:val="32"/>
        </w:rPr>
      </w:pPr>
    </w:p>
    <w:p w14:paraId="302EA466">
      <w:pPr>
        <w:pStyle w:val="2"/>
        <w:widowControl/>
        <w:spacing w:before="120" w:beforeAutospacing="0" w:after="120" w:afterAutospacing="0" w:line="400" w:lineRule="exact"/>
        <w:jc w:val="center"/>
        <w:rPr>
          <w:color w:val="auto"/>
        </w:rPr>
        <w:sectPr>
          <w:footerReference r:id="rId24" w:type="default"/>
          <w:pgSz w:w="11906" w:h="16838"/>
          <w:pgMar w:top="1440" w:right="1800" w:bottom="1440" w:left="1800" w:header="851" w:footer="992" w:gutter="0"/>
          <w:pgNumType w:fmt="decimal"/>
          <w:cols w:space="425" w:num="1"/>
          <w:docGrid w:type="lines" w:linePitch="312" w:charSpace="0"/>
        </w:sectPr>
      </w:pPr>
      <w:bookmarkStart w:id="1981" w:name="_Toc9130"/>
      <w:r>
        <w:rPr>
          <w:rFonts w:hint="default" w:ascii="黑体" w:hAnsi="宋体" w:eastAsia="黑体" w:cs="黑体"/>
          <w:b w:val="0"/>
          <w:bCs w:val="0"/>
          <w:color w:val="auto"/>
          <w:kern w:val="44"/>
          <w:sz w:val="32"/>
          <w:szCs w:val="32"/>
        </w:rPr>
        <w:t>第八章  投标文件格式</w:t>
      </w:r>
      <w:bookmarkEnd w:id="1981"/>
    </w:p>
    <w:p w14:paraId="7D8A11F8">
      <w:pPr>
        <w:rPr>
          <w:rFonts w:hint="eastAsia" w:ascii="黑体" w:eastAsia="黑体"/>
          <w:color w:val="auto"/>
          <w:sz w:val="32"/>
          <w:szCs w:val="32"/>
        </w:rPr>
      </w:pPr>
    </w:p>
    <w:p w14:paraId="1A4F0E06">
      <w:pPr>
        <w:rPr>
          <w:rFonts w:hint="eastAsia" w:ascii="黑体" w:eastAsia="黑体"/>
          <w:color w:val="auto"/>
          <w:sz w:val="32"/>
          <w:szCs w:val="32"/>
        </w:rPr>
      </w:pPr>
    </w:p>
    <w:p w14:paraId="283C2FD7">
      <w:pPr>
        <w:rPr>
          <w:rFonts w:hint="eastAsia" w:ascii="黑体" w:eastAsia="黑体"/>
          <w:color w:val="auto"/>
          <w:sz w:val="32"/>
          <w:szCs w:val="32"/>
        </w:rPr>
      </w:pPr>
    </w:p>
    <w:p w14:paraId="7C46B752">
      <w:pPr>
        <w:rPr>
          <w:rFonts w:hint="eastAsia" w:ascii="黑体" w:eastAsia="黑体"/>
          <w:color w:val="auto"/>
          <w:sz w:val="32"/>
          <w:szCs w:val="32"/>
        </w:rPr>
      </w:pPr>
    </w:p>
    <w:p w14:paraId="1493D3A6">
      <w:pPr>
        <w:jc w:val="center"/>
        <w:rPr>
          <w:rFonts w:hint="eastAsia" w:ascii="黑体" w:eastAsia="黑体"/>
          <w:color w:val="auto"/>
          <w:sz w:val="28"/>
          <w:szCs w:val="28"/>
        </w:rPr>
      </w:pPr>
      <w:r>
        <w:rPr>
          <w:rFonts w:hint="eastAsia" w:ascii="黑体" w:eastAsia="黑体"/>
          <w:color w:val="auto"/>
          <w:sz w:val="32"/>
          <w:szCs w:val="32"/>
          <w:u w:val="single"/>
        </w:rPr>
        <w:t xml:space="preserve">        </w:t>
      </w:r>
      <w:r>
        <w:rPr>
          <w:rFonts w:hint="eastAsia" w:ascii="宋体" w:hAnsi="宋体"/>
          <w:color w:val="auto"/>
          <w:sz w:val="28"/>
          <w:szCs w:val="28"/>
          <w:u w:val="single"/>
        </w:rPr>
        <w:t xml:space="preserve"> </w:t>
      </w:r>
      <w:r>
        <w:rPr>
          <w:rFonts w:ascii="宋体" w:hAnsi="宋体"/>
          <w:color w:val="auto"/>
          <w:sz w:val="28"/>
          <w:szCs w:val="28"/>
          <w:u w:val="single"/>
        </w:rPr>
        <w:t xml:space="preserve">     </w:t>
      </w:r>
      <w:r>
        <w:rPr>
          <w:rFonts w:hint="eastAsia" w:ascii="黑体" w:eastAsia="黑体"/>
          <w:color w:val="auto"/>
          <w:sz w:val="28"/>
          <w:szCs w:val="28"/>
          <w:u w:val="single"/>
        </w:rPr>
        <w:t xml:space="preserve">   </w:t>
      </w:r>
      <w:r>
        <w:rPr>
          <w:rFonts w:hint="eastAsia" w:ascii="宋体" w:hAnsi="宋体"/>
          <w:color w:val="auto"/>
          <w:sz w:val="28"/>
          <w:szCs w:val="28"/>
        </w:rPr>
        <w:t>（标段名称）</w:t>
      </w:r>
      <w:r>
        <w:rPr>
          <w:rFonts w:hint="eastAsia" w:ascii="黑体" w:eastAsia="黑体"/>
          <w:color w:val="auto"/>
          <w:sz w:val="28"/>
          <w:szCs w:val="28"/>
        </w:rPr>
        <w:t>项目招标</w:t>
      </w:r>
    </w:p>
    <w:p w14:paraId="2BCEB061">
      <w:pPr>
        <w:spacing w:before="312" w:beforeLines="100"/>
        <w:jc w:val="center"/>
        <w:rPr>
          <w:rFonts w:hint="eastAsia" w:ascii="黑体" w:eastAsia="黑体"/>
          <w:color w:val="auto"/>
          <w:sz w:val="44"/>
          <w:szCs w:val="44"/>
        </w:rPr>
      </w:pPr>
      <w:r>
        <w:rPr>
          <w:rFonts w:hint="eastAsia" w:ascii="黑体" w:eastAsia="黑体"/>
          <w:color w:val="auto"/>
          <w:sz w:val="44"/>
          <w:szCs w:val="44"/>
        </w:rPr>
        <w:t>投  标  文  件</w:t>
      </w:r>
    </w:p>
    <w:p w14:paraId="19B2AB12">
      <w:pPr>
        <w:jc w:val="center"/>
        <w:rPr>
          <w:rFonts w:hint="eastAsia" w:ascii="黑体" w:eastAsia="黑体"/>
          <w:color w:val="auto"/>
          <w:sz w:val="32"/>
          <w:szCs w:val="32"/>
        </w:rPr>
      </w:pPr>
    </w:p>
    <w:p w14:paraId="0CE657F6">
      <w:pPr>
        <w:jc w:val="center"/>
        <w:rPr>
          <w:rFonts w:hint="eastAsia" w:ascii="黑体" w:eastAsia="黑体"/>
          <w:color w:val="auto"/>
          <w:sz w:val="32"/>
          <w:szCs w:val="32"/>
        </w:rPr>
      </w:pPr>
    </w:p>
    <w:p w14:paraId="695ADD85">
      <w:pPr>
        <w:jc w:val="center"/>
        <w:rPr>
          <w:rFonts w:hint="eastAsia" w:ascii="楷体_GB2312" w:eastAsia="楷体_GB2312"/>
          <w:color w:val="auto"/>
          <w:sz w:val="28"/>
          <w:szCs w:val="28"/>
        </w:rPr>
      </w:pPr>
      <w:r>
        <w:rPr>
          <w:rFonts w:hint="eastAsia" w:ascii="楷体_GB2312" w:eastAsia="楷体_GB2312"/>
          <w:color w:val="auto"/>
          <w:sz w:val="28"/>
          <w:szCs w:val="28"/>
        </w:rPr>
        <w:t>（标段唯一标识码：</w:t>
      </w:r>
      <w:r>
        <w:rPr>
          <w:rFonts w:hint="eastAsia" w:ascii="楷体_GB2312" w:eastAsia="楷体_GB2312"/>
          <w:color w:val="auto"/>
          <w:sz w:val="28"/>
          <w:szCs w:val="28"/>
          <w:u w:val="single"/>
        </w:rPr>
        <w:t xml:space="preserve"> </w:t>
      </w:r>
      <w:r>
        <w:rPr>
          <w:rFonts w:ascii="楷体_GB2312" w:eastAsia="楷体_GB2312"/>
          <w:color w:val="auto"/>
          <w:sz w:val="28"/>
          <w:szCs w:val="28"/>
          <w:u w:val="single"/>
        </w:rPr>
        <w:t xml:space="preserve">                 </w:t>
      </w:r>
      <w:r>
        <w:rPr>
          <w:rFonts w:hint="eastAsia" w:ascii="楷体_GB2312" w:eastAsia="楷体_GB2312"/>
          <w:color w:val="auto"/>
          <w:sz w:val="28"/>
          <w:szCs w:val="28"/>
        </w:rPr>
        <w:t>）</w:t>
      </w:r>
    </w:p>
    <w:p w14:paraId="303E071F">
      <w:pPr>
        <w:jc w:val="center"/>
        <w:rPr>
          <w:rFonts w:hint="eastAsia" w:ascii="黑体" w:eastAsia="黑体"/>
          <w:color w:val="auto"/>
          <w:sz w:val="32"/>
          <w:szCs w:val="32"/>
        </w:rPr>
      </w:pPr>
      <w:r>
        <w:rPr>
          <w:rFonts w:hint="eastAsia" w:ascii="楷体_GB2312" w:eastAsia="楷体_GB2312"/>
          <w:color w:val="auto"/>
          <w:sz w:val="28"/>
          <w:szCs w:val="28"/>
        </w:rPr>
        <w:t>（标段编号</w:t>
      </w:r>
      <w:r>
        <w:rPr>
          <w:rFonts w:hint="eastAsia" w:ascii="楷体_GB2312" w:eastAsia="楷体_GB2312"/>
          <w:color w:val="auto"/>
          <w:sz w:val="28"/>
          <w:szCs w:val="28"/>
          <w:lang w:eastAsia="zh-CN"/>
        </w:rPr>
        <w:t>：</w:t>
      </w:r>
      <w:r>
        <w:rPr>
          <w:rFonts w:hint="eastAsia" w:ascii="楷体_GB2312" w:eastAsia="楷体_GB2312"/>
          <w:color w:val="auto"/>
          <w:sz w:val="28"/>
          <w:szCs w:val="28"/>
          <w:u w:val="single"/>
        </w:rPr>
        <w:t xml:space="preserve"> </w:t>
      </w:r>
      <w:r>
        <w:rPr>
          <w:rFonts w:ascii="楷体_GB2312" w:eastAsia="楷体_GB2312"/>
          <w:color w:val="auto"/>
          <w:sz w:val="28"/>
          <w:szCs w:val="28"/>
          <w:u w:val="single"/>
        </w:rPr>
        <w:t xml:space="preserve">  </w:t>
      </w:r>
      <w:r>
        <w:rPr>
          <w:rFonts w:hint="eastAsia" w:ascii="楷体_GB2312" w:eastAsia="楷体_GB2312"/>
          <w:color w:val="auto"/>
          <w:sz w:val="28"/>
          <w:szCs w:val="28"/>
          <w:u w:val="single"/>
        </w:rPr>
        <w:t xml:space="preserve">       </w:t>
      </w:r>
      <w:r>
        <w:rPr>
          <w:rFonts w:ascii="楷体_GB2312" w:eastAsia="楷体_GB2312"/>
          <w:color w:val="auto"/>
          <w:sz w:val="28"/>
          <w:szCs w:val="28"/>
          <w:u w:val="single"/>
        </w:rPr>
        <w:t xml:space="preserve">               </w:t>
      </w:r>
      <w:r>
        <w:rPr>
          <w:rFonts w:hint="eastAsia" w:ascii="楷体_GB2312" w:eastAsia="楷体_GB2312"/>
          <w:color w:val="auto"/>
          <w:sz w:val="28"/>
          <w:szCs w:val="28"/>
        </w:rPr>
        <w:t>）</w:t>
      </w:r>
    </w:p>
    <w:p w14:paraId="494ECF41">
      <w:pPr>
        <w:jc w:val="center"/>
        <w:rPr>
          <w:rFonts w:hint="eastAsia" w:ascii="黑体" w:eastAsia="黑体"/>
          <w:color w:val="auto"/>
          <w:sz w:val="32"/>
          <w:szCs w:val="32"/>
        </w:rPr>
      </w:pPr>
    </w:p>
    <w:p w14:paraId="35C0614A">
      <w:pPr>
        <w:jc w:val="center"/>
        <w:rPr>
          <w:rFonts w:hint="eastAsia" w:ascii="黑体" w:eastAsia="黑体"/>
          <w:color w:val="auto"/>
          <w:sz w:val="32"/>
          <w:szCs w:val="32"/>
        </w:rPr>
      </w:pPr>
    </w:p>
    <w:p w14:paraId="37395DD4">
      <w:pPr>
        <w:jc w:val="both"/>
        <w:rPr>
          <w:rFonts w:hint="eastAsia" w:ascii="黑体" w:eastAsia="黑体"/>
          <w:color w:val="auto"/>
          <w:sz w:val="32"/>
          <w:szCs w:val="32"/>
        </w:rPr>
      </w:pPr>
    </w:p>
    <w:p w14:paraId="59A064AA">
      <w:pPr>
        <w:jc w:val="center"/>
        <w:rPr>
          <w:rFonts w:hint="eastAsia" w:ascii="黑体" w:eastAsia="黑体"/>
          <w:color w:val="auto"/>
          <w:sz w:val="32"/>
          <w:szCs w:val="32"/>
        </w:rPr>
      </w:pPr>
    </w:p>
    <w:p w14:paraId="175F820F">
      <w:pPr>
        <w:jc w:val="both"/>
        <w:rPr>
          <w:rFonts w:hint="eastAsia" w:ascii="黑体" w:eastAsia="黑体"/>
          <w:color w:val="auto"/>
          <w:sz w:val="32"/>
          <w:szCs w:val="32"/>
        </w:rPr>
      </w:pPr>
    </w:p>
    <w:p w14:paraId="6E0CC47C">
      <w:pPr>
        <w:jc w:val="center"/>
        <w:rPr>
          <w:rFonts w:hint="eastAsia" w:ascii="黑体" w:eastAsia="黑体"/>
          <w:color w:val="auto"/>
          <w:sz w:val="32"/>
          <w:szCs w:val="32"/>
        </w:rPr>
      </w:pPr>
    </w:p>
    <w:p w14:paraId="4AC2A606">
      <w:pPr>
        <w:spacing w:line="360" w:lineRule="auto"/>
        <w:jc w:val="center"/>
        <w:rPr>
          <w:rFonts w:hint="eastAsia" w:ascii="黑体" w:eastAsia="黑体"/>
          <w:color w:val="auto"/>
          <w:sz w:val="28"/>
          <w:szCs w:val="28"/>
        </w:rPr>
      </w:pPr>
      <w:r>
        <w:rPr>
          <w:rFonts w:hint="eastAsia" w:ascii="黑体" w:eastAsia="黑体"/>
          <w:color w:val="auto"/>
          <w:sz w:val="28"/>
          <w:szCs w:val="28"/>
        </w:rPr>
        <w:t>投标人：</w:t>
      </w:r>
      <w:r>
        <w:rPr>
          <w:rFonts w:hint="eastAsia" w:ascii="黑体" w:eastAsia="黑体"/>
          <w:color w:val="auto"/>
          <w:sz w:val="28"/>
          <w:szCs w:val="28"/>
          <w:u w:val="single"/>
        </w:rPr>
        <w:t xml:space="preserve">                           </w:t>
      </w:r>
      <w:r>
        <w:rPr>
          <w:rFonts w:hint="eastAsia" w:ascii="黑体" w:eastAsia="黑体"/>
          <w:color w:val="auto"/>
          <w:sz w:val="28"/>
          <w:szCs w:val="28"/>
        </w:rPr>
        <w:t>（盖单位章）</w:t>
      </w:r>
    </w:p>
    <w:p w14:paraId="424DC749">
      <w:pPr>
        <w:spacing w:line="360" w:lineRule="auto"/>
        <w:jc w:val="center"/>
        <w:rPr>
          <w:rFonts w:hint="eastAsia" w:ascii="黑体" w:eastAsia="黑体"/>
          <w:color w:val="auto"/>
          <w:sz w:val="28"/>
          <w:szCs w:val="28"/>
        </w:rPr>
      </w:pPr>
      <w:r>
        <w:rPr>
          <w:rFonts w:hint="eastAsia" w:ascii="黑体" w:eastAsia="黑体"/>
          <w:color w:val="auto"/>
          <w:sz w:val="28"/>
          <w:szCs w:val="28"/>
        </w:rPr>
        <w:t>法定代表人或授权委托人：</w:t>
      </w:r>
      <w:r>
        <w:rPr>
          <w:rFonts w:hint="eastAsia" w:ascii="黑体" w:eastAsia="黑体"/>
          <w:color w:val="auto"/>
          <w:sz w:val="28"/>
          <w:szCs w:val="28"/>
          <w:u w:val="single"/>
        </w:rPr>
        <w:t xml:space="preserve">     </w:t>
      </w:r>
      <w:r>
        <w:rPr>
          <w:rFonts w:ascii="黑体" w:eastAsia="黑体"/>
          <w:color w:val="auto"/>
          <w:sz w:val="28"/>
          <w:szCs w:val="28"/>
          <w:u w:val="single"/>
        </w:rPr>
        <w:t xml:space="preserve"> </w:t>
      </w:r>
      <w:r>
        <w:rPr>
          <w:rFonts w:hint="eastAsia" w:ascii="黑体" w:eastAsia="黑体"/>
          <w:color w:val="auto"/>
          <w:sz w:val="28"/>
          <w:szCs w:val="28"/>
          <w:u w:val="single"/>
        </w:rPr>
        <w:t xml:space="preserve"> </w:t>
      </w:r>
      <w:r>
        <w:rPr>
          <w:rFonts w:ascii="黑体" w:eastAsia="黑体"/>
          <w:color w:val="auto"/>
          <w:sz w:val="28"/>
          <w:szCs w:val="28"/>
          <w:u w:val="single"/>
        </w:rPr>
        <w:t xml:space="preserve">  </w:t>
      </w:r>
      <w:r>
        <w:rPr>
          <w:rFonts w:hint="eastAsia" w:ascii="黑体" w:eastAsia="黑体"/>
          <w:color w:val="auto"/>
          <w:sz w:val="28"/>
          <w:szCs w:val="28"/>
          <w:u w:val="single"/>
        </w:rPr>
        <w:t xml:space="preserve">      </w:t>
      </w:r>
      <w:r>
        <w:rPr>
          <w:rFonts w:hint="eastAsia" w:ascii="黑体" w:eastAsia="黑体"/>
          <w:color w:val="auto"/>
          <w:sz w:val="28"/>
          <w:szCs w:val="28"/>
        </w:rPr>
        <w:t>（签章）</w:t>
      </w:r>
    </w:p>
    <w:p w14:paraId="3F231A47">
      <w:pPr>
        <w:jc w:val="center"/>
        <w:rPr>
          <w:rFonts w:hint="eastAsia" w:ascii="黑体" w:eastAsia="黑体"/>
          <w:color w:val="auto"/>
          <w:sz w:val="28"/>
          <w:szCs w:val="28"/>
        </w:rPr>
      </w:pPr>
    </w:p>
    <w:p w14:paraId="16471860">
      <w:pPr>
        <w:jc w:val="center"/>
        <w:rPr>
          <w:color w:val="auto"/>
        </w:rPr>
        <w:sectPr>
          <w:pgSz w:w="11906" w:h="16838"/>
          <w:pgMar w:top="1440" w:right="1800" w:bottom="1440" w:left="1800" w:header="851" w:footer="992" w:gutter="0"/>
          <w:cols w:space="425" w:num="1"/>
          <w:docGrid w:type="lines" w:linePitch="312" w:charSpace="0"/>
        </w:sectPr>
      </w:pPr>
      <w:r>
        <w:rPr>
          <w:rFonts w:hint="eastAsia" w:ascii="黑体" w:eastAsia="黑体"/>
          <w:color w:val="auto"/>
          <w:sz w:val="28"/>
          <w:szCs w:val="28"/>
          <w:u w:val="single"/>
        </w:rPr>
        <w:t xml:space="preserve">      </w:t>
      </w:r>
      <w:r>
        <w:rPr>
          <w:rFonts w:hint="eastAsia" w:ascii="黑体" w:eastAsia="黑体"/>
          <w:color w:val="auto"/>
          <w:sz w:val="28"/>
          <w:szCs w:val="28"/>
        </w:rPr>
        <w:t>年</w:t>
      </w:r>
      <w:r>
        <w:rPr>
          <w:rFonts w:hint="eastAsia" w:ascii="黑体" w:eastAsia="黑体"/>
          <w:color w:val="auto"/>
          <w:sz w:val="28"/>
          <w:szCs w:val="28"/>
          <w:u w:val="single"/>
        </w:rPr>
        <w:t xml:space="preserve">      </w:t>
      </w:r>
      <w:r>
        <w:rPr>
          <w:rFonts w:hint="eastAsia" w:ascii="黑体" w:eastAsia="黑体"/>
          <w:color w:val="auto"/>
          <w:sz w:val="28"/>
          <w:szCs w:val="28"/>
        </w:rPr>
        <w:t>月</w:t>
      </w:r>
      <w:r>
        <w:rPr>
          <w:rFonts w:hint="eastAsia" w:ascii="黑体" w:eastAsia="黑体"/>
          <w:color w:val="auto"/>
          <w:sz w:val="28"/>
          <w:szCs w:val="28"/>
          <w:u w:val="single"/>
        </w:rPr>
        <w:t xml:space="preserve">     </w:t>
      </w:r>
      <w:r>
        <w:rPr>
          <w:rFonts w:hint="eastAsia" w:ascii="黑体" w:eastAsia="黑体"/>
          <w:color w:val="auto"/>
          <w:sz w:val="28"/>
          <w:szCs w:val="28"/>
        </w:rPr>
        <w:t>日</w:t>
      </w:r>
    </w:p>
    <w:p w14:paraId="2582B0D5">
      <w:pPr>
        <w:pStyle w:val="25"/>
        <w:jc w:val="center"/>
        <w:rPr>
          <w:rFonts w:hint="eastAsia" w:ascii="黑体"/>
          <w:color w:val="auto"/>
          <w:szCs w:val="28"/>
        </w:rPr>
      </w:pPr>
      <w:bookmarkStart w:id="1982" w:name="_Toc122603068"/>
      <w:bookmarkStart w:id="1983" w:name="_Toc2201"/>
      <w:r>
        <w:rPr>
          <w:rFonts w:hint="eastAsia"/>
          <w:color w:val="auto"/>
        </w:rPr>
        <w:t>目    录</w:t>
      </w:r>
      <w:bookmarkEnd w:id="1982"/>
      <w:bookmarkEnd w:id="1983"/>
    </w:p>
    <w:p w14:paraId="71AA1DA0">
      <w:pPr>
        <w:spacing w:line="600" w:lineRule="exact"/>
        <w:rPr>
          <w:rFonts w:ascii="宋体" w:hAnsi="宋体"/>
          <w:color w:val="auto"/>
          <w:szCs w:val="21"/>
        </w:rPr>
      </w:pPr>
    </w:p>
    <w:p w14:paraId="33B823A9">
      <w:pPr>
        <w:numPr>
          <w:ilvl w:val="0"/>
          <w:numId w:val="3"/>
        </w:numPr>
        <w:spacing w:line="360" w:lineRule="auto"/>
        <w:rPr>
          <w:rFonts w:hint="eastAsia" w:ascii="宋体" w:hAnsi="宋体" w:eastAsia="宋体" w:cs="宋体"/>
          <w:color w:val="auto"/>
        </w:rPr>
      </w:pPr>
      <w:r>
        <w:rPr>
          <w:rFonts w:hint="eastAsia" w:ascii="宋体" w:hAnsi="宋体" w:eastAsia="宋体" w:cs="宋体"/>
          <w:color w:val="auto"/>
        </w:rPr>
        <w:t>投标函及投标函附录等</w:t>
      </w:r>
      <w:r>
        <w:rPr>
          <w:rFonts w:hint="eastAsia" w:ascii="宋体" w:hAnsi="宋体" w:eastAsia="宋体" w:cs="宋体"/>
          <w:color w:val="auto"/>
        </w:rPr>
        <w:br w:type="textWrapping"/>
      </w:r>
      <w:r>
        <w:rPr>
          <w:rFonts w:hint="eastAsia" w:ascii="宋体" w:hAnsi="宋体" w:eastAsia="宋体" w:cs="宋体"/>
          <w:color w:val="auto"/>
        </w:rPr>
        <w:t>二、法定代表人身份证明或授权委托书</w:t>
      </w:r>
      <w:r>
        <w:rPr>
          <w:rFonts w:hint="eastAsia" w:ascii="宋体" w:hAnsi="宋体" w:eastAsia="宋体" w:cs="宋体"/>
          <w:color w:val="auto"/>
        </w:rPr>
        <w:br w:type="textWrapping"/>
      </w:r>
      <w:r>
        <w:rPr>
          <w:rFonts w:hint="eastAsia" w:ascii="宋体" w:hAnsi="宋体" w:eastAsia="宋体" w:cs="宋体"/>
          <w:color w:val="auto"/>
        </w:rPr>
        <w:t>三、投标保证金</w:t>
      </w:r>
      <w:r>
        <w:rPr>
          <w:rFonts w:hint="eastAsia" w:ascii="宋体" w:hAnsi="宋体" w:eastAsia="宋体" w:cs="宋体"/>
          <w:color w:val="auto"/>
        </w:rPr>
        <w:br w:type="textWrapping"/>
      </w:r>
      <w:r>
        <w:rPr>
          <w:rFonts w:hint="eastAsia" w:ascii="宋体" w:hAnsi="宋体" w:eastAsia="宋体" w:cs="宋体"/>
          <w:color w:val="auto"/>
        </w:rPr>
        <w:t>四、联合体协议书</w:t>
      </w:r>
      <w:r>
        <w:rPr>
          <w:rFonts w:hint="eastAsia" w:ascii="宋体" w:hAnsi="宋体" w:eastAsia="宋体" w:cs="宋体"/>
          <w:color w:val="auto"/>
        </w:rPr>
        <w:br w:type="textWrapping"/>
      </w:r>
      <w:r>
        <w:rPr>
          <w:rFonts w:hint="eastAsia" w:ascii="宋体" w:hAnsi="宋体" w:eastAsia="宋体" w:cs="宋体"/>
          <w:color w:val="auto"/>
        </w:rPr>
        <w:t>五、拟分包计划表</w:t>
      </w:r>
      <w:r>
        <w:rPr>
          <w:rFonts w:hint="eastAsia" w:ascii="宋体" w:hAnsi="宋体" w:eastAsia="宋体" w:cs="宋体"/>
          <w:color w:val="auto"/>
        </w:rPr>
        <w:br w:type="textWrapping"/>
      </w:r>
      <w:r>
        <w:rPr>
          <w:rFonts w:hint="eastAsia" w:ascii="宋体" w:hAnsi="宋体" w:eastAsia="宋体" w:cs="宋体"/>
          <w:color w:val="auto"/>
        </w:rPr>
        <w:t>六、项目管理机构</w:t>
      </w:r>
      <w:r>
        <w:rPr>
          <w:rFonts w:hint="eastAsia" w:ascii="宋体" w:hAnsi="宋体" w:eastAsia="宋体" w:cs="宋体"/>
          <w:color w:val="auto"/>
        </w:rPr>
        <w:br w:type="textWrapping"/>
      </w:r>
      <w:r>
        <w:rPr>
          <w:rFonts w:hint="eastAsia" w:ascii="宋体" w:hAnsi="宋体" w:eastAsia="宋体" w:cs="宋体"/>
          <w:color w:val="auto"/>
        </w:rPr>
        <w:t>七、资格审查资料</w:t>
      </w:r>
      <w:r>
        <w:rPr>
          <w:rFonts w:hint="eastAsia" w:ascii="宋体" w:hAnsi="宋体" w:eastAsia="宋体" w:cs="宋体"/>
          <w:color w:val="auto"/>
        </w:rPr>
        <w:br w:type="textWrapping"/>
      </w:r>
      <w:r>
        <w:rPr>
          <w:rFonts w:hint="eastAsia" w:ascii="宋体" w:hAnsi="宋体" w:eastAsia="宋体" w:cs="宋体"/>
          <w:color w:val="auto"/>
        </w:rPr>
        <w:t>八、已标价工程量清单</w:t>
      </w:r>
      <w:r>
        <w:rPr>
          <w:rFonts w:hint="eastAsia" w:ascii="宋体" w:hAnsi="宋体" w:eastAsia="宋体" w:cs="宋体"/>
          <w:color w:val="auto"/>
        </w:rPr>
        <w:br w:type="textWrapping"/>
      </w:r>
      <w:r>
        <w:rPr>
          <w:rFonts w:hint="eastAsia" w:ascii="宋体" w:hAnsi="宋体" w:eastAsia="宋体" w:cs="宋体"/>
          <w:color w:val="auto"/>
        </w:rPr>
        <w:t>九、施工组织设计</w:t>
      </w:r>
      <w:r>
        <w:rPr>
          <w:rFonts w:hint="eastAsia" w:ascii="宋体" w:hAnsi="宋体" w:eastAsia="宋体" w:cs="宋体"/>
          <w:color w:val="auto"/>
        </w:rPr>
        <w:br w:type="textWrapping"/>
      </w:r>
      <w:r>
        <w:rPr>
          <w:rFonts w:hint="eastAsia" w:ascii="宋体" w:hAnsi="宋体" w:eastAsia="宋体" w:cs="宋体"/>
          <w:color w:val="auto"/>
        </w:rPr>
        <w:t>十、其他材料</w:t>
      </w:r>
    </w:p>
    <w:p w14:paraId="0A3B08BE">
      <w:pPr>
        <w:widowControl w:val="0"/>
        <w:numPr>
          <w:ilvl w:val="0"/>
          <w:numId w:val="0"/>
        </w:numPr>
        <w:jc w:val="both"/>
        <w:rPr>
          <w:rFonts w:hint="eastAsia" w:ascii="宋体" w:hAnsi="宋体" w:eastAsia="宋体" w:cs="宋体"/>
          <w:color w:val="auto"/>
        </w:rPr>
      </w:pPr>
    </w:p>
    <w:p w14:paraId="31CEA5CA">
      <w:pPr>
        <w:widowControl w:val="0"/>
        <w:numPr>
          <w:ilvl w:val="0"/>
          <w:numId w:val="0"/>
        </w:numPr>
        <w:jc w:val="both"/>
        <w:rPr>
          <w:rFonts w:hint="eastAsia" w:ascii="宋体" w:hAnsi="宋体" w:eastAsia="宋体" w:cs="宋体"/>
          <w:color w:val="auto"/>
        </w:rPr>
        <w:sectPr>
          <w:pgSz w:w="11906" w:h="16838"/>
          <w:pgMar w:top="1440" w:right="1800" w:bottom="1440" w:left="1800" w:header="851" w:footer="992" w:gutter="0"/>
          <w:cols w:space="425" w:num="1"/>
          <w:docGrid w:type="lines" w:linePitch="312" w:charSpace="0"/>
        </w:sectPr>
      </w:pPr>
    </w:p>
    <w:p w14:paraId="015DB22D">
      <w:pPr>
        <w:bidi w:val="0"/>
        <w:rPr>
          <w:rFonts w:hint="default"/>
          <w:color w:val="auto"/>
        </w:rPr>
      </w:pPr>
    </w:p>
    <w:p w14:paraId="5063D1DE">
      <w:pPr>
        <w:bidi w:val="0"/>
        <w:rPr>
          <w:rFonts w:hint="default"/>
          <w:color w:val="auto"/>
        </w:rPr>
      </w:pPr>
    </w:p>
    <w:p w14:paraId="08D63EB5">
      <w:pPr>
        <w:bidi w:val="0"/>
        <w:rPr>
          <w:rFonts w:hint="default"/>
          <w:color w:val="auto"/>
        </w:rPr>
      </w:pPr>
    </w:p>
    <w:p w14:paraId="603CF10C">
      <w:pPr>
        <w:bidi w:val="0"/>
        <w:rPr>
          <w:rFonts w:hint="default"/>
          <w:color w:val="auto"/>
        </w:rPr>
      </w:pPr>
    </w:p>
    <w:p w14:paraId="256AA5BB">
      <w:pPr>
        <w:bidi w:val="0"/>
        <w:rPr>
          <w:rFonts w:hint="default"/>
          <w:color w:val="auto"/>
        </w:rPr>
      </w:pPr>
    </w:p>
    <w:p w14:paraId="17624FCE">
      <w:pPr>
        <w:bidi w:val="0"/>
        <w:rPr>
          <w:rFonts w:hint="default"/>
          <w:color w:val="auto"/>
        </w:rPr>
      </w:pPr>
    </w:p>
    <w:p w14:paraId="206DBA79">
      <w:pPr>
        <w:bidi w:val="0"/>
        <w:rPr>
          <w:rFonts w:hint="default"/>
          <w:color w:val="auto"/>
        </w:rPr>
      </w:pPr>
    </w:p>
    <w:p w14:paraId="6603B72B">
      <w:pPr>
        <w:bidi w:val="0"/>
        <w:rPr>
          <w:rFonts w:hint="default"/>
          <w:color w:val="auto"/>
        </w:rPr>
      </w:pPr>
    </w:p>
    <w:p w14:paraId="0C0D1C29">
      <w:pPr>
        <w:bidi w:val="0"/>
        <w:rPr>
          <w:rFonts w:hint="default"/>
          <w:color w:val="auto"/>
        </w:rPr>
      </w:pPr>
    </w:p>
    <w:p w14:paraId="445A2092">
      <w:pPr>
        <w:bidi w:val="0"/>
        <w:rPr>
          <w:rFonts w:hint="default"/>
          <w:color w:val="auto"/>
        </w:rPr>
      </w:pPr>
    </w:p>
    <w:p w14:paraId="1A50326F">
      <w:pPr>
        <w:bidi w:val="0"/>
        <w:rPr>
          <w:rFonts w:hint="default"/>
          <w:color w:val="auto"/>
        </w:rPr>
      </w:pPr>
    </w:p>
    <w:p w14:paraId="0821A8B2">
      <w:pPr>
        <w:bidi w:val="0"/>
        <w:rPr>
          <w:rFonts w:hint="default"/>
          <w:color w:val="auto"/>
        </w:rPr>
      </w:pPr>
    </w:p>
    <w:p w14:paraId="0A141784">
      <w:pPr>
        <w:bidi w:val="0"/>
        <w:rPr>
          <w:rFonts w:hint="default"/>
          <w:color w:val="auto"/>
        </w:rPr>
      </w:pPr>
    </w:p>
    <w:p w14:paraId="721BB294">
      <w:pPr>
        <w:bidi w:val="0"/>
        <w:rPr>
          <w:rFonts w:hint="default"/>
          <w:color w:val="auto"/>
        </w:rPr>
      </w:pPr>
    </w:p>
    <w:p w14:paraId="1321614F">
      <w:pPr>
        <w:pStyle w:val="25"/>
        <w:widowControl/>
        <w:ind w:left="0" w:right="0"/>
        <w:jc w:val="center"/>
        <w:rPr>
          <w:b w:val="0"/>
          <w:bCs w:val="0"/>
          <w:color w:val="auto"/>
        </w:rPr>
        <w:sectPr>
          <w:footerReference r:id="rId25" w:type="default"/>
          <w:pgSz w:w="11906" w:h="16838"/>
          <w:pgMar w:top="1440" w:right="1800" w:bottom="1440" w:left="1800" w:header="851" w:footer="992" w:gutter="0"/>
          <w:pgNumType w:fmt="decimal"/>
          <w:cols w:space="425" w:num="1"/>
          <w:docGrid w:type="lines" w:linePitch="312" w:charSpace="0"/>
        </w:sectPr>
      </w:pPr>
      <w:bookmarkStart w:id="1984" w:name="_Toc24604"/>
      <w:r>
        <w:rPr>
          <w:rFonts w:hint="default" w:ascii="黑体" w:hAnsi="宋体" w:cs="黑体"/>
          <w:b w:val="0"/>
          <w:bCs w:val="0"/>
          <w:color w:val="auto"/>
          <w:kern w:val="2"/>
          <w:sz w:val="28"/>
          <w:szCs w:val="28"/>
        </w:rPr>
        <w:t>一</w:t>
      </w:r>
      <w:r>
        <w:rPr>
          <w:rFonts w:hint="eastAsia" w:ascii="黑体" w:hAnsi="宋体" w:eastAsia="黑体" w:cs="黑体"/>
          <w:b w:val="0"/>
          <w:bCs w:val="0"/>
          <w:color w:val="auto"/>
          <w:kern w:val="2"/>
          <w:sz w:val="28"/>
          <w:szCs w:val="28"/>
        </w:rPr>
        <w:t>、投标函及投标函附录等</w:t>
      </w:r>
      <w:bookmarkEnd w:id="1984"/>
    </w:p>
    <w:p w14:paraId="02D1173F">
      <w:pPr>
        <w:pStyle w:val="27"/>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sz w:val="28"/>
          <w:szCs w:val="28"/>
        </w:rPr>
      </w:pPr>
      <w:bookmarkStart w:id="1985" w:name="_Toc23118"/>
      <w:bookmarkStart w:id="1986" w:name="_Toc122603070"/>
      <w:r>
        <w:rPr>
          <w:rFonts w:hint="eastAsia"/>
          <w:color w:val="auto"/>
          <w:sz w:val="28"/>
          <w:szCs w:val="28"/>
          <w:lang w:eastAsia="zh-CN"/>
        </w:rPr>
        <w:t>（</w:t>
      </w:r>
      <w:r>
        <w:rPr>
          <w:rFonts w:hint="default"/>
          <w:color w:val="auto"/>
          <w:sz w:val="28"/>
          <w:szCs w:val="28"/>
        </w:rPr>
        <w:t>一</w:t>
      </w:r>
      <w:r>
        <w:rPr>
          <w:rFonts w:hint="eastAsia"/>
          <w:color w:val="auto"/>
          <w:sz w:val="28"/>
          <w:szCs w:val="28"/>
          <w:lang w:eastAsia="zh-CN"/>
        </w:rPr>
        <w:t>）</w:t>
      </w:r>
      <w:r>
        <w:rPr>
          <w:rFonts w:hint="eastAsia"/>
          <w:color w:val="auto"/>
          <w:sz w:val="28"/>
          <w:szCs w:val="28"/>
        </w:rPr>
        <w:t>投标函</w:t>
      </w:r>
      <w:bookmarkEnd w:id="1985"/>
      <w:bookmarkEnd w:id="1986"/>
    </w:p>
    <w:p w14:paraId="4F157916">
      <w:pPr>
        <w:keepNext w:val="0"/>
        <w:keepLines w:val="0"/>
        <w:widowControl w:val="0"/>
        <w:suppressLineNumbers w:val="0"/>
        <w:spacing w:before="0" w:beforeAutospacing="0" w:after="0" w:afterAutospacing="0" w:line="440" w:lineRule="exact"/>
        <w:ind w:left="0" w:right="0"/>
        <w:jc w:val="left"/>
        <w:rPr>
          <w:rFonts w:hint="default"/>
          <w:color w:val="auto"/>
          <w:szCs w:val="21"/>
        </w:rPr>
      </w:pPr>
      <w:r>
        <w:rPr>
          <w:rFonts w:hint="default" w:ascii="Times New Roman" w:hAnsi="Times New Roman" w:eastAsia="宋体" w:cs="Times New Roman"/>
          <w:color w:val="auto"/>
          <w:kern w:val="2"/>
          <w:sz w:val="21"/>
          <w:szCs w:val="21"/>
          <w:u w:val="single"/>
          <w:lang w:val="en-US" w:eastAsia="zh-CN" w:bidi="ar"/>
        </w:rPr>
        <w:t xml:space="preserve">                         </w:t>
      </w:r>
      <w:r>
        <w:rPr>
          <w:rFonts w:hint="eastAsia" w:ascii="宋体" w:hAnsi="宋体" w:eastAsia="宋体" w:cs="宋体"/>
          <w:color w:val="auto"/>
          <w:kern w:val="2"/>
          <w:sz w:val="21"/>
          <w:szCs w:val="21"/>
          <w:lang w:val="en-US" w:eastAsia="zh-CN" w:bidi="ar"/>
        </w:rPr>
        <w:t>（招标人名称）：</w:t>
      </w:r>
    </w:p>
    <w:p w14:paraId="0C87D10C">
      <w:pPr>
        <w:spacing w:line="440" w:lineRule="exact"/>
        <w:ind w:firstLine="420" w:firstLineChars="200"/>
        <w:rPr>
          <w:color w:val="auto"/>
          <w:szCs w:val="21"/>
        </w:rPr>
      </w:pPr>
      <w:r>
        <w:rPr>
          <w:rFonts w:hint="default" w:ascii="Times New Roman" w:hAnsi="Times New Roman" w:eastAsia="宋体" w:cs="Times New Roman"/>
          <w:color w:val="auto"/>
          <w:kern w:val="2"/>
          <w:sz w:val="21"/>
          <w:szCs w:val="21"/>
          <w:lang w:val="en-US" w:eastAsia="zh-CN" w:bidi="ar"/>
        </w:rPr>
        <w:t>1.</w:t>
      </w:r>
      <w:r>
        <w:rPr>
          <w:color w:val="auto"/>
          <w:szCs w:val="21"/>
        </w:rPr>
        <w:t>我方已仔细研究了</w:t>
      </w:r>
      <w:r>
        <w:rPr>
          <w:color w:val="auto"/>
          <w:szCs w:val="21"/>
          <w:u w:val="single"/>
        </w:rPr>
        <w:t xml:space="preserve">            </w:t>
      </w:r>
      <w:r>
        <w:rPr>
          <w:color w:val="auto"/>
          <w:u w:val="single"/>
        </w:rPr>
        <w:t xml:space="preserve">  </w:t>
      </w:r>
      <w:r>
        <w:rPr>
          <w:rFonts w:hint="eastAsia"/>
          <w:color w:val="auto"/>
        </w:rPr>
        <w:t>（标段名称）</w:t>
      </w:r>
      <w:r>
        <w:rPr>
          <w:rFonts w:hint="eastAsia"/>
          <w:color w:val="auto"/>
          <w:szCs w:val="21"/>
        </w:rPr>
        <w:t>项目</w:t>
      </w:r>
      <w:r>
        <w:rPr>
          <w:color w:val="auto"/>
          <w:szCs w:val="21"/>
        </w:rPr>
        <w:t>招标文件的全部内容，</w:t>
      </w:r>
      <w:r>
        <w:rPr>
          <w:rFonts w:hint="eastAsia" w:ascii="宋体" w:hAnsi="宋体" w:eastAsia="宋体" w:cs="宋体"/>
          <w:color w:val="auto"/>
          <w:kern w:val="2"/>
          <w:sz w:val="21"/>
          <w:szCs w:val="21"/>
          <w:lang w:val="en-US" w:eastAsia="zh-CN" w:bidi="ar"/>
        </w:rPr>
        <w:t>愿意以</w:t>
      </w:r>
      <w:r>
        <w:rPr>
          <w:rFonts w:hint="eastAsia"/>
          <w:color w:val="auto"/>
          <w:szCs w:val="21"/>
        </w:rPr>
        <w:t>【</w:t>
      </w:r>
      <w:r>
        <w:rPr>
          <w:color w:val="auto"/>
          <w:szCs w:val="21"/>
        </w:rPr>
        <w:t>人民币（大写）</w:t>
      </w:r>
      <w:r>
        <w:rPr>
          <w:color w:val="auto"/>
          <w:szCs w:val="21"/>
          <w:u w:val="single"/>
        </w:rPr>
        <w:t xml:space="preserve">        </w:t>
      </w:r>
      <w:r>
        <w:rPr>
          <w:color w:val="auto"/>
          <w:szCs w:val="21"/>
        </w:rPr>
        <w:t>元（¥</w:t>
      </w:r>
      <w:r>
        <w:rPr>
          <w:color w:val="auto"/>
          <w:szCs w:val="21"/>
          <w:u w:val="single"/>
        </w:rPr>
        <w:t xml:space="preserve">      </w:t>
      </w:r>
      <w:r>
        <w:rPr>
          <w:color w:val="auto"/>
          <w:szCs w:val="21"/>
        </w:rPr>
        <w:t>元）</w:t>
      </w:r>
      <w:r>
        <w:rPr>
          <w:rFonts w:hint="eastAsia"/>
          <w:color w:val="auto"/>
          <w:szCs w:val="21"/>
        </w:rPr>
        <w:t>】</w:t>
      </w:r>
      <w:r>
        <w:rPr>
          <w:rFonts w:hint="eastAsia" w:ascii="宋体" w:hAnsi="宋体" w:eastAsia="宋体" w:cs="宋体"/>
          <w:color w:val="auto"/>
          <w:kern w:val="2"/>
          <w:sz w:val="21"/>
          <w:szCs w:val="21"/>
          <w:lang w:val="en-US" w:eastAsia="zh-CN" w:bidi="ar"/>
        </w:rPr>
        <w:t>的投标报价，</w:t>
      </w:r>
      <w:r>
        <w:rPr>
          <w:rFonts w:hint="eastAsia"/>
          <w:color w:val="auto"/>
          <w:szCs w:val="21"/>
        </w:rPr>
        <w:t>工期</w:t>
      </w:r>
      <w:r>
        <w:rPr>
          <w:rFonts w:hint="eastAsia"/>
          <w:color w:val="auto"/>
          <w:szCs w:val="21"/>
          <w:u w:val="single"/>
        </w:rPr>
        <w:t xml:space="preserve">          </w:t>
      </w:r>
      <w:r>
        <w:rPr>
          <w:rFonts w:hint="eastAsia"/>
          <w:color w:val="auto"/>
          <w:szCs w:val="21"/>
        </w:rPr>
        <w:t>日历天，</w:t>
      </w:r>
      <w:r>
        <w:rPr>
          <w:color w:val="auto"/>
          <w:szCs w:val="21"/>
        </w:rPr>
        <w:t>按合同约定实施和完成承包工程，修补工程中的任何缺陷，工程质量达到</w:t>
      </w:r>
      <w:r>
        <w:rPr>
          <w:color w:val="auto"/>
          <w:szCs w:val="21"/>
          <w:u w:val="single"/>
        </w:rPr>
        <w:t xml:space="preserve">               </w:t>
      </w:r>
      <w:r>
        <w:rPr>
          <w:color w:val="auto"/>
          <w:szCs w:val="21"/>
        </w:rPr>
        <w:t>。</w:t>
      </w:r>
    </w:p>
    <w:p w14:paraId="2E3C7288">
      <w:pPr>
        <w:spacing w:line="480" w:lineRule="exact"/>
        <w:ind w:firstLine="420" w:firstLineChars="200"/>
        <w:rPr>
          <w:rFonts w:ascii="宋体" w:hAnsi="宋体"/>
          <w:color w:val="auto"/>
          <w:szCs w:val="21"/>
        </w:rPr>
      </w:pPr>
      <w:r>
        <w:rPr>
          <w:rFonts w:hint="eastAsia" w:ascii="宋体" w:hAnsi="宋体"/>
          <w:color w:val="auto"/>
          <w:szCs w:val="21"/>
        </w:rPr>
        <w:t>在我方的上述投标</w:t>
      </w:r>
      <w:r>
        <w:rPr>
          <w:color w:val="auto"/>
          <w:szCs w:val="21"/>
        </w:rPr>
        <w:t>总</w:t>
      </w:r>
      <w:r>
        <w:rPr>
          <w:rFonts w:hint="eastAsia" w:ascii="宋体" w:hAnsi="宋体"/>
          <w:color w:val="auto"/>
          <w:szCs w:val="21"/>
        </w:rPr>
        <w:t xml:space="preserve">报价中，包括：安全文明施工费 </w:t>
      </w:r>
      <w:r>
        <w:rPr>
          <w:color w:val="auto"/>
          <w:szCs w:val="21"/>
        </w:rPr>
        <w:t>¥</w:t>
      </w:r>
      <w:r>
        <w:rPr>
          <w:rFonts w:hint="eastAsia"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rPr>
        <w:t xml:space="preserve">元；暂列金额 </w:t>
      </w:r>
      <w:r>
        <w:rPr>
          <w:color w:val="auto"/>
          <w:szCs w:val="21"/>
        </w:rPr>
        <w:t>¥</w:t>
      </w:r>
      <w:r>
        <w:rPr>
          <w:rFonts w:hint="eastAsia"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rPr>
        <w:t xml:space="preserve">元；专业工程暂估价 </w:t>
      </w:r>
      <w:r>
        <w:rPr>
          <w:color w:val="auto"/>
          <w:szCs w:val="21"/>
        </w:rPr>
        <w:t>¥</w:t>
      </w:r>
      <w:r>
        <w:rPr>
          <w:rFonts w:hint="eastAsia"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rPr>
        <w:t>元。</w:t>
      </w:r>
    </w:p>
    <w:p w14:paraId="72D252A7">
      <w:pPr>
        <w:spacing w:line="480" w:lineRule="exact"/>
        <w:ind w:firstLine="420" w:firstLineChars="200"/>
        <w:rPr>
          <w:rFonts w:ascii="宋体" w:hAnsi="宋体"/>
          <w:color w:val="auto"/>
          <w:szCs w:val="21"/>
        </w:rPr>
      </w:pPr>
      <w:r>
        <w:rPr>
          <w:rFonts w:hint="eastAsia"/>
          <w:color w:val="auto"/>
          <w:szCs w:val="21"/>
        </w:rPr>
        <w:t>2.我方拟派的项目经理</w:t>
      </w:r>
      <w:r>
        <w:rPr>
          <w:color w:val="auto"/>
          <w:szCs w:val="21"/>
        </w:rPr>
        <w:t>：</w:t>
      </w:r>
      <w:r>
        <w:rPr>
          <w:rFonts w:hint="eastAsia"/>
          <w:color w:val="auto"/>
          <w:szCs w:val="21"/>
          <w:u w:val="single"/>
        </w:rPr>
        <w:t xml:space="preserve">     </w:t>
      </w:r>
      <w:r>
        <w:rPr>
          <w:rFonts w:hint="eastAsia"/>
          <w:color w:val="auto"/>
          <w:szCs w:val="21"/>
        </w:rPr>
        <w:t>（姓名），证书名称：</w:t>
      </w:r>
      <w:r>
        <w:rPr>
          <w:rFonts w:hint="eastAsia"/>
          <w:color w:val="auto"/>
          <w:szCs w:val="21"/>
          <w:u w:val="single"/>
        </w:rPr>
        <w:t xml:space="preserve">      </w:t>
      </w:r>
      <w:r>
        <w:rPr>
          <w:rFonts w:hint="eastAsia"/>
          <w:color w:val="auto"/>
          <w:szCs w:val="21"/>
        </w:rPr>
        <w:t>，证书编号：</w:t>
      </w:r>
      <w:r>
        <w:rPr>
          <w:rFonts w:hint="eastAsia"/>
          <w:color w:val="auto"/>
          <w:szCs w:val="21"/>
          <w:u w:val="single"/>
        </w:rPr>
        <w:t xml:space="preserve">   </w:t>
      </w:r>
      <w:r>
        <w:rPr>
          <w:color w:val="auto"/>
          <w:szCs w:val="21"/>
          <w:u w:val="single"/>
        </w:rPr>
        <w:t xml:space="preserve">   </w:t>
      </w:r>
      <w:r>
        <w:rPr>
          <w:rFonts w:hint="eastAsia"/>
          <w:color w:val="auto"/>
          <w:szCs w:val="21"/>
          <w:u w:val="single"/>
        </w:rPr>
        <w:t xml:space="preserve">   </w:t>
      </w:r>
      <w:r>
        <w:rPr>
          <w:rFonts w:hint="eastAsia"/>
          <w:color w:val="auto"/>
          <w:szCs w:val="21"/>
        </w:rPr>
        <w:t>。</w:t>
      </w:r>
    </w:p>
    <w:p w14:paraId="271A936D">
      <w:pPr>
        <w:spacing w:line="440" w:lineRule="exact"/>
        <w:ind w:firstLine="420" w:firstLineChars="200"/>
        <w:rPr>
          <w:color w:val="auto"/>
          <w:szCs w:val="21"/>
        </w:rPr>
      </w:pPr>
      <w:r>
        <w:rPr>
          <w:rFonts w:hint="eastAsia"/>
          <w:color w:val="auto"/>
          <w:szCs w:val="21"/>
        </w:rPr>
        <w:t>3.</w:t>
      </w:r>
      <w:r>
        <w:rPr>
          <w:color w:val="auto"/>
          <w:szCs w:val="21"/>
        </w:rPr>
        <w:t>我方承诺在投标有效期</w:t>
      </w:r>
      <w:r>
        <w:rPr>
          <w:rFonts w:hint="eastAsia"/>
          <w:color w:val="auto"/>
          <w:szCs w:val="21"/>
          <w:u w:val="single"/>
        </w:rPr>
        <w:t xml:space="preserve">    </w:t>
      </w:r>
      <w:r>
        <w:rPr>
          <w:color w:val="auto"/>
          <w:szCs w:val="21"/>
          <w:u w:val="single"/>
        </w:rPr>
        <w:t xml:space="preserve"> </w:t>
      </w:r>
      <w:r>
        <w:rPr>
          <w:rFonts w:hint="eastAsia"/>
          <w:color w:val="auto"/>
          <w:szCs w:val="21"/>
        </w:rPr>
        <w:t>天</w:t>
      </w:r>
      <w:r>
        <w:rPr>
          <w:color w:val="auto"/>
          <w:szCs w:val="21"/>
        </w:rPr>
        <w:t>内不修改、撤销投标文件。</w:t>
      </w:r>
    </w:p>
    <w:p w14:paraId="6B779187">
      <w:pPr>
        <w:spacing w:line="440" w:lineRule="exact"/>
        <w:ind w:firstLine="420" w:firstLineChars="200"/>
        <w:rPr>
          <w:color w:val="auto"/>
          <w:szCs w:val="21"/>
        </w:rPr>
      </w:pPr>
      <w:r>
        <w:rPr>
          <w:rFonts w:hint="eastAsia"/>
          <w:color w:val="auto"/>
          <w:szCs w:val="21"/>
        </w:rPr>
        <w:t>4.</w:t>
      </w:r>
      <w:r>
        <w:rPr>
          <w:color w:val="auto"/>
          <w:szCs w:val="21"/>
        </w:rPr>
        <w:t>随同本投标函提交投标保证金一份，金额为人民币（大写）</w:t>
      </w:r>
      <w:r>
        <w:rPr>
          <w:color w:val="auto"/>
          <w:szCs w:val="21"/>
          <w:u w:val="single"/>
        </w:rPr>
        <w:t xml:space="preserve">    </w:t>
      </w:r>
      <w:r>
        <w:rPr>
          <w:color w:val="auto"/>
          <w:szCs w:val="21"/>
        </w:rPr>
        <w:t>元（¥</w:t>
      </w:r>
      <w:r>
        <w:rPr>
          <w:color w:val="auto"/>
          <w:szCs w:val="21"/>
          <w:u w:val="single"/>
        </w:rPr>
        <w:t xml:space="preserve">  </w:t>
      </w:r>
      <w:r>
        <w:rPr>
          <w:rFonts w:hint="eastAsia"/>
          <w:color w:val="auto"/>
          <w:szCs w:val="21"/>
          <w:u w:val="single"/>
        </w:rPr>
        <w:t xml:space="preserve">  </w:t>
      </w:r>
      <w:r>
        <w:rPr>
          <w:color w:val="auto"/>
          <w:szCs w:val="21"/>
          <w:u w:val="single"/>
        </w:rPr>
        <w:t xml:space="preserve">  </w:t>
      </w:r>
      <w:r>
        <w:rPr>
          <w:color w:val="auto"/>
          <w:szCs w:val="21"/>
        </w:rPr>
        <w:t>）。</w:t>
      </w:r>
    </w:p>
    <w:p w14:paraId="62BF75A8">
      <w:pPr>
        <w:spacing w:line="440" w:lineRule="exact"/>
        <w:ind w:firstLine="420" w:firstLineChars="200"/>
        <w:rPr>
          <w:color w:val="auto"/>
          <w:szCs w:val="21"/>
        </w:rPr>
      </w:pPr>
      <w:r>
        <w:rPr>
          <w:rFonts w:hint="eastAsia"/>
          <w:color w:val="auto"/>
          <w:szCs w:val="21"/>
        </w:rPr>
        <w:t>5.</w:t>
      </w:r>
      <w:r>
        <w:rPr>
          <w:color w:val="auto"/>
          <w:szCs w:val="21"/>
        </w:rPr>
        <w:t>如我方中标：</w:t>
      </w:r>
    </w:p>
    <w:p w14:paraId="5D9A822E">
      <w:pPr>
        <w:spacing w:line="440" w:lineRule="exact"/>
        <w:ind w:firstLine="420" w:firstLineChars="200"/>
        <w:rPr>
          <w:color w:val="auto"/>
          <w:szCs w:val="21"/>
        </w:rPr>
      </w:pPr>
      <w:r>
        <w:rPr>
          <w:color w:val="auto"/>
          <w:szCs w:val="21"/>
        </w:rPr>
        <w:t>（1）我方承诺在收到中标通知书后，在中标通知书规定的期限内与你方签订合同。</w:t>
      </w:r>
    </w:p>
    <w:p w14:paraId="06E6C0FE">
      <w:pPr>
        <w:spacing w:line="440" w:lineRule="exact"/>
        <w:ind w:firstLine="420" w:firstLineChars="200"/>
        <w:rPr>
          <w:color w:val="auto"/>
          <w:szCs w:val="21"/>
        </w:rPr>
      </w:pPr>
      <w:r>
        <w:rPr>
          <w:color w:val="auto"/>
          <w:szCs w:val="21"/>
        </w:rPr>
        <w:t>（2）随同本投标函递交的投标函附录属于合同文件的组成部分。</w:t>
      </w:r>
    </w:p>
    <w:p w14:paraId="6A2E8481">
      <w:pPr>
        <w:spacing w:line="440" w:lineRule="exact"/>
        <w:ind w:firstLine="420" w:firstLineChars="200"/>
        <w:rPr>
          <w:color w:val="auto"/>
          <w:szCs w:val="21"/>
        </w:rPr>
      </w:pPr>
      <w:r>
        <w:rPr>
          <w:color w:val="auto"/>
          <w:szCs w:val="21"/>
        </w:rPr>
        <w:t>（3）我方承诺按照招标文件规定向你方递交履约</w:t>
      </w:r>
      <w:r>
        <w:rPr>
          <w:rFonts w:hint="eastAsia"/>
          <w:color w:val="auto"/>
          <w:szCs w:val="21"/>
        </w:rPr>
        <w:t>保证金</w:t>
      </w:r>
      <w:r>
        <w:rPr>
          <w:color w:val="auto"/>
          <w:szCs w:val="21"/>
        </w:rPr>
        <w:t>。</w:t>
      </w:r>
    </w:p>
    <w:p w14:paraId="59A0A08B">
      <w:pPr>
        <w:spacing w:line="380" w:lineRule="exact"/>
        <w:ind w:firstLine="420" w:firstLineChars="0"/>
        <w:jc w:val="left"/>
        <w:rPr>
          <w:color w:val="auto"/>
          <w:szCs w:val="21"/>
        </w:rPr>
      </w:pPr>
      <w:r>
        <w:rPr>
          <w:color w:val="auto"/>
          <w:szCs w:val="21"/>
        </w:rPr>
        <w:t>（4）我方承诺在合同约定的期限内完成并移交全部合同工程。</w:t>
      </w:r>
    </w:p>
    <w:p w14:paraId="343E8795">
      <w:pPr>
        <w:spacing w:line="380" w:lineRule="exact"/>
        <w:ind w:firstLine="420" w:firstLineChars="0"/>
        <w:jc w:val="left"/>
        <w:rPr>
          <w:color w:val="auto"/>
          <w:szCs w:val="21"/>
        </w:rPr>
      </w:pPr>
      <w:bookmarkStart w:id="1987" w:name="_Hlk152146515"/>
      <w:r>
        <w:rPr>
          <w:rFonts w:hint="eastAsia"/>
          <w:color w:val="auto"/>
          <w:szCs w:val="21"/>
          <w:lang w:eastAsia="zh-CN"/>
        </w:rPr>
        <w:t>(</w:t>
      </w:r>
      <w:r>
        <w:rPr>
          <w:rFonts w:hint="eastAsia"/>
          <w:color w:val="auto"/>
          <w:szCs w:val="21"/>
        </w:rPr>
        <w:t>5</w:t>
      </w:r>
      <w:r>
        <w:rPr>
          <w:rFonts w:hint="eastAsia"/>
          <w:color w:val="auto"/>
          <w:szCs w:val="21"/>
          <w:lang w:eastAsia="zh-CN"/>
        </w:rPr>
        <w:t>)</w:t>
      </w:r>
      <w:r>
        <w:rPr>
          <w:rFonts w:hint="eastAsia"/>
          <w:color w:val="auto"/>
          <w:szCs w:val="21"/>
          <w:u w:val="single"/>
          <w:lang w:val="en-US" w:eastAsia="zh-CN"/>
        </w:rPr>
        <w:t xml:space="preserve">    </w:t>
      </w:r>
      <w:r>
        <w:rPr>
          <w:rFonts w:hint="eastAsia"/>
          <w:color w:val="auto"/>
          <w:szCs w:val="21"/>
        </w:rPr>
        <w:t>。</w:t>
      </w:r>
    </w:p>
    <w:bookmarkEnd w:id="1987"/>
    <w:p w14:paraId="27DCAB85">
      <w:pPr>
        <w:spacing w:line="440" w:lineRule="exact"/>
        <w:ind w:firstLine="420" w:firstLineChars="200"/>
        <w:rPr>
          <w:color w:val="auto"/>
          <w:szCs w:val="21"/>
        </w:rPr>
      </w:pPr>
      <w:r>
        <w:rPr>
          <w:rFonts w:hint="eastAsia"/>
          <w:color w:val="auto"/>
          <w:szCs w:val="21"/>
        </w:rPr>
        <w:t>6.</w:t>
      </w:r>
      <w:r>
        <w:rPr>
          <w:rFonts w:hint="eastAsia"/>
          <w:color w:val="auto"/>
        </w:rPr>
        <w:t>我方在此声明，所递交的投标文件及有关资料内容完整、真实和准确，且不存在第二章“投标人须知”第1.4.3项规定的任何一种情形。</w:t>
      </w:r>
    </w:p>
    <w:p w14:paraId="7E96DC91">
      <w:pPr>
        <w:spacing w:line="380" w:lineRule="exact"/>
        <w:ind w:firstLine="420" w:firstLineChars="200"/>
        <w:jc w:val="left"/>
        <w:rPr>
          <w:color w:val="auto"/>
          <w:szCs w:val="21"/>
        </w:rPr>
      </w:pPr>
      <w:r>
        <w:rPr>
          <w:rFonts w:hint="eastAsia"/>
          <w:color w:val="auto"/>
          <w:szCs w:val="21"/>
        </w:rPr>
        <w:t>7.</w:t>
      </w:r>
      <w:r>
        <w:rPr>
          <w:color w:val="auto"/>
          <w:szCs w:val="21"/>
          <w:u w:val="single"/>
        </w:rPr>
        <w:t xml:space="preserve">                                       </w:t>
      </w:r>
      <w:r>
        <w:rPr>
          <w:color w:val="auto"/>
          <w:szCs w:val="21"/>
        </w:rPr>
        <w:t>（</w:t>
      </w:r>
      <w:r>
        <w:rPr>
          <w:rFonts w:hint="eastAsia"/>
          <w:color w:val="auto"/>
          <w:szCs w:val="21"/>
        </w:rPr>
        <w:t>其他</w:t>
      </w:r>
      <w:r>
        <w:rPr>
          <w:color w:val="auto"/>
          <w:szCs w:val="21"/>
        </w:rPr>
        <w:t>补充说明）。</w:t>
      </w:r>
    </w:p>
    <w:p w14:paraId="2C47ECC7">
      <w:pPr>
        <w:keepNext w:val="0"/>
        <w:keepLines w:val="0"/>
        <w:widowControl w:val="0"/>
        <w:suppressLineNumbers w:val="0"/>
        <w:spacing w:before="0" w:beforeAutospacing="0" w:after="0" w:afterAutospacing="0" w:line="440" w:lineRule="exact"/>
        <w:ind w:left="0" w:right="0" w:firstLine="420" w:firstLineChars="200"/>
        <w:jc w:val="both"/>
        <w:rPr>
          <w:rFonts w:hint="default"/>
          <w:color w:val="auto"/>
          <w:szCs w:val="21"/>
        </w:rPr>
      </w:pPr>
    </w:p>
    <w:p w14:paraId="69F2AC3F">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rPr>
      </w:pPr>
      <w:r>
        <w:rPr>
          <w:rFonts w:hint="eastAsia" w:ascii="宋体" w:hAnsi="宋体" w:eastAsia="宋体" w:cs="宋体"/>
          <w:color w:val="auto"/>
          <w:kern w:val="2"/>
          <w:sz w:val="21"/>
          <w:szCs w:val="21"/>
          <w:lang w:val="en-US" w:eastAsia="zh-CN" w:bidi="ar"/>
        </w:rPr>
        <w:t>投</w:t>
      </w:r>
      <w:r>
        <w:rPr>
          <w:rFonts w:hint="default" w:ascii="Times New Roman" w:hAnsi="Times New Roman" w:eastAsia="宋体" w:cs="Times New Roman"/>
          <w:color w:val="auto"/>
          <w:kern w:val="2"/>
          <w:sz w:val="21"/>
          <w:szCs w:val="21"/>
          <w:lang w:val="en-US" w:eastAsia="zh-CN" w:bidi="ar"/>
        </w:rPr>
        <w:t xml:space="preserve"> </w:t>
      </w:r>
      <w:r>
        <w:rPr>
          <w:rFonts w:hint="eastAsia" w:ascii="宋体" w:hAnsi="宋体" w:eastAsia="宋体" w:cs="宋体"/>
          <w:color w:val="auto"/>
          <w:kern w:val="2"/>
          <w:sz w:val="21"/>
          <w:szCs w:val="21"/>
          <w:lang w:val="en-US" w:eastAsia="zh-CN" w:bidi="ar"/>
        </w:rPr>
        <w:t>标</w:t>
      </w:r>
      <w:r>
        <w:rPr>
          <w:rFonts w:hint="default" w:ascii="Times New Roman" w:hAnsi="Times New Roman" w:eastAsia="宋体" w:cs="Times New Roman"/>
          <w:color w:val="auto"/>
          <w:kern w:val="2"/>
          <w:sz w:val="21"/>
          <w:szCs w:val="21"/>
          <w:lang w:val="en-US" w:eastAsia="zh-CN" w:bidi="ar"/>
        </w:rPr>
        <w:t xml:space="preserve"> </w:t>
      </w:r>
      <w:r>
        <w:rPr>
          <w:rFonts w:hint="eastAsia" w:ascii="宋体" w:hAnsi="宋体" w:eastAsia="宋体" w:cs="宋体"/>
          <w:color w:val="auto"/>
          <w:kern w:val="2"/>
          <w:sz w:val="21"/>
          <w:szCs w:val="21"/>
          <w:lang w:val="en-US" w:eastAsia="zh-CN" w:bidi="ar"/>
        </w:rPr>
        <w:t>人：</w:t>
      </w:r>
      <w:r>
        <w:rPr>
          <w:rFonts w:hint="default" w:ascii="Times New Roman" w:hAnsi="Times New Roman" w:eastAsia="宋体" w:cs="Times New Roman"/>
          <w:color w:val="auto"/>
          <w:kern w:val="2"/>
          <w:sz w:val="21"/>
          <w:szCs w:val="21"/>
          <w:u w:val="single"/>
          <w:lang w:val="en-US" w:eastAsia="zh-CN" w:bidi="ar"/>
        </w:rPr>
        <w:t xml:space="preserve">                    </w:t>
      </w:r>
      <w:r>
        <w:rPr>
          <w:rFonts w:hint="eastAsia" w:ascii="宋体" w:hAnsi="宋体" w:eastAsia="宋体" w:cs="宋体"/>
          <w:color w:val="auto"/>
          <w:kern w:val="2"/>
          <w:sz w:val="21"/>
          <w:szCs w:val="21"/>
          <w:lang w:val="en-US" w:eastAsia="zh-CN" w:bidi="ar"/>
        </w:rPr>
        <w:t>（盖单位章）</w:t>
      </w:r>
    </w:p>
    <w:p w14:paraId="192CA6A2">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rPr>
      </w:pPr>
      <w:r>
        <w:rPr>
          <w:rFonts w:hint="eastAsia" w:ascii="宋体" w:hAnsi="宋体" w:eastAsia="宋体" w:cs="宋体"/>
          <w:color w:val="auto"/>
          <w:kern w:val="2"/>
          <w:sz w:val="21"/>
          <w:szCs w:val="21"/>
          <w:lang w:val="en-US" w:eastAsia="zh-CN" w:bidi="ar"/>
        </w:rPr>
        <w:t>法定代表人或授权委托人：</w:t>
      </w:r>
      <w:r>
        <w:rPr>
          <w:rFonts w:hint="default" w:ascii="Times New Roman" w:hAnsi="Times New Roman" w:eastAsia="宋体" w:cs="Times New Roman"/>
          <w:color w:val="auto"/>
          <w:kern w:val="2"/>
          <w:sz w:val="21"/>
          <w:szCs w:val="21"/>
          <w:u w:val="single"/>
          <w:lang w:val="en-US" w:eastAsia="zh-CN" w:bidi="ar"/>
        </w:rPr>
        <w:t xml:space="preserve">      </w:t>
      </w:r>
      <w:r>
        <w:rPr>
          <w:rFonts w:hint="eastAsia" w:ascii="Times New Roman" w:hAnsi="Times New Roman" w:eastAsia="宋体" w:cs="Times New Roman"/>
          <w:color w:val="auto"/>
          <w:kern w:val="2"/>
          <w:sz w:val="21"/>
          <w:szCs w:val="21"/>
          <w:u w:val="single"/>
          <w:lang w:val="en-US" w:eastAsia="zh-CN" w:bidi="ar"/>
        </w:rPr>
        <w:t xml:space="preserve">   </w:t>
      </w:r>
      <w:r>
        <w:rPr>
          <w:rFonts w:hint="default" w:cs="Times New Roman"/>
          <w:color w:val="auto"/>
          <w:kern w:val="2"/>
          <w:sz w:val="21"/>
          <w:szCs w:val="21"/>
          <w:u w:val="single"/>
          <w:lang w:eastAsia="zh-CN" w:bidi="ar"/>
        </w:rPr>
        <w:t xml:space="preserve"> </w:t>
      </w:r>
      <w:r>
        <w:rPr>
          <w:rFonts w:hint="eastAsia" w:ascii="宋体" w:hAnsi="宋体" w:eastAsia="宋体" w:cs="宋体"/>
          <w:color w:val="auto"/>
          <w:kern w:val="2"/>
          <w:sz w:val="21"/>
          <w:szCs w:val="21"/>
          <w:lang w:val="en-US" w:eastAsia="zh-CN" w:bidi="ar"/>
        </w:rPr>
        <w:t>（签章）</w:t>
      </w:r>
    </w:p>
    <w:p w14:paraId="5AB04FAB">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rPr>
      </w:pPr>
      <w:r>
        <w:rPr>
          <w:rFonts w:hint="eastAsia" w:ascii="宋体" w:hAnsi="宋体" w:eastAsia="宋体" w:cs="宋体"/>
          <w:color w:val="auto"/>
          <w:kern w:val="2"/>
          <w:sz w:val="21"/>
          <w:szCs w:val="21"/>
          <w:lang w:val="en-US" w:eastAsia="zh-CN" w:bidi="ar"/>
        </w:rPr>
        <w:t>地址：</w:t>
      </w:r>
      <w:r>
        <w:rPr>
          <w:rFonts w:hint="default" w:ascii="Times New Roman" w:hAnsi="Times New Roman" w:eastAsia="宋体" w:cs="Times New Roman"/>
          <w:color w:val="auto"/>
          <w:kern w:val="2"/>
          <w:sz w:val="21"/>
          <w:szCs w:val="21"/>
          <w:u w:val="single"/>
          <w:lang w:val="en-US" w:eastAsia="zh-CN" w:bidi="ar"/>
        </w:rPr>
        <w:t xml:space="preserve">                                   </w:t>
      </w:r>
    </w:p>
    <w:p w14:paraId="14CD326A">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rPr>
      </w:pPr>
      <w:r>
        <w:rPr>
          <w:rFonts w:hint="eastAsia" w:ascii="宋体" w:hAnsi="宋体" w:eastAsia="宋体" w:cs="宋体"/>
          <w:color w:val="auto"/>
          <w:kern w:val="2"/>
          <w:sz w:val="21"/>
          <w:szCs w:val="21"/>
          <w:lang w:val="en-US" w:eastAsia="zh-CN" w:bidi="ar"/>
        </w:rPr>
        <w:t>网址：</w:t>
      </w:r>
      <w:r>
        <w:rPr>
          <w:rFonts w:hint="default" w:ascii="Times New Roman" w:hAnsi="Times New Roman" w:eastAsia="宋体" w:cs="Times New Roman"/>
          <w:color w:val="auto"/>
          <w:kern w:val="2"/>
          <w:sz w:val="21"/>
          <w:szCs w:val="21"/>
          <w:u w:val="single"/>
          <w:lang w:val="en-US" w:eastAsia="zh-CN" w:bidi="ar"/>
        </w:rPr>
        <w:t xml:space="preserve">                                   </w:t>
      </w:r>
    </w:p>
    <w:p w14:paraId="4C8A94EB">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rPr>
      </w:pPr>
      <w:r>
        <w:rPr>
          <w:rFonts w:hint="eastAsia" w:ascii="宋体" w:hAnsi="宋体" w:eastAsia="宋体" w:cs="宋体"/>
          <w:color w:val="auto"/>
          <w:kern w:val="2"/>
          <w:sz w:val="21"/>
          <w:szCs w:val="21"/>
          <w:lang w:val="en-US" w:eastAsia="zh-CN" w:bidi="ar"/>
        </w:rPr>
        <w:t>电话：</w:t>
      </w:r>
      <w:r>
        <w:rPr>
          <w:rFonts w:hint="default" w:ascii="Times New Roman" w:hAnsi="Times New Roman" w:eastAsia="宋体" w:cs="Times New Roman"/>
          <w:color w:val="auto"/>
          <w:kern w:val="2"/>
          <w:sz w:val="21"/>
          <w:szCs w:val="21"/>
          <w:u w:val="single"/>
          <w:lang w:val="en-US" w:eastAsia="zh-CN" w:bidi="ar"/>
        </w:rPr>
        <w:t xml:space="preserve">                                   </w:t>
      </w:r>
    </w:p>
    <w:p w14:paraId="242E8B3D">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rPr>
      </w:pPr>
      <w:r>
        <w:rPr>
          <w:rFonts w:hint="eastAsia" w:ascii="宋体" w:hAnsi="宋体" w:eastAsia="宋体" w:cs="宋体"/>
          <w:color w:val="auto"/>
          <w:kern w:val="2"/>
          <w:sz w:val="21"/>
          <w:szCs w:val="21"/>
          <w:lang w:val="en-US" w:eastAsia="zh-CN" w:bidi="ar"/>
        </w:rPr>
        <w:t>传真：</w:t>
      </w:r>
      <w:r>
        <w:rPr>
          <w:rFonts w:hint="default" w:ascii="Times New Roman" w:hAnsi="Times New Roman" w:eastAsia="宋体" w:cs="Times New Roman"/>
          <w:color w:val="auto"/>
          <w:kern w:val="2"/>
          <w:sz w:val="21"/>
          <w:szCs w:val="21"/>
          <w:u w:val="single"/>
          <w:lang w:val="en-US" w:eastAsia="zh-CN" w:bidi="ar"/>
        </w:rPr>
        <w:t xml:space="preserve">                                   </w:t>
      </w:r>
    </w:p>
    <w:p w14:paraId="264AE7DE">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rPr>
      </w:pPr>
      <w:r>
        <w:rPr>
          <w:rFonts w:hint="eastAsia" w:ascii="宋体" w:hAnsi="宋体" w:eastAsia="宋体" w:cs="宋体"/>
          <w:color w:val="auto"/>
          <w:kern w:val="2"/>
          <w:sz w:val="21"/>
          <w:szCs w:val="21"/>
          <w:lang w:val="en-US" w:eastAsia="zh-CN" w:bidi="ar"/>
        </w:rPr>
        <w:t>邮政编码：</w:t>
      </w:r>
      <w:r>
        <w:rPr>
          <w:rFonts w:hint="default" w:ascii="Times New Roman" w:hAnsi="Times New Roman" w:eastAsia="宋体" w:cs="Times New Roman"/>
          <w:color w:val="auto"/>
          <w:kern w:val="2"/>
          <w:sz w:val="21"/>
          <w:szCs w:val="21"/>
          <w:u w:val="single"/>
          <w:lang w:val="en-US" w:eastAsia="zh-CN" w:bidi="ar"/>
        </w:rPr>
        <w:t xml:space="preserve">                               </w:t>
      </w:r>
    </w:p>
    <w:p w14:paraId="310544FA">
      <w:pPr>
        <w:keepNext w:val="0"/>
        <w:keepLines w:val="0"/>
        <w:widowControl w:val="0"/>
        <w:suppressLineNumbers w:val="0"/>
        <w:spacing w:before="0" w:beforeAutospacing="0" w:after="0" w:afterAutospacing="0"/>
        <w:ind w:left="5040" w:leftChars="0" w:right="0" w:firstLine="420" w:firstLineChars="0"/>
        <w:jc w:val="both"/>
        <w:rPr>
          <w:color w:val="auto"/>
        </w:rPr>
        <w:sectPr>
          <w:footerReference r:id="rId26" w:type="default"/>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宋体" w:cs="Times New Roman"/>
          <w:color w:val="auto"/>
          <w:kern w:val="2"/>
          <w:sz w:val="21"/>
          <w:szCs w:val="21"/>
          <w:u w:val="single"/>
          <w:lang w:val="en-US" w:eastAsia="zh-CN" w:bidi="ar"/>
        </w:rPr>
        <w:t xml:space="preserve">      </w:t>
      </w:r>
      <w:r>
        <w:rPr>
          <w:rFonts w:hint="eastAsia" w:ascii="宋体" w:hAnsi="宋体" w:eastAsia="宋体" w:cs="宋体"/>
          <w:color w:val="auto"/>
          <w:kern w:val="2"/>
          <w:sz w:val="21"/>
          <w:szCs w:val="21"/>
          <w:lang w:val="en-US" w:eastAsia="zh-CN" w:bidi="ar"/>
        </w:rPr>
        <w:t>年</w:t>
      </w:r>
      <w:r>
        <w:rPr>
          <w:rFonts w:hint="default" w:ascii="Times New Roman" w:hAnsi="Times New Roman" w:eastAsia="宋体" w:cs="Times New Roman"/>
          <w:color w:val="auto"/>
          <w:kern w:val="2"/>
          <w:sz w:val="21"/>
          <w:szCs w:val="21"/>
          <w:u w:val="single"/>
          <w:lang w:val="en-US" w:eastAsia="zh-CN" w:bidi="ar"/>
        </w:rPr>
        <w:t xml:space="preserve">      </w:t>
      </w:r>
      <w:r>
        <w:rPr>
          <w:rFonts w:hint="eastAsia" w:ascii="宋体" w:hAnsi="宋体" w:eastAsia="宋体" w:cs="宋体"/>
          <w:color w:val="auto"/>
          <w:kern w:val="2"/>
          <w:sz w:val="21"/>
          <w:szCs w:val="21"/>
          <w:lang w:val="en-US" w:eastAsia="zh-CN" w:bidi="ar"/>
        </w:rPr>
        <w:t>月</w:t>
      </w:r>
      <w:r>
        <w:rPr>
          <w:rFonts w:hint="default" w:ascii="Times New Roman" w:hAnsi="Times New Roman" w:eastAsia="宋体" w:cs="Times New Roman"/>
          <w:color w:val="auto"/>
          <w:kern w:val="2"/>
          <w:sz w:val="21"/>
          <w:szCs w:val="21"/>
          <w:u w:val="single"/>
          <w:lang w:val="en-US" w:eastAsia="zh-CN" w:bidi="ar"/>
        </w:rPr>
        <w:t xml:space="preserve">      </w:t>
      </w:r>
      <w:r>
        <w:rPr>
          <w:rFonts w:hint="eastAsia" w:ascii="宋体" w:hAnsi="宋体" w:eastAsia="宋体" w:cs="宋体"/>
          <w:color w:val="auto"/>
          <w:kern w:val="2"/>
          <w:sz w:val="21"/>
          <w:szCs w:val="21"/>
          <w:lang w:val="en-US" w:eastAsia="zh-CN" w:bidi="ar"/>
        </w:rPr>
        <w:t>日</w:t>
      </w:r>
    </w:p>
    <w:p w14:paraId="409D45C7">
      <w:pPr>
        <w:pStyle w:val="27"/>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sz w:val="28"/>
          <w:szCs w:val="28"/>
        </w:rPr>
      </w:pPr>
      <w:bookmarkStart w:id="1988" w:name="_Toc28276"/>
      <w:bookmarkStart w:id="1989" w:name="_Toc122603071"/>
      <w:r>
        <w:rPr>
          <w:rFonts w:hint="eastAsia" w:cs="宋体"/>
          <w:color w:val="auto"/>
          <w:sz w:val="28"/>
          <w:szCs w:val="28"/>
          <w:lang w:eastAsia="zh-CN"/>
        </w:rPr>
        <w:t>（</w:t>
      </w:r>
      <w:r>
        <w:rPr>
          <w:rFonts w:hint="default" w:cs="宋体"/>
          <w:color w:val="auto"/>
          <w:sz w:val="28"/>
          <w:szCs w:val="28"/>
        </w:rPr>
        <w:t>二</w:t>
      </w:r>
      <w:r>
        <w:rPr>
          <w:rFonts w:hint="eastAsia" w:cs="宋体"/>
          <w:color w:val="auto"/>
          <w:sz w:val="28"/>
          <w:szCs w:val="28"/>
          <w:lang w:eastAsia="zh-CN"/>
        </w:rPr>
        <w:t>）</w:t>
      </w:r>
      <w:r>
        <w:rPr>
          <w:rFonts w:hint="eastAsia" w:cs="宋体"/>
          <w:color w:val="auto"/>
          <w:sz w:val="28"/>
          <w:szCs w:val="28"/>
        </w:rPr>
        <w:t>投标函附录</w:t>
      </w:r>
      <w:bookmarkEnd w:id="1988"/>
      <w:bookmarkEnd w:id="1989"/>
    </w:p>
    <w:p w14:paraId="5FA0885C">
      <w:pPr>
        <w:rPr>
          <w:rFonts w:hint="eastAsia" w:ascii="宋体" w:hAnsi="宋体"/>
          <w:b/>
          <w:color w:val="auto"/>
          <w:szCs w:val="21"/>
        </w:rPr>
      </w:pPr>
    </w:p>
    <w:p w14:paraId="6EE6348A">
      <w:pPr>
        <w:rPr>
          <w:rFonts w:hint="eastAsia" w:ascii="宋体" w:hAnsi="宋体"/>
          <w:color w:val="auto"/>
          <w:szCs w:val="21"/>
        </w:rPr>
      </w:pPr>
      <w:r>
        <w:rPr>
          <w:rFonts w:hint="eastAsia" w:ascii="宋体" w:hAnsi="宋体"/>
          <w:b/>
          <w:color w:val="auto"/>
          <w:szCs w:val="21"/>
        </w:rPr>
        <w:t>标段名称：</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r>
        <w:rPr>
          <w:rFonts w:hint="eastAsia" w:ascii="宋体" w:hAnsi="宋体"/>
          <w:color w:val="auto"/>
          <w:szCs w:val="21"/>
        </w:rPr>
        <w:t xml:space="preserve"> </w:t>
      </w:r>
    </w:p>
    <w:p w14:paraId="3D18EA4C">
      <w:pPr>
        <w:rPr>
          <w:rFonts w:hint="eastAsia" w:ascii="宋体" w:hAnsi="宋体"/>
          <w:color w:val="auto"/>
          <w:szCs w:val="21"/>
        </w:rPr>
      </w:pPr>
    </w:p>
    <w:tbl>
      <w:tblPr>
        <w:tblStyle w:val="18"/>
        <w:tblW w:w="89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2399"/>
        <w:gridCol w:w="1314"/>
        <w:gridCol w:w="3789"/>
        <w:gridCol w:w="720"/>
        <w:gridCol w:w="7"/>
      </w:tblGrid>
      <w:tr w14:paraId="2D782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720" w:type="dxa"/>
            <w:vAlign w:val="center"/>
          </w:tcPr>
          <w:p w14:paraId="40A7EF26">
            <w:pPr>
              <w:jc w:val="center"/>
              <w:rPr>
                <w:rFonts w:ascii="宋体" w:hAnsi="宋体"/>
                <w:color w:val="auto"/>
                <w:szCs w:val="21"/>
              </w:rPr>
            </w:pPr>
            <w:r>
              <w:rPr>
                <w:rFonts w:hint="eastAsia" w:ascii="宋体" w:hAnsi="宋体"/>
                <w:color w:val="auto"/>
                <w:szCs w:val="21"/>
              </w:rPr>
              <w:t>序号</w:t>
            </w:r>
          </w:p>
        </w:tc>
        <w:tc>
          <w:tcPr>
            <w:tcW w:w="2399" w:type="dxa"/>
            <w:vAlign w:val="center"/>
          </w:tcPr>
          <w:p w14:paraId="6975C096">
            <w:pPr>
              <w:jc w:val="center"/>
              <w:rPr>
                <w:rFonts w:ascii="宋体" w:hAnsi="宋体"/>
                <w:color w:val="auto"/>
                <w:szCs w:val="21"/>
              </w:rPr>
            </w:pPr>
            <w:r>
              <w:rPr>
                <w:rFonts w:hint="eastAsia" w:ascii="宋体" w:hAnsi="宋体"/>
                <w:color w:val="auto"/>
                <w:szCs w:val="21"/>
              </w:rPr>
              <w:t>条款内容</w:t>
            </w:r>
          </w:p>
        </w:tc>
        <w:tc>
          <w:tcPr>
            <w:tcW w:w="1314" w:type="dxa"/>
            <w:vAlign w:val="center"/>
          </w:tcPr>
          <w:p w14:paraId="1ED548A2">
            <w:pPr>
              <w:jc w:val="center"/>
              <w:rPr>
                <w:rFonts w:ascii="宋体" w:hAnsi="宋体"/>
                <w:color w:val="auto"/>
                <w:szCs w:val="21"/>
              </w:rPr>
            </w:pPr>
            <w:r>
              <w:rPr>
                <w:rFonts w:hint="eastAsia" w:ascii="宋体" w:hAnsi="宋体"/>
                <w:color w:val="auto"/>
                <w:szCs w:val="21"/>
              </w:rPr>
              <w:t>合同条款号</w:t>
            </w:r>
          </w:p>
        </w:tc>
        <w:tc>
          <w:tcPr>
            <w:tcW w:w="3789" w:type="dxa"/>
            <w:vAlign w:val="center"/>
          </w:tcPr>
          <w:p w14:paraId="0A13C7D0">
            <w:pPr>
              <w:jc w:val="center"/>
              <w:rPr>
                <w:rFonts w:ascii="宋体" w:hAnsi="宋体"/>
                <w:color w:val="auto"/>
                <w:szCs w:val="21"/>
              </w:rPr>
            </w:pPr>
            <w:r>
              <w:rPr>
                <w:rFonts w:hint="eastAsia" w:ascii="宋体" w:hAnsi="宋体"/>
                <w:color w:val="auto"/>
                <w:szCs w:val="21"/>
              </w:rPr>
              <w:t>约定内容</w:t>
            </w:r>
          </w:p>
        </w:tc>
        <w:tc>
          <w:tcPr>
            <w:tcW w:w="720" w:type="dxa"/>
            <w:vAlign w:val="center"/>
          </w:tcPr>
          <w:p w14:paraId="48BFDF1D">
            <w:pPr>
              <w:jc w:val="center"/>
              <w:rPr>
                <w:rFonts w:ascii="宋体" w:hAnsi="宋体"/>
                <w:color w:val="auto"/>
                <w:szCs w:val="21"/>
              </w:rPr>
            </w:pPr>
            <w:r>
              <w:rPr>
                <w:rFonts w:hint="eastAsia" w:ascii="宋体" w:hAnsi="宋体"/>
                <w:color w:val="auto"/>
                <w:szCs w:val="21"/>
              </w:rPr>
              <w:t>备注</w:t>
            </w:r>
          </w:p>
        </w:tc>
      </w:tr>
      <w:tr w14:paraId="7BEE0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60" w:hRule="atLeast"/>
          <w:jc w:val="center"/>
        </w:trPr>
        <w:tc>
          <w:tcPr>
            <w:tcW w:w="720" w:type="dxa"/>
            <w:vAlign w:val="center"/>
          </w:tcPr>
          <w:p w14:paraId="0BEE3BEA">
            <w:pPr>
              <w:jc w:val="center"/>
              <w:rPr>
                <w:rFonts w:ascii="宋体" w:hAnsi="宋体"/>
                <w:color w:val="auto"/>
                <w:szCs w:val="21"/>
              </w:rPr>
            </w:pPr>
            <w:r>
              <w:rPr>
                <w:rFonts w:hint="eastAsia" w:ascii="宋体" w:hAnsi="宋体"/>
                <w:color w:val="auto"/>
                <w:szCs w:val="21"/>
              </w:rPr>
              <w:t>1</w:t>
            </w:r>
          </w:p>
        </w:tc>
        <w:tc>
          <w:tcPr>
            <w:tcW w:w="2399" w:type="dxa"/>
            <w:vAlign w:val="center"/>
          </w:tcPr>
          <w:p w14:paraId="749F353C">
            <w:pPr>
              <w:rPr>
                <w:rFonts w:ascii="宋体" w:hAnsi="宋体"/>
                <w:color w:val="auto"/>
                <w:szCs w:val="21"/>
              </w:rPr>
            </w:pPr>
            <w:r>
              <w:rPr>
                <w:rFonts w:ascii="宋体" w:hAnsi="宋体"/>
                <w:color w:val="auto"/>
                <w:szCs w:val="21"/>
              </w:rPr>
              <w:t>项目经理</w:t>
            </w:r>
          </w:p>
        </w:tc>
        <w:tc>
          <w:tcPr>
            <w:tcW w:w="1314" w:type="dxa"/>
            <w:vAlign w:val="center"/>
          </w:tcPr>
          <w:p w14:paraId="3725A443">
            <w:pPr>
              <w:autoSpaceDE w:val="0"/>
              <w:autoSpaceDN w:val="0"/>
              <w:adjustRightInd w:val="0"/>
              <w:spacing w:before="50"/>
              <w:jc w:val="center"/>
              <w:rPr>
                <w:rFonts w:ascii="宋体" w:hAnsi="宋体"/>
                <w:color w:val="auto"/>
                <w:szCs w:val="21"/>
              </w:rPr>
            </w:pPr>
            <w:r>
              <w:rPr>
                <w:rFonts w:ascii="宋体" w:hAnsi="宋体"/>
                <w:color w:val="auto"/>
                <w:szCs w:val="21"/>
              </w:rPr>
              <w:t>1.1.2.</w:t>
            </w:r>
            <w:r>
              <w:rPr>
                <w:rFonts w:hint="eastAsia" w:ascii="宋体" w:hAnsi="宋体"/>
                <w:color w:val="auto"/>
                <w:szCs w:val="21"/>
              </w:rPr>
              <w:t>8</w:t>
            </w:r>
          </w:p>
        </w:tc>
        <w:tc>
          <w:tcPr>
            <w:tcW w:w="3789" w:type="dxa"/>
            <w:vAlign w:val="center"/>
          </w:tcPr>
          <w:p w14:paraId="73BF2FE9">
            <w:pPr>
              <w:rPr>
                <w:rFonts w:ascii="宋体" w:hAnsi="宋体"/>
                <w:color w:val="auto"/>
                <w:szCs w:val="21"/>
              </w:rPr>
            </w:pPr>
            <w:r>
              <w:rPr>
                <w:rFonts w:hint="eastAsia" w:ascii="宋体" w:hAnsi="宋体"/>
                <w:color w:val="auto"/>
                <w:szCs w:val="21"/>
              </w:rPr>
              <w:t>（见投标函）</w:t>
            </w:r>
          </w:p>
        </w:tc>
        <w:tc>
          <w:tcPr>
            <w:tcW w:w="720" w:type="dxa"/>
            <w:vAlign w:val="center"/>
          </w:tcPr>
          <w:p w14:paraId="7194E368">
            <w:pPr>
              <w:jc w:val="center"/>
              <w:rPr>
                <w:rFonts w:ascii="宋体" w:hAnsi="宋体"/>
                <w:color w:val="auto"/>
                <w:szCs w:val="21"/>
              </w:rPr>
            </w:pPr>
          </w:p>
        </w:tc>
      </w:tr>
      <w:tr w14:paraId="44699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23" w:hRule="atLeast"/>
          <w:jc w:val="center"/>
        </w:trPr>
        <w:tc>
          <w:tcPr>
            <w:tcW w:w="720" w:type="dxa"/>
            <w:vAlign w:val="center"/>
          </w:tcPr>
          <w:p w14:paraId="43628B7E">
            <w:pPr>
              <w:jc w:val="center"/>
              <w:rPr>
                <w:rFonts w:ascii="宋体" w:hAnsi="宋体"/>
                <w:color w:val="auto"/>
                <w:szCs w:val="21"/>
              </w:rPr>
            </w:pPr>
            <w:r>
              <w:rPr>
                <w:rFonts w:hint="eastAsia" w:ascii="宋体" w:hAnsi="宋体"/>
                <w:color w:val="auto"/>
                <w:szCs w:val="21"/>
              </w:rPr>
              <w:t>2</w:t>
            </w:r>
          </w:p>
        </w:tc>
        <w:tc>
          <w:tcPr>
            <w:tcW w:w="2399" w:type="dxa"/>
            <w:vAlign w:val="center"/>
          </w:tcPr>
          <w:p w14:paraId="2E53A8F5">
            <w:pPr>
              <w:rPr>
                <w:rFonts w:ascii="宋体" w:hAnsi="宋体"/>
                <w:color w:val="auto"/>
                <w:szCs w:val="21"/>
              </w:rPr>
            </w:pPr>
            <w:r>
              <w:rPr>
                <w:rFonts w:hint="eastAsia" w:ascii="宋体" w:hAnsi="宋体" w:cs="Arial"/>
                <w:color w:val="auto"/>
                <w:kern w:val="0"/>
                <w:szCs w:val="21"/>
              </w:rPr>
              <w:t>工期</w:t>
            </w:r>
          </w:p>
        </w:tc>
        <w:tc>
          <w:tcPr>
            <w:tcW w:w="1314" w:type="dxa"/>
            <w:vAlign w:val="center"/>
          </w:tcPr>
          <w:p w14:paraId="0490ABAE">
            <w:pPr>
              <w:autoSpaceDE w:val="0"/>
              <w:autoSpaceDN w:val="0"/>
              <w:adjustRightInd w:val="0"/>
              <w:spacing w:before="50"/>
              <w:jc w:val="center"/>
              <w:rPr>
                <w:rFonts w:ascii="宋体" w:hAnsi="宋体"/>
                <w:color w:val="auto"/>
                <w:szCs w:val="21"/>
              </w:rPr>
            </w:pPr>
            <w:r>
              <w:rPr>
                <w:rFonts w:hint="eastAsia" w:ascii="宋体" w:hAnsi="宋体"/>
                <w:color w:val="auto"/>
                <w:szCs w:val="21"/>
              </w:rPr>
              <w:t>1.1.4.3</w:t>
            </w:r>
          </w:p>
        </w:tc>
        <w:tc>
          <w:tcPr>
            <w:tcW w:w="3789" w:type="dxa"/>
            <w:vAlign w:val="center"/>
          </w:tcPr>
          <w:p w14:paraId="2BE8945B">
            <w:pPr>
              <w:rPr>
                <w:rFonts w:ascii="宋体" w:hAnsi="宋体"/>
                <w:color w:val="auto"/>
                <w:szCs w:val="21"/>
              </w:rPr>
            </w:pPr>
            <w:r>
              <w:rPr>
                <w:rFonts w:hint="eastAsia" w:ascii="宋体" w:hAnsi="宋体"/>
                <w:color w:val="auto"/>
                <w:szCs w:val="21"/>
              </w:rPr>
              <w:t>（见投标函）</w:t>
            </w:r>
          </w:p>
        </w:tc>
        <w:tc>
          <w:tcPr>
            <w:tcW w:w="720" w:type="dxa"/>
            <w:vAlign w:val="center"/>
          </w:tcPr>
          <w:p w14:paraId="2D2BAF3A">
            <w:pPr>
              <w:jc w:val="center"/>
              <w:rPr>
                <w:rFonts w:ascii="宋体" w:hAnsi="宋体"/>
                <w:color w:val="auto"/>
                <w:szCs w:val="21"/>
              </w:rPr>
            </w:pPr>
          </w:p>
        </w:tc>
      </w:tr>
      <w:tr w14:paraId="66CDA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15" w:hRule="atLeast"/>
          <w:jc w:val="center"/>
        </w:trPr>
        <w:tc>
          <w:tcPr>
            <w:tcW w:w="720" w:type="dxa"/>
            <w:vAlign w:val="center"/>
          </w:tcPr>
          <w:p w14:paraId="1774E77B">
            <w:pPr>
              <w:jc w:val="center"/>
              <w:rPr>
                <w:rFonts w:ascii="宋体" w:hAnsi="宋体"/>
                <w:color w:val="auto"/>
                <w:szCs w:val="21"/>
              </w:rPr>
            </w:pPr>
            <w:r>
              <w:rPr>
                <w:rFonts w:hint="eastAsia" w:ascii="宋体" w:hAnsi="宋体"/>
                <w:color w:val="auto"/>
                <w:szCs w:val="21"/>
              </w:rPr>
              <w:t>3</w:t>
            </w:r>
          </w:p>
        </w:tc>
        <w:tc>
          <w:tcPr>
            <w:tcW w:w="2399" w:type="dxa"/>
            <w:vAlign w:val="center"/>
          </w:tcPr>
          <w:p w14:paraId="570F7276">
            <w:pPr>
              <w:rPr>
                <w:rFonts w:ascii="宋体" w:hAnsi="宋体"/>
                <w:color w:val="auto"/>
                <w:szCs w:val="21"/>
              </w:rPr>
            </w:pPr>
            <w:r>
              <w:rPr>
                <w:rFonts w:hint="eastAsia" w:ascii="宋体" w:hAnsi="宋体"/>
                <w:color w:val="auto"/>
                <w:szCs w:val="21"/>
              </w:rPr>
              <w:t>缺陷责任期</w:t>
            </w:r>
          </w:p>
        </w:tc>
        <w:tc>
          <w:tcPr>
            <w:tcW w:w="1314" w:type="dxa"/>
            <w:tcMar>
              <w:left w:w="170" w:type="dxa"/>
            </w:tcMar>
            <w:vAlign w:val="center"/>
          </w:tcPr>
          <w:p w14:paraId="4739ADD3">
            <w:pPr>
              <w:autoSpaceDE w:val="0"/>
              <w:autoSpaceDN w:val="0"/>
              <w:adjustRightInd w:val="0"/>
              <w:spacing w:before="50"/>
              <w:jc w:val="center"/>
              <w:rPr>
                <w:rFonts w:ascii="宋体" w:hAnsi="宋体"/>
                <w:color w:val="auto"/>
                <w:szCs w:val="21"/>
              </w:rPr>
            </w:pPr>
            <w:r>
              <w:rPr>
                <w:rFonts w:hint="eastAsia" w:ascii="宋体" w:hAnsi="宋体"/>
                <w:color w:val="auto"/>
                <w:szCs w:val="21"/>
              </w:rPr>
              <w:t>1.1.4.4</w:t>
            </w:r>
          </w:p>
        </w:tc>
        <w:tc>
          <w:tcPr>
            <w:tcW w:w="3789" w:type="dxa"/>
            <w:vAlign w:val="center"/>
          </w:tcPr>
          <w:p w14:paraId="7F947E13">
            <w:pPr>
              <w:rPr>
                <w:rFonts w:ascii="宋体" w:hAnsi="宋体"/>
                <w:color w:val="auto"/>
                <w:szCs w:val="21"/>
              </w:rPr>
            </w:pPr>
          </w:p>
        </w:tc>
        <w:tc>
          <w:tcPr>
            <w:tcW w:w="720" w:type="dxa"/>
            <w:vAlign w:val="center"/>
          </w:tcPr>
          <w:p w14:paraId="5D10E27A">
            <w:pPr>
              <w:jc w:val="center"/>
              <w:rPr>
                <w:rFonts w:ascii="宋体" w:hAnsi="宋体"/>
                <w:color w:val="auto"/>
                <w:szCs w:val="21"/>
              </w:rPr>
            </w:pPr>
          </w:p>
        </w:tc>
      </w:tr>
      <w:tr w14:paraId="4DD2C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720" w:type="dxa"/>
            <w:vAlign w:val="center"/>
          </w:tcPr>
          <w:p w14:paraId="6C3308D4">
            <w:pPr>
              <w:jc w:val="center"/>
              <w:rPr>
                <w:rFonts w:ascii="宋体" w:hAnsi="宋体"/>
                <w:color w:val="auto"/>
                <w:szCs w:val="21"/>
              </w:rPr>
            </w:pPr>
            <w:r>
              <w:rPr>
                <w:rFonts w:hint="eastAsia" w:ascii="宋体" w:hAnsi="宋体"/>
                <w:color w:val="auto"/>
                <w:szCs w:val="21"/>
              </w:rPr>
              <w:t>4</w:t>
            </w:r>
          </w:p>
        </w:tc>
        <w:tc>
          <w:tcPr>
            <w:tcW w:w="2399" w:type="dxa"/>
            <w:vAlign w:val="center"/>
          </w:tcPr>
          <w:p w14:paraId="69F060C2">
            <w:pPr>
              <w:rPr>
                <w:rFonts w:ascii="宋体" w:hAnsi="宋体"/>
                <w:color w:val="auto"/>
                <w:szCs w:val="21"/>
              </w:rPr>
            </w:pPr>
            <w:r>
              <w:rPr>
                <w:color w:val="auto"/>
              </w:rPr>
              <w:t>项目经理每月在施工现场的时间</w:t>
            </w:r>
          </w:p>
        </w:tc>
        <w:tc>
          <w:tcPr>
            <w:tcW w:w="1314" w:type="dxa"/>
            <w:tcMar>
              <w:left w:w="170" w:type="dxa"/>
            </w:tcMar>
            <w:vAlign w:val="center"/>
          </w:tcPr>
          <w:p w14:paraId="74488B02">
            <w:pPr>
              <w:autoSpaceDE w:val="0"/>
              <w:autoSpaceDN w:val="0"/>
              <w:adjustRightInd w:val="0"/>
              <w:spacing w:before="50"/>
              <w:jc w:val="center"/>
              <w:rPr>
                <w:rFonts w:ascii="宋体" w:hAnsi="宋体"/>
                <w:color w:val="auto"/>
                <w:szCs w:val="21"/>
              </w:rPr>
            </w:pPr>
            <w:r>
              <w:rPr>
                <w:rFonts w:ascii="宋体" w:hAnsi="宋体"/>
                <w:color w:val="auto"/>
                <w:szCs w:val="21"/>
              </w:rPr>
              <w:t>3.2.1</w:t>
            </w:r>
          </w:p>
        </w:tc>
        <w:tc>
          <w:tcPr>
            <w:tcW w:w="3789" w:type="dxa"/>
            <w:vAlign w:val="center"/>
          </w:tcPr>
          <w:p w14:paraId="45E8AB55">
            <w:pPr>
              <w:rPr>
                <w:rFonts w:ascii="宋体" w:hAnsi="宋体"/>
                <w:color w:val="auto"/>
                <w:szCs w:val="21"/>
              </w:rPr>
            </w:pPr>
          </w:p>
        </w:tc>
        <w:tc>
          <w:tcPr>
            <w:tcW w:w="720" w:type="dxa"/>
            <w:vAlign w:val="center"/>
          </w:tcPr>
          <w:p w14:paraId="3CDE76E8">
            <w:pPr>
              <w:jc w:val="center"/>
              <w:rPr>
                <w:rFonts w:ascii="宋体" w:hAnsi="宋体"/>
                <w:color w:val="auto"/>
                <w:szCs w:val="21"/>
              </w:rPr>
            </w:pPr>
          </w:p>
        </w:tc>
      </w:tr>
      <w:tr w14:paraId="76CFA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720" w:type="dxa"/>
            <w:vAlign w:val="center"/>
          </w:tcPr>
          <w:p w14:paraId="57963CD7">
            <w:pPr>
              <w:jc w:val="center"/>
              <w:rPr>
                <w:rFonts w:ascii="宋体" w:hAnsi="宋体"/>
                <w:color w:val="auto"/>
                <w:szCs w:val="21"/>
              </w:rPr>
            </w:pPr>
            <w:r>
              <w:rPr>
                <w:rFonts w:hint="eastAsia" w:ascii="宋体" w:hAnsi="宋体"/>
                <w:color w:val="auto"/>
                <w:szCs w:val="21"/>
              </w:rPr>
              <w:t>5</w:t>
            </w:r>
          </w:p>
        </w:tc>
        <w:tc>
          <w:tcPr>
            <w:tcW w:w="2399" w:type="dxa"/>
            <w:vAlign w:val="center"/>
          </w:tcPr>
          <w:p w14:paraId="4982CCBA">
            <w:pPr>
              <w:rPr>
                <w:color w:val="auto"/>
              </w:rPr>
            </w:pPr>
            <w:r>
              <w:rPr>
                <w:color w:val="auto"/>
              </w:rPr>
              <w:t>项目经理擅自离开施工现场的违约责任</w:t>
            </w:r>
          </w:p>
        </w:tc>
        <w:tc>
          <w:tcPr>
            <w:tcW w:w="1314" w:type="dxa"/>
            <w:tcMar>
              <w:left w:w="170" w:type="dxa"/>
            </w:tcMar>
            <w:vAlign w:val="center"/>
          </w:tcPr>
          <w:p w14:paraId="4546A164">
            <w:pPr>
              <w:autoSpaceDE w:val="0"/>
              <w:autoSpaceDN w:val="0"/>
              <w:adjustRightInd w:val="0"/>
              <w:spacing w:before="50"/>
              <w:jc w:val="center"/>
              <w:rPr>
                <w:rFonts w:ascii="宋体" w:hAnsi="宋体"/>
                <w:color w:val="auto"/>
                <w:szCs w:val="21"/>
              </w:rPr>
            </w:pPr>
            <w:r>
              <w:rPr>
                <w:rFonts w:ascii="宋体" w:hAnsi="宋体"/>
                <w:color w:val="auto"/>
                <w:szCs w:val="21"/>
              </w:rPr>
              <w:t>3.2.1</w:t>
            </w:r>
          </w:p>
        </w:tc>
        <w:tc>
          <w:tcPr>
            <w:tcW w:w="3789" w:type="dxa"/>
            <w:vAlign w:val="center"/>
          </w:tcPr>
          <w:p w14:paraId="26D08915">
            <w:pPr>
              <w:rPr>
                <w:rFonts w:ascii="宋体" w:hAnsi="宋体"/>
                <w:color w:val="auto"/>
                <w:szCs w:val="21"/>
              </w:rPr>
            </w:pPr>
          </w:p>
        </w:tc>
        <w:tc>
          <w:tcPr>
            <w:tcW w:w="720" w:type="dxa"/>
            <w:vAlign w:val="center"/>
          </w:tcPr>
          <w:p w14:paraId="42493B04">
            <w:pPr>
              <w:jc w:val="center"/>
              <w:rPr>
                <w:rFonts w:ascii="宋体" w:hAnsi="宋体"/>
                <w:color w:val="auto"/>
                <w:szCs w:val="21"/>
              </w:rPr>
            </w:pPr>
          </w:p>
        </w:tc>
      </w:tr>
      <w:tr w14:paraId="488CE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720" w:type="dxa"/>
            <w:vAlign w:val="center"/>
          </w:tcPr>
          <w:p w14:paraId="30E9995E">
            <w:pPr>
              <w:jc w:val="center"/>
              <w:rPr>
                <w:rFonts w:ascii="宋体" w:hAnsi="宋体"/>
                <w:color w:val="auto"/>
                <w:szCs w:val="21"/>
              </w:rPr>
            </w:pPr>
            <w:r>
              <w:rPr>
                <w:rFonts w:hint="eastAsia" w:ascii="宋体" w:hAnsi="宋体"/>
                <w:color w:val="auto"/>
                <w:szCs w:val="21"/>
              </w:rPr>
              <w:t>6</w:t>
            </w:r>
          </w:p>
        </w:tc>
        <w:tc>
          <w:tcPr>
            <w:tcW w:w="2399" w:type="dxa"/>
            <w:vAlign w:val="center"/>
          </w:tcPr>
          <w:p w14:paraId="32C685DB">
            <w:pPr>
              <w:rPr>
                <w:color w:val="auto"/>
              </w:rPr>
            </w:pPr>
            <w:r>
              <w:rPr>
                <w:color w:val="auto"/>
              </w:rPr>
              <w:t>擅自更换项目经理的违约责任</w:t>
            </w:r>
          </w:p>
        </w:tc>
        <w:tc>
          <w:tcPr>
            <w:tcW w:w="1314" w:type="dxa"/>
            <w:tcMar>
              <w:left w:w="170" w:type="dxa"/>
            </w:tcMar>
            <w:vAlign w:val="center"/>
          </w:tcPr>
          <w:p w14:paraId="21E25E8D">
            <w:pPr>
              <w:autoSpaceDE w:val="0"/>
              <w:autoSpaceDN w:val="0"/>
              <w:adjustRightInd w:val="0"/>
              <w:spacing w:before="50"/>
              <w:jc w:val="center"/>
              <w:rPr>
                <w:rFonts w:ascii="宋体" w:hAnsi="宋体"/>
                <w:color w:val="auto"/>
                <w:szCs w:val="21"/>
              </w:rPr>
            </w:pPr>
            <w:r>
              <w:rPr>
                <w:rFonts w:ascii="宋体" w:hAnsi="宋体"/>
                <w:color w:val="auto"/>
                <w:szCs w:val="21"/>
              </w:rPr>
              <w:t>3.2.3</w:t>
            </w:r>
          </w:p>
        </w:tc>
        <w:tc>
          <w:tcPr>
            <w:tcW w:w="3789" w:type="dxa"/>
            <w:vAlign w:val="center"/>
          </w:tcPr>
          <w:p w14:paraId="3ABCB977">
            <w:pPr>
              <w:rPr>
                <w:rFonts w:ascii="宋体" w:hAnsi="宋体"/>
                <w:color w:val="auto"/>
                <w:szCs w:val="21"/>
              </w:rPr>
            </w:pPr>
          </w:p>
        </w:tc>
        <w:tc>
          <w:tcPr>
            <w:tcW w:w="720" w:type="dxa"/>
            <w:vAlign w:val="center"/>
          </w:tcPr>
          <w:p w14:paraId="6998AF6F">
            <w:pPr>
              <w:jc w:val="center"/>
              <w:rPr>
                <w:rFonts w:ascii="宋体" w:hAnsi="宋体"/>
                <w:color w:val="auto"/>
                <w:szCs w:val="21"/>
              </w:rPr>
            </w:pPr>
          </w:p>
        </w:tc>
      </w:tr>
      <w:tr w14:paraId="37BE3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720" w:type="dxa"/>
            <w:vAlign w:val="center"/>
          </w:tcPr>
          <w:p w14:paraId="7370C72A">
            <w:pPr>
              <w:jc w:val="center"/>
              <w:rPr>
                <w:rFonts w:ascii="宋体" w:hAnsi="宋体"/>
                <w:color w:val="auto"/>
                <w:szCs w:val="21"/>
              </w:rPr>
            </w:pPr>
            <w:r>
              <w:rPr>
                <w:rFonts w:hint="eastAsia" w:ascii="宋体" w:hAnsi="宋体"/>
                <w:color w:val="auto"/>
                <w:szCs w:val="21"/>
              </w:rPr>
              <w:t>7</w:t>
            </w:r>
          </w:p>
        </w:tc>
        <w:tc>
          <w:tcPr>
            <w:tcW w:w="2399" w:type="dxa"/>
            <w:vAlign w:val="center"/>
          </w:tcPr>
          <w:p w14:paraId="5432F7D5">
            <w:pPr>
              <w:rPr>
                <w:color w:val="auto"/>
              </w:rPr>
            </w:pPr>
            <w:r>
              <w:rPr>
                <w:color w:val="auto"/>
              </w:rPr>
              <w:t>无正当理由拒绝更换项目经理的违约责任</w:t>
            </w:r>
          </w:p>
        </w:tc>
        <w:tc>
          <w:tcPr>
            <w:tcW w:w="1314" w:type="dxa"/>
            <w:tcMar>
              <w:left w:w="170" w:type="dxa"/>
            </w:tcMar>
            <w:vAlign w:val="center"/>
          </w:tcPr>
          <w:p w14:paraId="544A18D4">
            <w:pPr>
              <w:autoSpaceDE w:val="0"/>
              <w:autoSpaceDN w:val="0"/>
              <w:adjustRightInd w:val="0"/>
              <w:spacing w:before="50"/>
              <w:jc w:val="center"/>
              <w:rPr>
                <w:rFonts w:ascii="宋体" w:hAnsi="宋体"/>
                <w:color w:val="auto"/>
                <w:szCs w:val="21"/>
              </w:rPr>
            </w:pPr>
            <w:r>
              <w:rPr>
                <w:rFonts w:ascii="宋体" w:hAnsi="宋体"/>
                <w:color w:val="auto"/>
                <w:szCs w:val="21"/>
              </w:rPr>
              <w:t>3.2.4</w:t>
            </w:r>
          </w:p>
        </w:tc>
        <w:tc>
          <w:tcPr>
            <w:tcW w:w="3789" w:type="dxa"/>
            <w:vAlign w:val="center"/>
          </w:tcPr>
          <w:p w14:paraId="61BEBCAA">
            <w:pPr>
              <w:rPr>
                <w:rFonts w:ascii="宋体" w:hAnsi="宋体"/>
                <w:color w:val="auto"/>
                <w:szCs w:val="21"/>
              </w:rPr>
            </w:pPr>
          </w:p>
        </w:tc>
        <w:tc>
          <w:tcPr>
            <w:tcW w:w="720" w:type="dxa"/>
            <w:vAlign w:val="center"/>
          </w:tcPr>
          <w:p w14:paraId="6F473916">
            <w:pPr>
              <w:jc w:val="center"/>
              <w:rPr>
                <w:rFonts w:ascii="宋体" w:hAnsi="宋体"/>
                <w:color w:val="auto"/>
                <w:szCs w:val="21"/>
              </w:rPr>
            </w:pPr>
          </w:p>
        </w:tc>
      </w:tr>
      <w:tr w14:paraId="412AF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383" w:hRule="atLeast"/>
          <w:jc w:val="center"/>
        </w:trPr>
        <w:tc>
          <w:tcPr>
            <w:tcW w:w="720" w:type="dxa"/>
            <w:vAlign w:val="center"/>
          </w:tcPr>
          <w:p w14:paraId="5C3218C1">
            <w:pPr>
              <w:jc w:val="center"/>
              <w:rPr>
                <w:rFonts w:ascii="宋体" w:hAnsi="宋体"/>
                <w:color w:val="auto"/>
                <w:szCs w:val="21"/>
              </w:rPr>
            </w:pPr>
            <w:r>
              <w:rPr>
                <w:rFonts w:hint="eastAsia" w:ascii="宋体" w:hAnsi="宋体"/>
                <w:color w:val="auto"/>
                <w:szCs w:val="21"/>
              </w:rPr>
              <w:t>8</w:t>
            </w:r>
          </w:p>
        </w:tc>
        <w:tc>
          <w:tcPr>
            <w:tcW w:w="2399" w:type="dxa"/>
            <w:vAlign w:val="center"/>
          </w:tcPr>
          <w:p w14:paraId="3FDA79F1">
            <w:pPr>
              <w:rPr>
                <w:rFonts w:ascii="宋体" w:hAnsi="宋体"/>
                <w:color w:val="auto"/>
                <w:szCs w:val="21"/>
              </w:rPr>
            </w:pPr>
            <w:r>
              <w:rPr>
                <w:rFonts w:hint="eastAsia" w:ascii="宋体" w:hAnsi="宋体"/>
                <w:color w:val="auto"/>
                <w:szCs w:val="21"/>
              </w:rPr>
              <w:t>承包人履约担保金额</w:t>
            </w:r>
          </w:p>
        </w:tc>
        <w:tc>
          <w:tcPr>
            <w:tcW w:w="1314" w:type="dxa"/>
            <w:tcMar>
              <w:left w:w="170" w:type="dxa"/>
            </w:tcMar>
            <w:vAlign w:val="center"/>
          </w:tcPr>
          <w:p w14:paraId="57517F8E">
            <w:pPr>
              <w:jc w:val="center"/>
              <w:rPr>
                <w:rFonts w:ascii="宋体" w:hAnsi="宋体"/>
                <w:color w:val="auto"/>
                <w:szCs w:val="21"/>
              </w:rPr>
            </w:pPr>
            <w:r>
              <w:rPr>
                <w:rFonts w:hint="eastAsia" w:ascii="宋体" w:hAnsi="宋体"/>
                <w:color w:val="auto"/>
                <w:szCs w:val="21"/>
              </w:rPr>
              <w:t>3.7</w:t>
            </w:r>
          </w:p>
        </w:tc>
        <w:tc>
          <w:tcPr>
            <w:tcW w:w="3789" w:type="dxa"/>
            <w:vAlign w:val="center"/>
          </w:tcPr>
          <w:p w14:paraId="29EE7113">
            <w:pPr>
              <w:rPr>
                <w:rFonts w:ascii="宋体" w:hAnsi="宋体"/>
                <w:color w:val="auto"/>
                <w:szCs w:val="21"/>
              </w:rPr>
            </w:pPr>
          </w:p>
        </w:tc>
        <w:tc>
          <w:tcPr>
            <w:tcW w:w="720" w:type="dxa"/>
            <w:vAlign w:val="center"/>
          </w:tcPr>
          <w:p w14:paraId="68F72C4B">
            <w:pPr>
              <w:jc w:val="center"/>
              <w:rPr>
                <w:rFonts w:ascii="宋体" w:hAnsi="宋体"/>
                <w:color w:val="auto"/>
                <w:szCs w:val="21"/>
              </w:rPr>
            </w:pPr>
          </w:p>
        </w:tc>
      </w:tr>
      <w:tr w14:paraId="5355A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351" w:hRule="atLeast"/>
          <w:jc w:val="center"/>
        </w:trPr>
        <w:tc>
          <w:tcPr>
            <w:tcW w:w="720" w:type="dxa"/>
            <w:vAlign w:val="center"/>
          </w:tcPr>
          <w:p w14:paraId="5DD586F9">
            <w:pPr>
              <w:jc w:val="center"/>
              <w:rPr>
                <w:rFonts w:ascii="宋体" w:hAnsi="宋体"/>
                <w:color w:val="auto"/>
                <w:szCs w:val="21"/>
              </w:rPr>
            </w:pPr>
            <w:r>
              <w:rPr>
                <w:rFonts w:hint="eastAsia" w:ascii="宋体" w:hAnsi="宋体"/>
                <w:color w:val="auto"/>
                <w:szCs w:val="21"/>
              </w:rPr>
              <w:t>9</w:t>
            </w:r>
          </w:p>
        </w:tc>
        <w:tc>
          <w:tcPr>
            <w:tcW w:w="2399" w:type="dxa"/>
            <w:vAlign w:val="center"/>
          </w:tcPr>
          <w:p w14:paraId="4B4DD6E1">
            <w:pPr>
              <w:rPr>
                <w:rFonts w:ascii="宋体" w:hAnsi="宋体"/>
                <w:color w:val="auto"/>
                <w:szCs w:val="21"/>
              </w:rPr>
            </w:pPr>
            <w:r>
              <w:rPr>
                <w:rFonts w:hint="eastAsia" w:ascii="宋体" w:hAnsi="宋体"/>
                <w:color w:val="auto"/>
                <w:szCs w:val="21"/>
              </w:rPr>
              <w:t>分包</w:t>
            </w:r>
          </w:p>
        </w:tc>
        <w:tc>
          <w:tcPr>
            <w:tcW w:w="1314" w:type="dxa"/>
            <w:tcMar>
              <w:left w:w="170" w:type="dxa"/>
            </w:tcMar>
            <w:vAlign w:val="center"/>
          </w:tcPr>
          <w:p w14:paraId="00E5644A">
            <w:pPr>
              <w:jc w:val="center"/>
              <w:rPr>
                <w:rFonts w:ascii="宋体" w:hAnsi="宋体"/>
                <w:color w:val="auto"/>
                <w:szCs w:val="21"/>
              </w:rPr>
            </w:pPr>
            <w:r>
              <w:rPr>
                <w:rFonts w:hint="eastAsia" w:ascii="宋体" w:hAnsi="宋体"/>
                <w:color w:val="auto"/>
                <w:szCs w:val="21"/>
              </w:rPr>
              <w:t>3.5.2</w:t>
            </w:r>
          </w:p>
        </w:tc>
        <w:tc>
          <w:tcPr>
            <w:tcW w:w="3789" w:type="dxa"/>
            <w:vAlign w:val="center"/>
          </w:tcPr>
          <w:p w14:paraId="3BCA8A7D">
            <w:pPr>
              <w:rPr>
                <w:rFonts w:ascii="宋体" w:hAnsi="宋体"/>
                <w:color w:val="auto"/>
                <w:szCs w:val="21"/>
              </w:rPr>
            </w:pPr>
            <w:r>
              <w:rPr>
                <w:rFonts w:hint="eastAsia" w:ascii="宋体" w:hAnsi="宋体"/>
                <w:color w:val="auto"/>
                <w:szCs w:val="21"/>
              </w:rPr>
              <w:t>见</w:t>
            </w:r>
            <w:r>
              <w:rPr>
                <w:rFonts w:hint="eastAsia"/>
                <w:color w:val="auto"/>
              </w:rPr>
              <w:t>拟分包计划表</w:t>
            </w:r>
          </w:p>
        </w:tc>
        <w:tc>
          <w:tcPr>
            <w:tcW w:w="720" w:type="dxa"/>
            <w:vAlign w:val="center"/>
          </w:tcPr>
          <w:p w14:paraId="04865697">
            <w:pPr>
              <w:jc w:val="center"/>
              <w:rPr>
                <w:rFonts w:ascii="宋体" w:hAnsi="宋体"/>
                <w:color w:val="auto"/>
                <w:szCs w:val="21"/>
              </w:rPr>
            </w:pPr>
          </w:p>
        </w:tc>
      </w:tr>
      <w:tr w14:paraId="59FE8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25" w:hRule="atLeast"/>
          <w:jc w:val="center"/>
        </w:trPr>
        <w:tc>
          <w:tcPr>
            <w:tcW w:w="720" w:type="dxa"/>
            <w:vAlign w:val="center"/>
          </w:tcPr>
          <w:p w14:paraId="00510249">
            <w:pPr>
              <w:jc w:val="center"/>
              <w:rPr>
                <w:rFonts w:ascii="宋体" w:hAnsi="宋体"/>
                <w:color w:val="auto"/>
                <w:szCs w:val="21"/>
              </w:rPr>
            </w:pPr>
            <w:r>
              <w:rPr>
                <w:rFonts w:hint="eastAsia" w:ascii="宋体" w:hAnsi="宋体"/>
                <w:color w:val="auto"/>
                <w:szCs w:val="21"/>
              </w:rPr>
              <w:t>10</w:t>
            </w:r>
          </w:p>
        </w:tc>
        <w:tc>
          <w:tcPr>
            <w:tcW w:w="2399" w:type="dxa"/>
            <w:vAlign w:val="center"/>
          </w:tcPr>
          <w:p w14:paraId="4DFA38EA">
            <w:pPr>
              <w:rPr>
                <w:rFonts w:ascii="宋体" w:hAnsi="宋体"/>
                <w:color w:val="auto"/>
                <w:szCs w:val="21"/>
              </w:rPr>
            </w:pPr>
            <w:r>
              <w:rPr>
                <w:rFonts w:hint="eastAsia" w:ascii="宋体" w:hAnsi="宋体"/>
                <w:color w:val="auto"/>
                <w:szCs w:val="21"/>
              </w:rPr>
              <w:t>逾期竣工违约金</w:t>
            </w:r>
          </w:p>
        </w:tc>
        <w:tc>
          <w:tcPr>
            <w:tcW w:w="1314" w:type="dxa"/>
            <w:tcMar>
              <w:left w:w="170" w:type="dxa"/>
            </w:tcMar>
            <w:vAlign w:val="center"/>
          </w:tcPr>
          <w:p w14:paraId="31633169">
            <w:pPr>
              <w:jc w:val="center"/>
              <w:rPr>
                <w:rFonts w:ascii="宋体" w:hAnsi="宋体"/>
                <w:color w:val="auto"/>
                <w:szCs w:val="21"/>
              </w:rPr>
            </w:pPr>
            <w:r>
              <w:rPr>
                <w:rFonts w:hint="eastAsia" w:ascii="宋体" w:hAnsi="宋体"/>
                <w:color w:val="auto"/>
                <w:szCs w:val="21"/>
              </w:rPr>
              <w:t>7.5.2</w:t>
            </w:r>
          </w:p>
        </w:tc>
        <w:tc>
          <w:tcPr>
            <w:tcW w:w="3789" w:type="dxa"/>
            <w:vAlign w:val="center"/>
          </w:tcPr>
          <w:p w14:paraId="1EB1DC8A">
            <w:pPr>
              <w:rPr>
                <w:rFonts w:ascii="宋体" w:hAnsi="宋体"/>
                <w:color w:val="auto"/>
                <w:szCs w:val="21"/>
              </w:rPr>
            </w:pPr>
            <w:r>
              <w:rPr>
                <w:rFonts w:hint="eastAsia" w:ascii="宋体" w:hAnsi="宋体"/>
                <w:color w:val="auto"/>
                <w:szCs w:val="21"/>
                <w:u w:val="single"/>
              </w:rPr>
              <w:t xml:space="preserve">           </w:t>
            </w:r>
            <w:r>
              <w:rPr>
                <w:rFonts w:hint="eastAsia" w:ascii="宋体" w:hAnsi="宋体"/>
                <w:color w:val="auto"/>
                <w:szCs w:val="21"/>
              </w:rPr>
              <w:t>元/天</w:t>
            </w:r>
          </w:p>
        </w:tc>
        <w:tc>
          <w:tcPr>
            <w:tcW w:w="720" w:type="dxa"/>
            <w:vAlign w:val="center"/>
          </w:tcPr>
          <w:p w14:paraId="778DF76F">
            <w:pPr>
              <w:jc w:val="center"/>
              <w:rPr>
                <w:rFonts w:ascii="宋体" w:hAnsi="宋体"/>
                <w:color w:val="auto"/>
                <w:szCs w:val="21"/>
              </w:rPr>
            </w:pPr>
          </w:p>
        </w:tc>
      </w:tr>
      <w:tr w14:paraId="22AAC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18" w:hRule="atLeast"/>
          <w:jc w:val="center"/>
        </w:trPr>
        <w:tc>
          <w:tcPr>
            <w:tcW w:w="720" w:type="dxa"/>
            <w:vAlign w:val="center"/>
          </w:tcPr>
          <w:p w14:paraId="1876BB53">
            <w:pPr>
              <w:jc w:val="center"/>
              <w:rPr>
                <w:rFonts w:ascii="宋体" w:hAnsi="宋体"/>
                <w:color w:val="auto"/>
                <w:szCs w:val="21"/>
              </w:rPr>
            </w:pPr>
            <w:r>
              <w:rPr>
                <w:rFonts w:hint="eastAsia" w:ascii="宋体" w:hAnsi="宋体"/>
                <w:color w:val="auto"/>
                <w:szCs w:val="21"/>
              </w:rPr>
              <w:t>11</w:t>
            </w:r>
          </w:p>
        </w:tc>
        <w:tc>
          <w:tcPr>
            <w:tcW w:w="2399" w:type="dxa"/>
            <w:vAlign w:val="center"/>
          </w:tcPr>
          <w:p w14:paraId="6298B772">
            <w:pPr>
              <w:rPr>
                <w:rFonts w:ascii="宋体" w:hAnsi="宋体"/>
                <w:color w:val="auto"/>
                <w:szCs w:val="21"/>
              </w:rPr>
            </w:pPr>
            <w:r>
              <w:rPr>
                <w:rFonts w:hint="eastAsia" w:ascii="宋体" w:hAnsi="宋体"/>
                <w:color w:val="auto"/>
                <w:szCs w:val="21"/>
              </w:rPr>
              <w:t>逾期竣工违约金的上限</w:t>
            </w:r>
          </w:p>
        </w:tc>
        <w:tc>
          <w:tcPr>
            <w:tcW w:w="1314" w:type="dxa"/>
            <w:tcMar>
              <w:left w:w="170" w:type="dxa"/>
            </w:tcMar>
            <w:vAlign w:val="center"/>
          </w:tcPr>
          <w:p w14:paraId="3729B2CA">
            <w:pPr>
              <w:jc w:val="center"/>
              <w:rPr>
                <w:rFonts w:ascii="宋体" w:hAnsi="宋体"/>
                <w:color w:val="auto"/>
                <w:szCs w:val="21"/>
              </w:rPr>
            </w:pPr>
            <w:r>
              <w:rPr>
                <w:rFonts w:hint="eastAsia" w:ascii="宋体" w:hAnsi="宋体"/>
                <w:color w:val="auto"/>
                <w:szCs w:val="21"/>
              </w:rPr>
              <w:t>7.5.2</w:t>
            </w:r>
          </w:p>
        </w:tc>
        <w:tc>
          <w:tcPr>
            <w:tcW w:w="3789" w:type="dxa"/>
            <w:vAlign w:val="center"/>
          </w:tcPr>
          <w:p w14:paraId="058C2DDB">
            <w:pPr>
              <w:rPr>
                <w:rFonts w:ascii="宋体" w:hAnsi="宋体"/>
                <w:color w:val="auto"/>
                <w:szCs w:val="21"/>
              </w:rPr>
            </w:pPr>
            <w:r>
              <w:rPr>
                <w:rFonts w:hint="eastAsia" w:ascii="宋体" w:hAnsi="宋体"/>
                <w:color w:val="auto"/>
                <w:szCs w:val="21"/>
                <w:u w:val="single"/>
              </w:rPr>
              <w:t xml:space="preserve">             </w:t>
            </w:r>
          </w:p>
        </w:tc>
        <w:tc>
          <w:tcPr>
            <w:tcW w:w="720" w:type="dxa"/>
            <w:vAlign w:val="center"/>
          </w:tcPr>
          <w:p w14:paraId="7186C4AB">
            <w:pPr>
              <w:jc w:val="center"/>
              <w:rPr>
                <w:rFonts w:ascii="宋体" w:hAnsi="宋体"/>
                <w:color w:val="auto"/>
                <w:szCs w:val="21"/>
              </w:rPr>
            </w:pPr>
          </w:p>
        </w:tc>
      </w:tr>
      <w:tr w14:paraId="487C1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720" w:type="dxa"/>
            <w:vAlign w:val="center"/>
          </w:tcPr>
          <w:p w14:paraId="74DCE777">
            <w:pPr>
              <w:jc w:val="center"/>
              <w:rPr>
                <w:rFonts w:ascii="宋体" w:hAnsi="宋体"/>
                <w:color w:val="auto"/>
                <w:szCs w:val="21"/>
              </w:rPr>
            </w:pPr>
            <w:r>
              <w:rPr>
                <w:rFonts w:hint="eastAsia" w:ascii="宋体" w:hAnsi="宋体"/>
                <w:color w:val="auto"/>
                <w:szCs w:val="21"/>
              </w:rPr>
              <w:t>12</w:t>
            </w:r>
          </w:p>
        </w:tc>
        <w:tc>
          <w:tcPr>
            <w:tcW w:w="2399" w:type="dxa"/>
            <w:vAlign w:val="center"/>
          </w:tcPr>
          <w:p w14:paraId="1F10D0FC">
            <w:pPr>
              <w:rPr>
                <w:rFonts w:ascii="宋体" w:hAnsi="宋体"/>
                <w:color w:val="auto"/>
                <w:szCs w:val="21"/>
              </w:rPr>
            </w:pPr>
            <w:r>
              <w:rPr>
                <w:rFonts w:hint="eastAsia" w:ascii="宋体" w:hAnsi="宋体"/>
                <w:color w:val="auto"/>
                <w:szCs w:val="21"/>
              </w:rPr>
              <w:t>价格调整的差额计算</w:t>
            </w:r>
          </w:p>
        </w:tc>
        <w:tc>
          <w:tcPr>
            <w:tcW w:w="1314" w:type="dxa"/>
            <w:tcMar>
              <w:left w:w="170" w:type="dxa"/>
            </w:tcMar>
            <w:vAlign w:val="center"/>
          </w:tcPr>
          <w:p w14:paraId="6C31754F">
            <w:pPr>
              <w:jc w:val="center"/>
              <w:rPr>
                <w:rFonts w:ascii="宋体" w:hAnsi="宋体"/>
                <w:color w:val="auto"/>
                <w:szCs w:val="21"/>
              </w:rPr>
            </w:pPr>
            <w:r>
              <w:rPr>
                <w:rFonts w:hint="eastAsia" w:ascii="宋体" w:hAnsi="宋体"/>
                <w:color w:val="auto"/>
                <w:szCs w:val="21"/>
              </w:rPr>
              <w:t>11.1</w:t>
            </w:r>
          </w:p>
        </w:tc>
        <w:tc>
          <w:tcPr>
            <w:tcW w:w="3789" w:type="dxa"/>
            <w:vAlign w:val="center"/>
          </w:tcPr>
          <w:p w14:paraId="13A5E488">
            <w:pPr>
              <w:rPr>
                <w:rFonts w:ascii="宋体" w:hAnsi="宋体"/>
                <w:color w:val="auto"/>
                <w:szCs w:val="21"/>
              </w:rPr>
            </w:pPr>
            <w:r>
              <w:rPr>
                <w:color w:val="auto"/>
              </w:rPr>
              <w:t>采用价格指数</w:t>
            </w:r>
            <w:r>
              <w:rPr>
                <w:rFonts w:hint="eastAsia"/>
                <w:color w:val="auto"/>
              </w:rPr>
              <w:t>进行价格</w:t>
            </w:r>
            <w:r>
              <w:rPr>
                <w:color w:val="auto"/>
              </w:rPr>
              <w:t>调整时，</w:t>
            </w:r>
            <w:r>
              <w:rPr>
                <w:rFonts w:hint="eastAsia" w:ascii="宋体" w:hAnsi="宋体"/>
                <w:color w:val="auto"/>
                <w:szCs w:val="21"/>
              </w:rPr>
              <w:t>见价格指数权重表</w:t>
            </w:r>
          </w:p>
        </w:tc>
        <w:tc>
          <w:tcPr>
            <w:tcW w:w="720" w:type="dxa"/>
            <w:vAlign w:val="center"/>
          </w:tcPr>
          <w:p w14:paraId="56C5E3CB">
            <w:pPr>
              <w:jc w:val="center"/>
              <w:rPr>
                <w:rFonts w:ascii="宋体" w:hAnsi="宋体"/>
                <w:color w:val="auto"/>
                <w:szCs w:val="21"/>
              </w:rPr>
            </w:pPr>
          </w:p>
        </w:tc>
      </w:tr>
      <w:tr w14:paraId="50684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43" w:hRule="atLeast"/>
          <w:jc w:val="center"/>
        </w:trPr>
        <w:tc>
          <w:tcPr>
            <w:tcW w:w="720" w:type="dxa"/>
            <w:vAlign w:val="center"/>
          </w:tcPr>
          <w:p w14:paraId="1EFE9E9A">
            <w:pPr>
              <w:jc w:val="center"/>
              <w:rPr>
                <w:rFonts w:ascii="宋体" w:hAnsi="宋体"/>
                <w:color w:val="auto"/>
                <w:szCs w:val="21"/>
              </w:rPr>
            </w:pPr>
            <w:r>
              <w:rPr>
                <w:rFonts w:hint="eastAsia" w:ascii="宋体" w:hAnsi="宋体"/>
                <w:color w:val="auto"/>
                <w:szCs w:val="21"/>
              </w:rPr>
              <w:t>13</w:t>
            </w:r>
          </w:p>
        </w:tc>
        <w:tc>
          <w:tcPr>
            <w:tcW w:w="2399" w:type="dxa"/>
            <w:vAlign w:val="center"/>
          </w:tcPr>
          <w:p w14:paraId="6EE5EF70">
            <w:pPr>
              <w:rPr>
                <w:rFonts w:ascii="宋体" w:hAnsi="宋体"/>
                <w:color w:val="auto"/>
                <w:szCs w:val="21"/>
              </w:rPr>
            </w:pPr>
            <w:r>
              <w:rPr>
                <w:rFonts w:hint="eastAsia" w:ascii="宋体" w:hAnsi="宋体"/>
                <w:color w:val="auto"/>
                <w:szCs w:val="21"/>
              </w:rPr>
              <w:t>预付款</w:t>
            </w:r>
            <w:r>
              <w:rPr>
                <w:color w:val="auto"/>
              </w:rPr>
              <w:t>支付比例或金额</w:t>
            </w:r>
          </w:p>
        </w:tc>
        <w:tc>
          <w:tcPr>
            <w:tcW w:w="1314" w:type="dxa"/>
            <w:tcMar>
              <w:left w:w="170" w:type="dxa"/>
            </w:tcMar>
            <w:vAlign w:val="center"/>
          </w:tcPr>
          <w:p w14:paraId="171A2628">
            <w:pPr>
              <w:jc w:val="center"/>
              <w:rPr>
                <w:rFonts w:ascii="宋体" w:hAnsi="宋体"/>
                <w:color w:val="auto"/>
                <w:szCs w:val="21"/>
              </w:rPr>
            </w:pPr>
            <w:r>
              <w:rPr>
                <w:rFonts w:hint="eastAsia" w:ascii="宋体" w:hAnsi="宋体"/>
                <w:color w:val="auto"/>
                <w:szCs w:val="21"/>
              </w:rPr>
              <w:t>12.2.1</w:t>
            </w:r>
          </w:p>
        </w:tc>
        <w:tc>
          <w:tcPr>
            <w:tcW w:w="3789" w:type="dxa"/>
            <w:vAlign w:val="center"/>
          </w:tcPr>
          <w:p w14:paraId="377068C3">
            <w:pPr>
              <w:rPr>
                <w:rFonts w:ascii="宋体" w:hAnsi="宋体"/>
                <w:color w:val="auto"/>
                <w:szCs w:val="21"/>
              </w:rPr>
            </w:pPr>
          </w:p>
        </w:tc>
        <w:tc>
          <w:tcPr>
            <w:tcW w:w="720" w:type="dxa"/>
            <w:vAlign w:val="center"/>
          </w:tcPr>
          <w:p w14:paraId="5BAABC2B">
            <w:pPr>
              <w:jc w:val="center"/>
              <w:rPr>
                <w:rFonts w:ascii="宋体" w:hAnsi="宋体"/>
                <w:color w:val="auto"/>
                <w:szCs w:val="21"/>
              </w:rPr>
            </w:pPr>
          </w:p>
        </w:tc>
      </w:tr>
      <w:tr w14:paraId="75E20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37" w:hRule="atLeast"/>
          <w:jc w:val="center"/>
        </w:trPr>
        <w:tc>
          <w:tcPr>
            <w:tcW w:w="720" w:type="dxa"/>
            <w:vAlign w:val="center"/>
          </w:tcPr>
          <w:p w14:paraId="736FCB8E">
            <w:pPr>
              <w:autoSpaceDE w:val="0"/>
              <w:autoSpaceDN w:val="0"/>
              <w:adjustRightInd w:val="0"/>
              <w:spacing w:before="94" w:beforeLines="30"/>
              <w:jc w:val="center"/>
              <w:rPr>
                <w:rFonts w:ascii="宋体" w:hAnsi="宋体" w:cs="Arial"/>
                <w:color w:val="auto"/>
                <w:kern w:val="0"/>
                <w:szCs w:val="21"/>
              </w:rPr>
            </w:pPr>
            <w:r>
              <w:rPr>
                <w:rFonts w:hint="eastAsia" w:ascii="宋体" w:hAnsi="宋体" w:cs="Arial"/>
                <w:color w:val="auto"/>
                <w:kern w:val="0"/>
                <w:szCs w:val="21"/>
              </w:rPr>
              <w:t>14</w:t>
            </w:r>
          </w:p>
        </w:tc>
        <w:tc>
          <w:tcPr>
            <w:tcW w:w="2399" w:type="dxa"/>
            <w:vAlign w:val="center"/>
          </w:tcPr>
          <w:p w14:paraId="788DAC8C">
            <w:pPr>
              <w:rPr>
                <w:rFonts w:ascii="宋体" w:hAnsi="宋体"/>
                <w:color w:val="auto"/>
                <w:szCs w:val="21"/>
              </w:rPr>
            </w:pPr>
            <w:r>
              <w:rPr>
                <w:rFonts w:hint="eastAsia" w:ascii="宋体" w:hAnsi="宋体"/>
                <w:color w:val="auto"/>
                <w:szCs w:val="21"/>
              </w:rPr>
              <w:t>质量保证金额度</w:t>
            </w:r>
          </w:p>
        </w:tc>
        <w:tc>
          <w:tcPr>
            <w:tcW w:w="1314" w:type="dxa"/>
            <w:tcMar>
              <w:left w:w="170" w:type="dxa"/>
            </w:tcMar>
            <w:vAlign w:val="center"/>
          </w:tcPr>
          <w:p w14:paraId="3C9715C3">
            <w:pPr>
              <w:jc w:val="center"/>
              <w:rPr>
                <w:rFonts w:ascii="宋体" w:hAnsi="宋体"/>
                <w:color w:val="auto"/>
                <w:szCs w:val="21"/>
              </w:rPr>
            </w:pPr>
            <w:r>
              <w:rPr>
                <w:rFonts w:hint="eastAsia" w:ascii="宋体" w:hAnsi="宋体"/>
                <w:color w:val="auto"/>
                <w:szCs w:val="21"/>
              </w:rPr>
              <w:t>15.3.1</w:t>
            </w:r>
          </w:p>
        </w:tc>
        <w:tc>
          <w:tcPr>
            <w:tcW w:w="3789" w:type="dxa"/>
            <w:vAlign w:val="center"/>
          </w:tcPr>
          <w:p w14:paraId="0CA347F8">
            <w:pPr>
              <w:rPr>
                <w:rFonts w:ascii="宋体" w:hAnsi="宋体"/>
                <w:color w:val="auto"/>
                <w:szCs w:val="21"/>
              </w:rPr>
            </w:pPr>
          </w:p>
        </w:tc>
        <w:tc>
          <w:tcPr>
            <w:tcW w:w="720" w:type="dxa"/>
            <w:vAlign w:val="center"/>
          </w:tcPr>
          <w:p w14:paraId="3FBB2532">
            <w:pPr>
              <w:jc w:val="center"/>
              <w:rPr>
                <w:rFonts w:ascii="宋体" w:hAnsi="宋体"/>
                <w:color w:val="auto"/>
                <w:szCs w:val="21"/>
              </w:rPr>
            </w:pPr>
          </w:p>
        </w:tc>
      </w:tr>
      <w:tr w14:paraId="3B0F9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15" w:hRule="atLeast"/>
          <w:jc w:val="center"/>
        </w:trPr>
        <w:tc>
          <w:tcPr>
            <w:tcW w:w="720" w:type="dxa"/>
            <w:vAlign w:val="center"/>
          </w:tcPr>
          <w:p w14:paraId="413838EC">
            <w:pPr>
              <w:jc w:val="center"/>
              <w:rPr>
                <w:rFonts w:ascii="宋体" w:hAnsi="宋体"/>
                <w:color w:val="auto"/>
                <w:szCs w:val="21"/>
              </w:rPr>
            </w:pPr>
            <w:r>
              <w:rPr>
                <w:rFonts w:hint="eastAsia" w:ascii="宋体" w:hAnsi="宋体"/>
                <w:color w:val="auto"/>
                <w:szCs w:val="21"/>
              </w:rPr>
              <w:t>15</w:t>
            </w:r>
          </w:p>
        </w:tc>
        <w:tc>
          <w:tcPr>
            <w:tcW w:w="2399" w:type="dxa"/>
            <w:vAlign w:val="center"/>
          </w:tcPr>
          <w:p w14:paraId="551C68D0">
            <w:pPr>
              <w:rPr>
                <w:rFonts w:ascii="宋体" w:hAnsi="宋体"/>
                <w:color w:val="auto"/>
                <w:szCs w:val="21"/>
              </w:rPr>
            </w:pPr>
            <w:r>
              <w:rPr>
                <w:color w:val="auto"/>
              </w:rPr>
              <w:t>质量保证金</w:t>
            </w:r>
            <w:r>
              <w:rPr>
                <w:rFonts w:hint="eastAsia"/>
                <w:color w:val="auto"/>
              </w:rPr>
              <w:t>的</w:t>
            </w:r>
            <w:r>
              <w:rPr>
                <w:color w:val="auto"/>
              </w:rPr>
              <w:t>扣留</w:t>
            </w:r>
            <w:r>
              <w:rPr>
                <w:rFonts w:hint="eastAsia"/>
                <w:color w:val="auto"/>
              </w:rPr>
              <w:t>方式</w:t>
            </w:r>
          </w:p>
        </w:tc>
        <w:tc>
          <w:tcPr>
            <w:tcW w:w="1314" w:type="dxa"/>
            <w:tcMar>
              <w:left w:w="170" w:type="dxa"/>
            </w:tcMar>
            <w:vAlign w:val="center"/>
          </w:tcPr>
          <w:p w14:paraId="6FE16D78">
            <w:pPr>
              <w:jc w:val="center"/>
              <w:rPr>
                <w:rFonts w:ascii="宋体" w:hAnsi="宋体"/>
                <w:color w:val="auto"/>
                <w:szCs w:val="21"/>
              </w:rPr>
            </w:pPr>
            <w:r>
              <w:rPr>
                <w:rFonts w:ascii="宋体" w:hAnsi="宋体"/>
                <w:color w:val="auto"/>
                <w:szCs w:val="21"/>
              </w:rPr>
              <w:t>15.3.2</w:t>
            </w:r>
          </w:p>
        </w:tc>
        <w:tc>
          <w:tcPr>
            <w:tcW w:w="3789" w:type="dxa"/>
            <w:vAlign w:val="center"/>
          </w:tcPr>
          <w:p w14:paraId="64B68B38">
            <w:pPr>
              <w:rPr>
                <w:rFonts w:ascii="宋体" w:hAnsi="宋体"/>
                <w:color w:val="auto"/>
                <w:szCs w:val="21"/>
              </w:rPr>
            </w:pPr>
          </w:p>
        </w:tc>
        <w:tc>
          <w:tcPr>
            <w:tcW w:w="720" w:type="dxa"/>
            <w:vAlign w:val="center"/>
          </w:tcPr>
          <w:p w14:paraId="47690F6A">
            <w:pPr>
              <w:jc w:val="center"/>
              <w:rPr>
                <w:rFonts w:ascii="宋体" w:hAnsi="宋体"/>
                <w:color w:val="auto"/>
                <w:szCs w:val="21"/>
              </w:rPr>
            </w:pPr>
          </w:p>
        </w:tc>
      </w:tr>
      <w:tr w14:paraId="0C323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33" w:hRule="atLeast"/>
          <w:jc w:val="center"/>
        </w:trPr>
        <w:tc>
          <w:tcPr>
            <w:tcW w:w="720" w:type="dxa"/>
            <w:vAlign w:val="center"/>
          </w:tcPr>
          <w:p w14:paraId="4C239136">
            <w:pPr>
              <w:autoSpaceDE w:val="0"/>
              <w:autoSpaceDN w:val="0"/>
              <w:adjustRightInd w:val="0"/>
              <w:spacing w:before="94" w:beforeLines="30"/>
              <w:jc w:val="center"/>
              <w:rPr>
                <w:rFonts w:ascii="宋体" w:hAnsi="宋体" w:cs="Arial"/>
                <w:color w:val="auto"/>
                <w:kern w:val="0"/>
                <w:szCs w:val="21"/>
              </w:rPr>
            </w:pPr>
            <w:r>
              <w:rPr>
                <w:rFonts w:hint="eastAsia" w:ascii="宋体" w:hAnsi="宋体" w:cs="Arial"/>
                <w:color w:val="auto"/>
                <w:kern w:val="0"/>
                <w:szCs w:val="21"/>
              </w:rPr>
              <w:t>16</w:t>
            </w:r>
          </w:p>
        </w:tc>
        <w:tc>
          <w:tcPr>
            <w:tcW w:w="2399" w:type="dxa"/>
            <w:vAlign w:val="center"/>
          </w:tcPr>
          <w:p w14:paraId="623901E9">
            <w:pPr>
              <w:autoSpaceDE w:val="0"/>
              <w:autoSpaceDN w:val="0"/>
              <w:adjustRightInd w:val="0"/>
              <w:spacing w:before="94" w:beforeLines="30"/>
              <w:rPr>
                <w:rFonts w:ascii="宋体" w:hAnsi="宋体" w:cs="Arial"/>
                <w:color w:val="auto"/>
                <w:kern w:val="0"/>
                <w:szCs w:val="21"/>
              </w:rPr>
            </w:pPr>
            <w:r>
              <w:rPr>
                <w:rFonts w:hint="eastAsia" w:ascii="宋体" w:hAnsi="宋体" w:cs="Arial"/>
                <w:color w:val="auto"/>
                <w:kern w:val="0"/>
                <w:szCs w:val="21"/>
              </w:rPr>
              <w:t>技术标准和要求</w:t>
            </w:r>
          </w:p>
        </w:tc>
        <w:tc>
          <w:tcPr>
            <w:tcW w:w="1314" w:type="dxa"/>
            <w:tcMar>
              <w:left w:w="170" w:type="dxa"/>
            </w:tcMar>
            <w:vAlign w:val="center"/>
          </w:tcPr>
          <w:p w14:paraId="187BED23">
            <w:pPr>
              <w:autoSpaceDE w:val="0"/>
              <w:autoSpaceDN w:val="0"/>
              <w:adjustRightInd w:val="0"/>
              <w:spacing w:before="94" w:beforeLines="30"/>
              <w:rPr>
                <w:rFonts w:ascii="宋体" w:hAnsi="宋体" w:cs="Arial"/>
                <w:bCs/>
                <w:color w:val="auto"/>
                <w:kern w:val="0"/>
                <w:szCs w:val="21"/>
              </w:rPr>
            </w:pPr>
          </w:p>
        </w:tc>
        <w:tc>
          <w:tcPr>
            <w:tcW w:w="3789" w:type="dxa"/>
            <w:vAlign w:val="center"/>
          </w:tcPr>
          <w:p w14:paraId="67804035">
            <w:pPr>
              <w:autoSpaceDE w:val="0"/>
              <w:autoSpaceDN w:val="0"/>
              <w:adjustRightInd w:val="0"/>
              <w:spacing w:before="94" w:beforeLines="30"/>
              <w:rPr>
                <w:rFonts w:ascii="宋体" w:hAnsi="宋体" w:cs="Arial"/>
                <w:color w:val="auto"/>
                <w:kern w:val="0"/>
                <w:szCs w:val="21"/>
              </w:rPr>
            </w:pPr>
            <w:r>
              <w:rPr>
                <w:rFonts w:hint="eastAsia" w:ascii="宋体" w:hAnsi="宋体"/>
                <w:color w:val="auto"/>
                <w:szCs w:val="21"/>
              </w:rPr>
              <w:t>符合第</w:t>
            </w:r>
            <w:r>
              <w:rPr>
                <w:rFonts w:hint="eastAsia" w:ascii="宋体" w:hAnsi="宋体"/>
                <w:color w:val="auto"/>
                <w:szCs w:val="21"/>
                <w:lang w:val="en-US" w:eastAsia="zh-CN"/>
              </w:rPr>
              <w:t>七</w:t>
            </w:r>
            <w:r>
              <w:rPr>
                <w:rFonts w:hint="eastAsia" w:ascii="宋体" w:hAnsi="宋体"/>
                <w:color w:val="auto"/>
                <w:szCs w:val="21"/>
              </w:rPr>
              <w:t>章“技术标准和要求”规定</w:t>
            </w:r>
          </w:p>
        </w:tc>
        <w:tc>
          <w:tcPr>
            <w:tcW w:w="720" w:type="dxa"/>
            <w:vAlign w:val="center"/>
          </w:tcPr>
          <w:p w14:paraId="21C85146">
            <w:pPr>
              <w:jc w:val="center"/>
              <w:rPr>
                <w:rFonts w:ascii="宋体" w:hAnsi="宋体"/>
                <w:color w:val="auto"/>
                <w:szCs w:val="21"/>
              </w:rPr>
            </w:pPr>
          </w:p>
        </w:tc>
      </w:tr>
      <w:tr w14:paraId="6F16C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8949" w:type="dxa"/>
            <w:gridSpan w:val="6"/>
            <w:vAlign w:val="center"/>
          </w:tcPr>
          <w:p w14:paraId="31D28975">
            <w:pPr>
              <w:rPr>
                <w:rFonts w:ascii="宋体" w:hAnsi="宋体"/>
                <w:color w:val="auto"/>
                <w:szCs w:val="21"/>
              </w:rPr>
            </w:pPr>
            <w:r>
              <w:rPr>
                <w:rFonts w:hint="eastAsia" w:ascii="宋体" w:hAnsi="宋体"/>
                <w:color w:val="auto"/>
                <w:szCs w:val="21"/>
              </w:rPr>
              <w:t>备注：投标人在响应招标文件中规定的实质性要求和条件的基础上，可做出其他有利于招标人的承诺。此类承诺可在本表中予以补充填写。</w:t>
            </w:r>
          </w:p>
        </w:tc>
      </w:tr>
    </w:tbl>
    <w:p w14:paraId="4A851FEC">
      <w:pPr>
        <w:spacing w:line="440" w:lineRule="exact"/>
        <w:ind w:firstLine="3675" w:firstLineChars="1750"/>
        <w:rPr>
          <w:rFonts w:hint="eastAsia"/>
          <w:color w:val="auto"/>
          <w:szCs w:val="21"/>
        </w:rPr>
      </w:pPr>
    </w:p>
    <w:p w14:paraId="5F913BEC">
      <w:pPr>
        <w:spacing w:line="440" w:lineRule="exact"/>
        <w:ind w:firstLine="3675" w:firstLineChars="1750"/>
        <w:rPr>
          <w:color w:val="auto"/>
          <w:szCs w:val="21"/>
        </w:rPr>
      </w:pPr>
      <w:r>
        <w:rPr>
          <w:color w:val="auto"/>
          <w:szCs w:val="21"/>
        </w:rPr>
        <w:t>投 标 人：</w:t>
      </w:r>
      <w:r>
        <w:rPr>
          <w:color w:val="auto"/>
          <w:szCs w:val="21"/>
          <w:u w:val="single"/>
        </w:rPr>
        <w:t xml:space="preserve">                      </w:t>
      </w:r>
      <w:r>
        <w:rPr>
          <w:color w:val="auto"/>
          <w:szCs w:val="21"/>
        </w:rPr>
        <w:t>（盖单位章）</w:t>
      </w:r>
    </w:p>
    <w:p w14:paraId="28CD871B">
      <w:pPr>
        <w:spacing w:line="440" w:lineRule="exact"/>
        <w:ind w:firstLine="2415" w:firstLineChars="1150"/>
        <w:rPr>
          <w:color w:val="auto"/>
          <w:szCs w:val="21"/>
        </w:rPr>
      </w:pPr>
      <w:r>
        <w:rPr>
          <w:color w:val="auto"/>
          <w:szCs w:val="21"/>
        </w:rPr>
        <w:t>法定代表人</w:t>
      </w:r>
      <w:r>
        <w:rPr>
          <w:rFonts w:hint="eastAsia"/>
          <w:color w:val="auto"/>
          <w:szCs w:val="21"/>
        </w:rPr>
        <w:t>或授权委托人</w:t>
      </w:r>
      <w:r>
        <w:rPr>
          <w:color w:val="auto"/>
          <w:szCs w:val="21"/>
        </w:rPr>
        <w:t>：</w:t>
      </w:r>
      <w:r>
        <w:rPr>
          <w:color w:val="auto"/>
          <w:szCs w:val="21"/>
          <w:u w:val="single"/>
        </w:rPr>
        <w:t xml:space="preserve">      </w:t>
      </w:r>
      <w:r>
        <w:rPr>
          <w:rFonts w:hint="eastAsia"/>
          <w:color w:val="auto"/>
          <w:szCs w:val="21"/>
          <w:u w:val="single"/>
        </w:rPr>
        <w:t xml:space="preserve">                 </w:t>
      </w:r>
      <w:r>
        <w:rPr>
          <w:color w:val="auto"/>
          <w:szCs w:val="21"/>
          <w:u w:val="single"/>
        </w:rPr>
        <w:t xml:space="preserve"> </w:t>
      </w:r>
      <w:r>
        <w:rPr>
          <w:color w:val="auto"/>
          <w:szCs w:val="21"/>
        </w:rPr>
        <w:t>（签章）</w:t>
      </w:r>
    </w:p>
    <w:p w14:paraId="01DBDCE0">
      <w:pPr>
        <w:spacing w:line="440" w:lineRule="exact"/>
        <w:ind w:firstLine="5040" w:firstLineChars="2400"/>
        <w:rPr>
          <w:rFonts w:hint="eastAsia"/>
          <w:color w:val="auto"/>
          <w:szCs w:val="21"/>
        </w:rPr>
      </w:pPr>
      <w:r>
        <w:rPr>
          <w:color w:val="auto"/>
          <w:szCs w:val="21"/>
          <w:u w:val="single"/>
        </w:rPr>
        <w:t xml:space="preserve"> </w:t>
      </w:r>
      <w:r>
        <w:rPr>
          <w:rFonts w:hint="eastAsia"/>
          <w:color w:val="auto"/>
          <w:szCs w:val="21"/>
          <w:u w:val="single"/>
        </w:rPr>
        <w:t xml:space="preserve">        </w:t>
      </w:r>
      <w:r>
        <w:rPr>
          <w:color w:val="auto"/>
          <w:szCs w:val="21"/>
        </w:rPr>
        <w:t>年</w:t>
      </w:r>
      <w:r>
        <w:rPr>
          <w:rFonts w:hint="eastAsia"/>
          <w:color w:val="auto"/>
          <w:szCs w:val="21"/>
          <w:u w:val="single"/>
        </w:rPr>
        <w:t xml:space="preserve">        </w:t>
      </w:r>
      <w:r>
        <w:rPr>
          <w:color w:val="auto"/>
          <w:szCs w:val="21"/>
        </w:rPr>
        <w:t>月</w:t>
      </w:r>
      <w:r>
        <w:rPr>
          <w:rFonts w:hint="eastAsia"/>
          <w:color w:val="auto"/>
          <w:szCs w:val="21"/>
          <w:u w:val="single"/>
        </w:rPr>
        <w:t xml:space="preserve">        </w:t>
      </w:r>
      <w:r>
        <w:rPr>
          <w:color w:val="auto"/>
          <w:szCs w:val="21"/>
        </w:rPr>
        <w:t>日</w:t>
      </w:r>
    </w:p>
    <w:p w14:paraId="0456F962">
      <w:pPr>
        <w:rPr>
          <w:color w:val="auto"/>
        </w:rPr>
        <w:sectPr>
          <w:footerReference r:id="rId27" w:type="default"/>
          <w:pgSz w:w="11906" w:h="16838"/>
          <w:pgMar w:top="1440" w:right="1800" w:bottom="1440" w:left="1800" w:header="851" w:footer="992" w:gutter="0"/>
          <w:pgNumType w:fmt="decimal"/>
          <w:cols w:space="425" w:num="1"/>
          <w:docGrid w:type="lines" w:linePitch="312" w:charSpace="0"/>
        </w:sectPr>
      </w:pPr>
    </w:p>
    <w:p w14:paraId="269B81A6">
      <w:pPr>
        <w:pStyle w:val="27"/>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sz w:val="28"/>
          <w:szCs w:val="28"/>
        </w:rPr>
      </w:pPr>
      <w:bookmarkStart w:id="1990" w:name="_Toc122603072"/>
      <w:bookmarkStart w:id="1991" w:name="_Toc23298"/>
      <w:r>
        <w:rPr>
          <w:rFonts w:hint="eastAsia" w:cs="宋体"/>
          <w:color w:val="auto"/>
          <w:sz w:val="28"/>
          <w:szCs w:val="28"/>
          <w:lang w:eastAsia="zh-CN"/>
        </w:rPr>
        <w:t>（</w:t>
      </w:r>
      <w:r>
        <w:rPr>
          <w:rFonts w:hint="default" w:cs="宋体"/>
          <w:color w:val="auto"/>
          <w:sz w:val="28"/>
          <w:szCs w:val="28"/>
        </w:rPr>
        <w:t>三</w:t>
      </w:r>
      <w:r>
        <w:rPr>
          <w:rFonts w:hint="eastAsia" w:cs="宋体"/>
          <w:color w:val="auto"/>
          <w:sz w:val="28"/>
          <w:szCs w:val="28"/>
          <w:lang w:eastAsia="zh-CN"/>
        </w:rPr>
        <w:t>）</w:t>
      </w:r>
      <w:r>
        <w:rPr>
          <w:rFonts w:hint="eastAsia" w:cs="宋体"/>
          <w:color w:val="auto"/>
          <w:sz w:val="28"/>
          <w:szCs w:val="28"/>
        </w:rPr>
        <w:t>告知承诺函</w:t>
      </w:r>
      <w:bookmarkEnd w:id="1990"/>
      <w:bookmarkEnd w:id="1991"/>
    </w:p>
    <w:p w14:paraId="7615B7FC">
      <w:pPr>
        <w:spacing w:line="440" w:lineRule="exact"/>
        <w:ind w:firstLine="420" w:firstLineChars="200"/>
        <w:rPr>
          <w:color w:val="auto"/>
        </w:rPr>
      </w:pPr>
      <w:r>
        <w:rPr>
          <w:rFonts w:hint="eastAsia"/>
          <w:color w:val="auto"/>
        </w:rPr>
        <w:t>我单位参与</w:t>
      </w:r>
      <w:r>
        <w:rPr>
          <w:rFonts w:hint="eastAsia"/>
          <w:color w:val="auto"/>
          <w:u w:val="single"/>
        </w:rPr>
        <w:t xml:space="preserve">    （标段名称 ） </w:t>
      </w:r>
      <w:r>
        <w:rPr>
          <w:color w:val="auto"/>
          <w:u w:val="single"/>
        </w:rPr>
        <w:t xml:space="preserve">  </w:t>
      </w:r>
      <w:r>
        <w:rPr>
          <w:rFonts w:hint="eastAsia"/>
          <w:color w:val="auto"/>
          <w:u w:val="single"/>
        </w:rPr>
        <w:t xml:space="preserve"> </w:t>
      </w:r>
      <w:r>
        <w:rPr>
          <w:rFonts w:hint="eastAsia"/>
          <w:color w:val="auto"/>
        </w:rPr>
        <w:t>的投标。根据《中华人民共和国招标投标法》等法律法规的规定，我已知悉本单位相关权利义务，作为法定代表人（或授权委托人），本人清楚知晓我单位在本项目投标活动的情况。本人已详细阅读告知承诺函的内容，并在此郑重承诺：</w:t>
      </w:r>
    </w:p>
    <w:p w14:paraId="6BCBECEE">
      <w:pPr>
        <w:spacing w:line="440" w:lineRule="exact"/>
        <w:ind w:firstLine="420" w:firstLineChars="200"/>
        <w:rPr>
          <w:color w:val="auto"/>
        </w:rPr>
      </w:pPr>
      <w:r>
        <w:rPr>
          <w:rFonts w:hint="eastAsia"/>
          <w:color w:val="auto"/>
        </w:rPr>
        <w:t>一</w:t>
      </w:r>
      <w:r>
        <w:rPr>
          <w:rFonts w:hint="eastAsia"/>
          <w:color w:val="auto"/>
          <w:lang w:eastAsia="zh-CN"/>
        </w:rPr>
        <w:t>、</w:t>
      </w:r>
      <w:r>
        <w:rPr>
          <w:rFonts w:hint="eastAsia"/>
          <w:color w:val="auto"/>
        </w:rPr>
        <w:t>我单位和我本人遵循公开、公平、公正、诚实守信的原则，依法依规参与本项目投标。</w:t>
      </w:r>
    </w:p>
    <w:p w14:paraId="3089DB06">
      <w:pPr>
        <w:spacing w:line="440" w:lineRule="exact"/>
        <w:ind w:firstLine="420" w:firstLineChars="200"/>
        <w:rPr>
          <w:color w:val="auto"/>
        </w:rPr>
      </w:pPr>
      <w:r>
        <w:rPr>
          <w:rFonts w:hint="eastAsia"/>
          <w:color w:val="auto"/>
        </w:rPr>
        <w:t>二</w:t>
      </w:r>
      <w:r>
        <w:rPr>
          <w:rFonts w:hint="eastAsia"/>
          <w:color w:val="auto"/>
          <w:lang w:eastAsia="zh-CN"/>
        </w:rPr>
        <w:t>、</w:t>
      </w:r>
      <w:r>
        <w:rPr>
          <w:rFonts w:hint="eastAsia"/>
          <w:color w:val="auto"/>
        </w:rPr>
        <w:t>我单位具有参与本次投标的资质和能力，公司运营状况良好，不存在挂靠投标、不受让、租借、出租、出借资格或资质证书，无处罚期内的不良行为。</w:t>
      </w:r>
    </w:p>
    <w:p w14:paraId="069EA3E2">
      <w:pPr>
        <w:spacing w:line="440" w:lineRule="exact"/>
        <w:ind w:firstLine="420" w:firstLineChars="200"/>
        <w:rPr>
          <w:color w:val="auto"/>
        </w:rPr>
      </w:pPr>
      <w:r>
        <w:rPr>
          <w:rFonts w:hint="eastAsia"/>
          <w:color w:val="auto"/>
        </w:rPr>
        <w:t>三</w:t>
      </w:r>
      <w:r>
        <w:rPr>
          <w:rFonts w:hint="eastAsia"/>
          <w:color w:val="auto"/>
          <w:lang w:eastAsia="zh-CN"/>
        </w:rPr>
        <w:t>、</w:t>
      </w:r>
      <w:r>
        <w:rPr>
          <w:rFonts w:hint="eastAsia"/>
          <w:color w:val="auto"/>
        </w:rPr>
        <w:t>我单位在本项目投标过程中从招标公告/投标邀请书列明的渠道获取招标文件，没有通过其他不正当渠道获取招标文件。</w:t>
      </w:r>
    </w:p>
    <w:p w14:paraId="61572BB2">
      <w:pPr>
        <w:spacing w:line="440" w:lineRule="exact"/>
        <w:ind w:firstLine="420" w:firstLineChars="200"/>
        <w:rPr>
          <w:color w:val="auto"/>
        </w:rPr>
      </w:pPr>
      <w:r>
        <w:rPr>
          <w:rFonts w:hint="eastAsia"/>
          <w:color w:val="auto"/>
        </w:rPr>
        <w:t>四</w:t>
      </w:r>
      <w:r>
        <w:rPr>
          <w:rFonts w:hint="eastAsia"/>
          <w:color w:val="auto"/>
          <w:lang w:eastAsia="zh-CN"/>
        </w:rPr>
        <w:t>、</w:t>
      </w:r>
      <w:r>
        <w:rPr>
          <w:rFonts w:hint="eastAsia"/>
          <w:color w:val="auto"/>
        </w:rPr>
        <w:t>我单位承诺投标文件由本单位员工独立编制，严格遵守保密义务。所提供的一切投标相关材料都是真实、有效、合法的。</w:t>
      </w:r>
    </w:p>
    <w:p w14:paraId="0345730D">
      <w:pPr>
        <w:spacing w:line="440" w:lineRule="exact"/>
        <w:ind w:firstLine="420" w:firstLineChars="200"/>
        <w:rPr>
          <w:color w:val="auto"/>
        </w:rPr>
      </w:pPr>
      <w:r>
        <w:rPr>
          <w:rFonts w:hint="eastAsia"/>
          <w:color w:val="auto"/>
        </w:rPr>
        <w:t>五</w:t>
      </w:r>
      <w:r>
        <w:rPr>
          <w:rFonts w:hint="eastAsia"/>
          <w:color w:val="auto"/>
          <w:lang w:eastAsia="zh-CN"/>
        </w:rPr>
        <w:t>、</w:t>
      </w:r>
      <w:r>
        <w:rPr>
          <w:rFonts w:hint="eastAsia"/>
          <w:color w:val="auto"/>
        </w:rPr>
        <w:t>我单位不与其他投标人相互串通投标报价，不恶意压低或抬高投标报价，不排挤其他投标人的公平竞争，不损害招标人或其他投标人的合法权益。</w:t>
      </w:r>
    </w:p>
    <w:p w14:paraId="598B7F5E">
      <w:pPr>
        <w:spacing w:line="440" w:lineRule="exact"/>
        <w:ind w:firstLine="420" w:firstLineChars="200"/>
        <w:rPr>
          <w:rFonts w:hint="eastAsia"/>
          <w:color w:val="auto"/>
        </w:rPr>
      </w:pPr>
      <w:r>
        <w:rPr>
          <w:rFonts w:hint="eastAsia"/>
          <w:color w:val="auto"/>
        </w:rPr>
        <w:t>六</w:t>
      </w:r>
      <w:r>
        <w:rPr>
          <w:rFonts w:hint="eastAsia"/>
          <w:color w:val="auto"/>
          <w:lang w:eastAsia="zh-CN"/>
        </w:rPr>
        <w:t>、</w:t>
      </w:r>
      <w:r>
        <w:rPr>
          <w:rFonts w:hint="eastAsia"/>
          <w:color w:val="auto"/>
        </w:rPr>
        <w:t>我单位不与招标人或招标代理机构串通投标，损害国家利益、社会公共利益或者他人的合法权益</w:t>
      </w:r>
      <w:r>
        <w:rPr>
          <w:rFonts w:hint="eastAsia"/>
          <w:color w:val="auto"/>
          <w:lang w:eastAsia="zh-CN"/>
        </w:rPr>
        <w:t>。</w:t>
      </w:r>
    </w:p>
    <w:p w14:paraId="38BB0085">
      <w:pPr>
        <w:spacing w:line="440" w:lineRule="exact"/>
        <w:ind w:firstLine="420" w:firstLineChars="200"/>
        <w:rPr>
          <w:color w:val="auto"/>
        </w:rPr>
      </w:pPr>
      <w:r>
        <w:rPr>
          <w:rFonts w:hint="eastAsia"/>
          <w:color w:val="auto"/>
        </w:rPr>
        <w:t>七</w:t>
      </w:r>
      <w:r>
        <w:rPr>
          <w:rFonts w:hint="eastAsia"/>
          <w:color w:val="auto"/>
          <w:lang w:eastAsia="zh-CN"/>
        </w:rPr>
        <w:t>、</w:t>
      </w:r>
      <w:r>
        <w:rPr>
          <w:rFonts w:hint="eastAsia"/>
          <w:color w:val="auto"/>
        </w:rPr>
        <w:t>我单位不向招标人或者评标委员会成员行贿以牟取中标，不在开标后进行虚假恶意投诉。</w:t>
      </w:r>
    </w:p>
    <w:p w14:paraId="6E38B084">
      <w:pPr>
        <w:spacing w:line="440" w:lineRule="exact"/>
        <w:ind w:firstLine="420" w:firstLineChars="200"/>
        <w:rPr>
          <w:color w:val="auto"/>
        </w:rPr>
      </w:pPr>
      <w:r>
        <w:rPr>
          <w:rFonts w:hint="eastAsia"/>
          <w:color w:val="auto"/>
        </w:rPr>
        <w:t>八</w:t>
      </w:r>
      <w:r>
        <w:rPr>
          <w:rFonts w:hint="eastAsia"/>
          <w:color w:val="auto"/>
          <w:lang w:eastAsia="zh-CN"/>
        </w:rPr>
        <w:t>、</w:t>
      </w:r>
      <w:r>
        <w:rPr>
          <w:rFonts w:hint="eastAsia"/>
          <w:color w:val="auto"/>
        </w:rPr>
        <w:t>我单位和我个人清楚并知晓《中华人民共和国刑法》第二百二十三条“投标人相互串通投标报价，损害招标人或者其他投标人利益，情节严重的，处三年以下有期徒刑或者拘役，并处或者单处罚金。投标人与招标人串通投标，损害国家、集体、公民的合法利益的，依照前款的规定处罚”的规定。</w:t>
      </w:r>
    </w:p>
    <w:p w14:paraId="02BA9400">
      <w:pPr>
        <w:spacing w:line="440" w:lineRule="exact"/>
        <w:ind w:firstLine="420" w:firstLineChars="200"/>
        <w:rPr>
          <w:color w:val="auto"/>
        </w:rPr>
      </w:pPr>
      <w:r>
        <w:rPr>
          <w:rFonts w:hint="eastAsia"/>
          <w:color w:val="auto"/>
        </w:rPr>
        <w:t>九</w:t>
      </w:r>
      <w:r>
        <w:rPr>
          <w:rFonts w:hint="eastAsia"/>
          <w:color w:val="auto"/>
          <w:lang w:eastAsia="zh-CN"/>
        </w:rPr>
        <w:t>、</w:t>
      </w:r>
      <w:r>
        <w:rPr>
          <w:rFonts w:hint="eastAsia"/>
          <w:color w:val="auto"/>
        </w:rPr>
        <w:t>我单位如在本项目招标投标活动评标工作中存在串通投标、弄虚作假等行为的，本单位及本人自愿承担法律责任，接受相应刑事、纪律和行政处罚以及失信惩戒。</w:t>
      </w:r>
    </w:p>
    <w:p w14:paraId="75F89438">
      <w:pPr>
        <w:keepNext w:val="0"/>
        <w:keepLines w:val="0"/>
        <w:widowControl w:val="0"/>
        <w:suppressLineNumbers w:val="0"/>
        <w:spacing w:before="0" w:beforeAutospacing="0" w:after="0" w:afterAutospacing="0" w:line="440" w:lineRule="exact"/>
        <w:ind w:left="0" w:right="0" w:firstLine="420" w:firstLineChars="200"/>
        <w:jc w:val="both"/>
        <w:rPr>
          <w:rFonts w:hint="eastAsia"/>
          <w:color w:val="auto"/>
        </w:rPr>
      </w:pPr>
      <w:r>
        <w:rPr>
          <w:rFonts w:hint="eastAsia"/>
          <w:color w:val="auto"/>
        </w:rPr>
        <w:t>十</w:t>
      </w:r>
      <w:r>
        <w:rPr>
          <w:rFonts w:hint="eastAsia"/>
          <w:color w:val="auto"/>
          <w:lang w:eastAsia="zh-CN"/>
        </w:rPr>
        <w:t>、</w:t>
      </w:r>
      <w:r>
        <w:rPr>
          <w:rFonts w:hint="eastAsia"/>
          <w:color w:val="auto"/>
        </w:rPr>
        <w:t>本承诺函由我单位盖章及法定代表人（授权委托人）签字（或盖章）确认。</w:t>
      </w:r>
    </w:p>
    <w:p w14:paraId="163797A1">
      <w:pPr>
        <w:spacing w:line="440" w:lineRule="exact"/>
        <w:ind w:firstLine="420" w:firstLineChars="200"/>
        <w:rPr>
          <w:rFonts w:hint="eastAsia"/>
          <w:color w:val="auto"/>
        </w:rPr>
      </w:pPr>
    </w:p>
    <w:p w14:paraId="6A0E19B4">
      <w:pPr>
        <w:spacing w:line="440" w:lineRule="exact"/>
        <w:ind w:firstLine="5145" w:firstLineChars="2450"/>
        <w:rPr>
          <w:color w:val="auto"/>
        </w:rPr>
      </w:pPr>
      <w:r>
        <w:rPr>
          <w:rFonts w:hint="eastAsia"/>
          <w:color w:val="auto"/>
        </w:rPr>
        <w:t>承诺单位：（盖单位章）</w:t>
      </w:r>
    </w:p>
    <w:p w14:paraId="4F3EBEC9">
      <w:pPr>
        <w:spacing w:line="440" w:lineRule="exact"/>
        <w:ind w:firstLine="4095" w:firstLineChars="1950"/>
        <w:rPr>
          <w:rFonts w:hint="eastAsia"/>
          <w:color w:val="auto"/>
        </w:rPr>
      </w:pPr>
      <w:r>
        <w:rPr>
          <w:rFonts w:hint="eastAsia"/>
          <w:color w:val="auto"/>
        </w:rPr>
        <w:t>法定代表人或授权委托人：（签章）</w:t>
      </w:r>
    </w:p>
    <w:p w14:paraId="65BC93C1">
      <w:pPr>
        <w:spacing w:line="440" w:lineRule="exact"/>
        <w:ind w:right="420" w:firstLine="420" w:firstLineChars="200"/>
        <w:jc w:val="center"/>
        <w:rPr>
          <w:rFonts w:hint="eastAsia"/>
          <w:color w:val="auto"/>
        </w:rPr>
        <w:sectPr>
          <w:footerReference r:id="rId28" w:type="default"/>
          <w:pgSz w:w="11906" w:h="16838"/>
          <w:pgMar w:top="1440" w:right="1800" w:bottom="1440" w:left="1800" w:header="851" w:footer="992" w:gutter="0"/>
          <w:pgNumType w:fmt="decimal"/>
          <w:cols w:space="425" w:num="1"/>
          <w:docGrid w:type="lines" w:linePitch="312" w:charSpace="0"/>
        </w:sectPr>
      </w:pPr>
      <w:r>
        <w:rPr>
          <w:color w:val="auto"/>
        </w:rPr>
        <w:t xml:space="preserve">                               </w:t>
      </w:r>
      <w:r>
        <w:rPr>
          <w:rFonts w:hint="eastAsia"/>
          <w:color w:val="auto"/>
        </w:rPr>
        <w:t>承诺时间：</w:t>
      </w:r>
      <w:r>
        <w:rPr>
          <w:rFonts w:hint="eastAsia"/>
          <w:color w:val="auto"/>
        </w:rPr>
        <w:tab/>
      </w:r>
      <w:r>
        <w:rPr>
          <w:color w:val="auto"/>
        </w:rPr>
        <w:t xml:space="preserve">  </w:t>
      </w:r>
      <w:r>
        <w:rPr>
          <w:rFonts w:hint="eastAsia"/>
          <w:color w:val="auto"/>
        </w:rPr>
        <w:t xml:space="preserve">年 </w:t>
      </w:r>
      <w:r>
        <w:rPr>
          <w:color w:val="auto"/>
        </w:rPr>
        <w:t xml:space="preserve"> </w:t>
      </w:r>
      <w:r>
        <w:rPr>
          <w:rFonts w:hint="eastAsia"/>
          <w:color w:val="auto"/>
        </w:rPr>
        <w:t>月  日</w:t>
      </w:r>
    </w:p>
    <w:p w14:paraId="2589DC5C">
      <w:pPr>
        <w:pStyle w:val="27"/>
        <w:spacing w:before="312" w:beforeLines="100"/>
        <w:jc w:val="center"/>
        <w:rPr>
          <w:color w:val="auto"/>
          <w:sz w:val="28"/>
          <w:szCs w:val="28"/>
        </w:rPr>
      </w:pPr>
      <w:bookmarkStart w:id="1992" w:name="_Toc122603073"/>
      <w:bookmarkStart w:id="1993" w:name="_Toc18119"/>
      <w:r>
        <w:rPr>
          <w:rFonts w:hint="eastAsia"/>
          <w:color w:val="auto"/>
          <w:sz w:val="28"/>
          <w:szCs w:val="28"/>
          <w:lang w:eastAsia="zh-CN"/>
        </w:rPr>
        <w:t>（</w:t>
      </w:r>
      <w:r>
        <w:rPr>
          <w:rFonts w:hint="eastAsia"/>
          <w:color w:val="auto"/>
          <w:sz w:val="28"/>
          <w:szCs w:val="28"/>
        </w:rPr>
        <w:t>四</w:t>
      </w:r>
      <w:r>
        <w:rPr>
          <w:rFonts w:hint="eastAsia"/>
          <w:color w:val="auto"/>
          <w:sz w:val="28"/>
          <w:szCs w:val="28"/>
          <w:lang w:eastAsia="zh-CN"/>
        </w:rPr>
        <w:t>）</w:t>
      </w:r>
      <w:r>
        <w:rPr>
          <w:rFonts w:hint="eastAsia"/>
          <w:color w:val="auto"/>
          <w:sz w:val="28"/>
          <w:szCs w:val="28"/>
        </w:rPr>
        <w:t>声明函</w:t>
      </w:r>
      <w:bookmarkEnd w:id="1992"/>
      <w:bookmarkEnd w:id="1993"/>
    </w:p>
    <w:p w14:paraId="1801F78B">
      <w:pPr>
        <w:spacing w:line="440" w:lineRule="exact"/>
        <w:ind w:firstLine="420" w:firstLineChars="200"/>
        <w:rPr>
          <w:color w:val="auto"/>
        </w:rPr>
      </w:pPr>
    </w:p>
    <w:p w14:paraId="72ED31B5">
      <w:pPr>
        <w:spacing w:line="440" w:lineRule="exact"/>
        <w:ind w:right="420" w:firstLine="420" w:firstLineChars="200"/>
        <w:rPr>
          <w:color w:val="auto"/>
        </w:rPr>
      </w:pPr>
      <w:r>
        <w:rPr>
          <w:rFonts w:hint="eastAsia"/>
          <w:color w:val="auto"/>
        </w:rPr>
        <w:t>在本项目编制投标文件过程中，我单位声明如下：</w:t>
      </w:r>
    </w:p>
    <w:p w14:paraId="19C7F136">
      <w:pPr>
        <w:spacing w:line="440" w:lineRule="exact"/>
        <w:ind w:right="420" w:firstLine="420" w:firstLineChars="200"/>
        <w:rPr>
          <w:color w:val="auto"/>
        </w:rPr>
      </w:pPr>
      <w:r>
        <w:rPr>
          <w:rFonts w:hint="eastAsia"/>
          <w:color w:val="auto"/>
        </w:rPr>
        <w:t>一、未与本标段其他投标人委托同一单位或同一人编制投标文件；</w:t>
      </w:r>
    </w:p>
    <w:p w14:paraId="6C275D9F">
      <w:pPr>
        <w:spacing w:line="440" w:lineRule="exact"/>
        <w:ind w:right="420" w:firstLine="420" w:firstLineChars="200"/>
        <w:rPr>
          <w:color w:val="auto"/>
        </w:rPr>
      </w:pPr>
      <w:r>
        <w:rPr>
          <w:rFonts w:hint="eastAsia"/>
          <w:color w:val="auto"/>
        </w:rPr>
        <w:t>二、未与本标段其他投标人协商投标报价；</w:t>
      </w:r>
    </w:p>
    <w:p w14:paraId="6D163AF8">
      <w:pPr>
        <w:spacing w:line="440" w:lineRule="exact"/>
        <w:ind w:right="420" w:firstLine="420" w:firstLineChars="200"/>
        <w:rPr>
          <w:color w:val="auto"/>
        </w:rPr>
      </w:pPr>
      <w:r>
        <w:rPr>
          <w:rFonts w:hint="eastAsia"/>
          <w:color w:val="auto"/>
        </w:rPr>
        <w:t>三、未与本标段其他投标人使用同一电脑等电子设备编制投标文件；</w:t>
      </w:r>
    </w:p>
    <w:p w14:paraId="43B671E0">
      <w:pPr>
        <w:spacing w:line="440" w:lineRule="exact"/>
        <w:ind w:right="420" w:firstLine="420" w:firstLineChars="200"/>
        <w:rPr>
          <w:color w:val="auto"/>
        </w:rPr>
      </w:pPr>
      <w:r>
        <w:rPr>
          <w:rFonts w:hint="eastAsia"/>
          <w:color w:val="auto"/>
        </w:rPr>
        <w:t>四、未使用“网络虚拟设备”等无法识别电子设备归属的电脑编制投标文件；</w:t>
      </w:r>
    </w:p>
    <w:p w14:paraId="3E0A30ED">
      <w:pPr>
        <w:spacing w:line="440" w:lineRule="exact"/>
        <w:ind w:right="420" w:firstLine="420" w:firstLineChars="200"/>
        <w:rPr>
          <w:color w:val="auto"/>
        </w:rPr>
      </w:pPr>
      <w:r>
        <w:rPr>
          <w:rFonts w:hint="eastAsia"/>
          <w:color w:val="auto"/>
        </w:rPr>
        <w:t>五、本项目技术标（施工组织设计）是针对本项目现场实际、技术特点以及施工图纸而编制的相应的技术方案，在编制过程中未抄袭、摘抄网络或其他项目相关技术资料，对文件内容具有独立自主知识产权；</w:t>
      </w:r>
    </w:p>
    <w:p w14:paraId="0E5A9EC5">
      <w:pPr>
        <w:spacing w:line="440" w:lineRule="exact"/>
        <w:ind w:right="420" w:firstLine="420" w:firstLineChars="200"/>
        <w:rPr>
          <w:color w:val="auto"/>
        </w:rPr>
      </w:pPr>
      <w:r>
        <w:rPr>
          <w:rFonts w:hint="eastAsia"/>
          <w:color w:val="auto"/>
        </w:rPr>
        <w:t>六、本项目经济标（投标报价）是依据本项目给定的图纸、工程量清单、最高投标限价以及现场实际独立编制的，对投标报价编制的完整性、准确性负责；</w:t>
      </w:r>
    </w:p>
    <w:p w14:paraId="52E859B2">
      <w:pPr>
        <w:spacing w:line="440" w:lineRule="exact"/>
        <w:ind w:right="420" w:firstLine="420" w:firstLineChars="200"/>
        <w:rPr>
          <w:color w:val="auto"/>
        </w:rPr>
      </w:pPr>
      <w:r>
        <w:rPr>
          <w:rFonts w:hint="eastAsia"/>
          <w:color w:val="auto"/>
        </w:rPr>
        <w:t>七、本项目资信标提供的材料均为我单位真实、有效和完整的材料，不存在任何弄虚作假行为。投标文件所附的各类材料均为我单位提供相关材料和填写的内容在主体信息库依据规则生成，我单位已对材料进行确认，并认可</w:t>
      </w:r>
      <w:r>
        <w:rPr>
          <w:rFonts w:hint="eastAsia"/>
          <w:color w:val="auto"/>
          <w:lang w:val="en-US" w:eastAsia="zh-CN"/>
        </w:rPr>
        <w:t>提供</w:t>
      </w:r>
      <w:r>
        <w:rPr>
          <w:rFonts w:hint="eastAsia"/>
          <w:color w:val="auto"/>
        </w:rPr>
        <w:t>材料的有效性、真实性和完整性。</w:t>
      </w:r>
    </w:p>
    <w:p w14:paraId="3D0FDE6E">
      <w:pPr>
        <w:spacing w:line="440" w:lineRule="exact"/>
        <w:ind w:right="420" w:firstLine="420" w:firstLineChars="200"/>
        <w:rPr>
          <w:color w:val="auto"/>
        </w:rPr>
      </w:pPr>
      <w:r>
        <w:rPr>
          <w:rFonts w:hint="eastAsia"/>
          <w:color w:val="auto"/>
        </w:rPr>
        <w:t>我单位对以上声明内容完全负责，如违反以上任一款，评标委员会有权依据招标文件相应条款否决我单位投标文件，招标人有权依据相关法律不接受我单位投标并没收我单位投标保证金，由此造成的一切法律责任和经济损失我单位均予以承担。</w:t>
      </w:r>
    </w:p>
    <w:p w14:paraId="4E55C7F2">
      <w:pPr>
        <w:spacing w:line="440" w:lineRule="exact"/>
        <w:ind w:right="420" w:firstLine="420" w:firstLineChars="200"/>
        <w:rPr>
          <w:color w:val="auto"/>
        </w:rPr>
      </w:pPr>
      <w:r>
        <w:rPr>
          <w:rFonts w:hint="eastAsia"/>
          <w:color w:val="auto"/>
        </w:rPr>
        <w:t>特此声明！</w:t>
      </w:r>
    </w:p>
    <w:p w14:paraId="453B6C33">
      <w:pPr>
        <w:spacing w:line="440" w:lineRule="exact"/>
        <w:ind w:right="420" w:firstLine="420" w:firstLineChars="200"/>
        <w:jc w:val="center"/>
        <w:rPr>
          <w:color w:val="auto"/>
        </w:rPr>
      </w:pPr>
    </w:p>
    <w:p w14:paraId="70BA0F55">
      <w:pPr>
        <w:spacing w:line="440" w:lineRule="exact"/>
        <w:ind w:right="420" w:firstLine="420" w:firstLineChars="200"/>
        <w:jc w:val="center"/>
        <w:rPr>
          <w:rFonts w:ascii="宋体" w:hAnsi="宋体"/>
          <w:color w:val="auto"/>
          <w:szCs w:val="21"/>
        </w:rPr>
      </w:pPr>
    </w:p>
    <w:p w14:paraId="49E1B86E">
      <w:pPr>
        <w:spacing w:line="440" w:lineRule="exact"/>
        <w:ind w:right="420" w:firstLine="420" w:firstLineChars="200"/>
        <w:jc w:val="center"/>
        <w:rPr>
          <w:rFonts w:ascii="宋体" w:hAnsi="宋体"/>
          <w:color w:val="auto"/>
          <w:szCs w:val="21"/>
        </w:rPr>
      </w:pPr>
    </w:p>
    <w:p w14:paraId="2BDD17D4">
      <w:pPr>
        <w:spacing w:line="440" w:lineRule="exact"/>
        <w:ind w:firstLine="4095" w:firstLineChars="1950"/>
        <w:rPr>
          <w:color w:val="auto"/>
        </w:rPr>
      </w:pPr>
      <w:r>
        <w:rPr>
          <w:rFonts w:hint="eastAsia"/>
          <w:color w:val="auto"/>
        </w:rPr>
        <w:t>声明单位：（盖单位章）</w:t>
      </w:r>
    </w:p>
    <w:p w14:paraId="5A01791F">
      <w:pPr>
        <w:spacing w:line="440" w:lineRule="exact"/>
        <w:ind w:firstLine="4095" w:firstLineChars="1950"/>
        <w:rPr>
          <w:color w:val="auto"/>
        </w:rPr>
      </w:pPr>
      <w:r>
        <w:rPr>
          <w:rFonts w:hint="eastAsia"/>
          <w:color w:val="auto"/>
        </w:rPr>
        <w:t>法定代表人或授权委托人：（签章）</w:t>
      </w:r>
    </w:p>
    <w:p w14:paraId="3FA031CA">
      <w:pPr>
        <w:spacing w:line="440" w:lineRule="exact"/>
        <w:ind w:right="420" w:firstLine="420" w:firstLineChars="200"/>
        <w:jc w:val="center"/>
        <w:rPr>
          <w:color w:val="auto"/>
        </w:rPr>
      </w:pPr>
      <w:r>
        <w:rPr>
          <w:color w:val="auto"/>
        </w:rPr>
        <w:t xml:space="preserve">                                   </w:t>
      </w:r>
      <w:r>
        <w:rPr>
          <w:rFonts w:hint="eastAsia"/>
          <w:color w:val="auto"/>
        </w:rPr>
        <w:t>声明时间：</w:t>
      </w:r>
      <w:r>
        <w:rPr>
          <w:rFonts w:hint="eastAsia"/>
          <w:color w:val="auto"/>
        </w:rPr>
        <w:tab/>
      </w:r>
      <w:r>
        <w:rPr>
          <w:color w:val="auto"/>
        </w:rPr>
        <w:t xml:space="preserve">  </w:t>
      </w:r>
      <w:r>
        <w:rPr>
          <w:rFonts w:hint="eastAsia"/>
          <w:color w:val="auto"/>
        </w:rPr>
        <w:t xml:space="preserve">年 </w:t>
      </w:r>
      <w:r>
        <w:rPr>
          <w:rFonts w:hint="eastAsia"/>
          <w:color w:val="auto"/>
        </w:rPr>
        <w:tab/>
      </w:r>
      <w:r>
        <w:rPr>
          <w:color w:val="auto"/>
        </w:rPr>
        <w:t xml:space="preserve">    </w:t>
      </w:r>
      <w:r>
        <w:rPr>
          <w:rFonts w:hint="eastAsia"/>
          <w:color w:val="auto"/>
        </w:rPr>
        <w:t xml:space="preserve">月  </w:t>
      </w:r>
      <w:r>
        <w:rPr>
          <w:rFonts w:hint="eastAsia"/>
          <w:color w:val="auto"/>
        </w:rPr>
        <w:tab/>
      </w:r>
      <w:r>
        <w:rPr>
          <w:rFonts w:hint="eastAsia"/>
          <w:color w:val="auto"/>
        </w:rPr>
        <w:t>日</w:t>
      </w:r>
    </w:p>
    <w:p w14:paraId="34484220">
      <w:pPr>
        <w:rPr>
          <w:color w:val="auto"/>
        </w:rPr>
        <w:sectPr>
          <w:footerReference r:id="rId29" w:type="default"/>
          <w:pgSz w:w="11906" w:h="16838"/>
          <w:pgMar w:top="1440" w:right="1800" w:bottom="1440" w:left="1800" w:header="851" w:footer="992" w:gutter="0"/>
          <w:cols w:space="425" w:num="1"/>
          <w:docGrid w:type="lines" w:linePitch="312" w:charSpace="0"/>
        </w:sectPr>
      </w:pPr>
    </w:p>
    <w:p w14:paraId="000C092E">
      <w:pPr>
        <w:bidi w:val="0"/>
        <w:rPr>
          <w:rFonts w:hint="default"/>
          <w:color w:val="auto"/>
        </w:rPr>
      </w:pPr>
    </w:p>
    <w:p w14:paraId="7A2B2AFB">
      <w:pPr>
        <w:bidi w:val="0"/>
        <w:rPr>
          <w:rFonts w:hint="default"/>
          <w:color w:val="auto"/>
        </w:rPr>
      </w:pPr>
    </w:p>
    <w:p w14:paraId="11CD2035">
      <w:pPr>
        <w:bidi w:val="0"/>
        <w:rPr>
          <w:rFonts w:hint="default"/>
          <w:color w:val="auto"/>
        </w:rPr>
      </w:pPr>
    </w:p>
    <w:p w14:paraId="4610C96B">
      <w:pPr>
        <w:bidi w:val="0"/>
        <w:rPr>
          <w:rFonts w:hint="default"/>
          <w:color w:val="auto"/>
        </w:rPr>
      </w:pPr>
    </w:p>
    <w:p w14:paraId="14834D1C">
      <w:pPr>
        <w:bidi w:val="0"/>
        <w:rPr>
          <w:rFonts w:hint="default"/>
          <w:color w:val="auto"/>
        </w:rPr>
      </w:pPr>
    </w:p>
    <w:p w14:paraId="3F71B5CA">
      <w:pPr>
        <w:bidi w:val="0"/>
        <w:rPr>
          <w:rFonts w:hint="default"/>
          <w:color w:val="auto"/>
        </w:rPr>
      </w:pPr>
    </w:p>
    <w:p w14:paraId="4723516C">
      <w:pPr>
        <w:bidi w:val="0"/>
        <w:rPr>
          <w:rFonts w:hint="default"/>
          <w:color w:val="auto"/>
        </w:rPr>
      </w:pPr>
    </w:p>
    <w:p w14:paraId="7C0ABF70">
      <w:pPr>
        <w:bidi w:val="0"/>
        <w:rPr>
          <w:rFonts w:hint="default"/>
          <w:color w:val="auto"/>
        </w:rPr>
      </w:pPr>
    </w:p>
    <w:p w14:paraId="638B3DB2">
      <w:pPr>
        <w:bidi w:val="0"/>
        <w:rPr>
          <w:rFonts w:hint="default"/>
          <w:color w:val="auto"/>
        </w:rPr>
      </w:pPr>
    </w:p>
    <w:p w14:paraId="03736E4E">
      <w:pPr>
        <w:bidi w:val="0"/>
        <w:rPr>
          <w:rFonts w:hint="default"/>
          <w:color w:val="auto"/>
        </w:rPr>
      </w:pPr>
    </w:p>
    <w:p w14:paraId="7FBD8DB5">
      <w:pPr>
        <w:bidi w:val="0"/>
        <w:rPr>
          <w:rFonts w:hint="default"/>
          <w:color w:val="auto"/>
        </w:rPr>
      </w:pPr>
    </w:p>
    <w:p w14:paraId="45918984">
      <w:pPr>
        <w:bidi w:val="0"/>
        <w:rPr>
          <w:rFonts w:hint="default"/>
          <w:color w:val="auto"/>
        </w:rPr>
      </w:pPr>
    </w:p>
    <w:p w14:paraId="6C0A8C1C">
      <w:pPr>
        <w:bidi w:val="0"/>
        <w:rPr>
          <w:rFonts w:hint="default"/>
          <w:color w:val="auto"/>
        </w:rPr>
      </w:pPr>
    </w:p>
    <w:p w14:paraId="65705094">
      <w:pPr>
        <w:bidi w:val="0"/>
        <w:rPr>
          <w:rFonts w:hint="default"/>
          <w:color w:val="auto"/>
        </w:rPr>
      </w:pPr>
    </w:p>
    <w:p w14:paraId="6F116140">
      <w:pPr>
        <w:pStyle w:val="25"/>
        <w:widowControl/>
        <w:ind w:left="0" w:right="0"/>
        <w:jc w:val="center"/>
        <w:rPr>
          <w:b w:val="0"/>
          <w:bCs w:val="0"/>
          <w:color w:val="auto"/>
        </w:rPr>
        <w:sectPr>
          <w:footerReference r:id="rId30" w:type="default"/>
          <w:pgSz w:w="11906" w:h="16838"/>
          <w:pgMar w:top="1440" w:right="1800" w:bottom="1440" w:left="1800" w:header="851" w:footer="992" w:gutter="0"/>
          <w:pgNumType w:fmt="decimal"/>
          <w:cols w:space="425" w:num="1"/>
          <w:docGrid w:type="lines" w:linePitch="312" w:charSpace="0"/>
        </w:sectPr>
      </w:pPr>
      <w:bookmarkStart w:id="1994" w:name="_Toc10714"/>
      <w:r>
        <w:rPr>
          <w:rFonts w:hint="default" w:ascii="黑体" w:hAnsi="宋体" w:cs="黑体"/>
          <w:b w:val="0"/>
          <w:bCs w:val="0"/>
          <w:color w:val="auto"/>
          <w:kern w:val="2"/>
          <w:sz w:val="28"/>
          <w:szCs w:val="28"/>
        </w:rPr>
        <w:t>二</w:t>
      </w:r>
      <w:r>
        <w:rPr>
          <w:rFonts w:hint="eastAsia" w:ascii="黑体" w:hAnsi="宋体" w:eastAsia="黑体" w:cs="黑体"/>
          <w:b w:val="0"/>
          <w:bCs w:val="0"/>
          <w:color w:val="auto"/>
          <w:kern w:val="2"/>
          <w:sz w:val="28"/>
          <w:szCs w:val="28"/>
        </w:rPr>
        <w:t>、法定代表人身份证明或授权委托书</w:t>
      </w:r>
      <w:bookmarkEnd w:id="1994"/>
    </w:p>
    <w:p w14:paraId="75E13D5B">
      <w:pPr>
        <w:pStyle w:val="27"/>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sz w:val="28"/>
          <w:szCs w:val="28"/>
          <w:lang w:eastAsia="zh-CN"/>
        </w:rPr>
      </w:pPr>
      <w:bookmarkStart w:id="1995" w:name="_Toc122603074"/>
      <w:bookmarkStart w:id="1996" w:name="_Toc7528"/>
      <w:r>
        <w:rPr>
          <w:rFonts w:hint="eastAsia"/>
          <w:color w:val="auto"/>
          <w:sz w:val="28"/>
          <w:szCs w:val="28"/>
          <w:lang w:eastAsia="zh-CN"/>
        </w:rPr>
        <w:t>（</w:t>
      </w:r>
      <w:r>
        <w:rPr>
          <w:rFonts w:hint="default"/>
          <w:color w:val="auto"/>
          <w:sz w:val="28"/>
          <w:szCs w:val="28"/>
          <w:lang w:eastAsia="zh-CN"/>
        </w:rPr>
        <w:t>一</w:t>
      </w:r>
      <w:r>
        <w:rPr>
          <w:rFonts w:hint="eastAsia"/>
          <w:color w:val="auto"/>
          <w:sz w:val="28"/>
          <w:szCs w:val="28"/>
          <w:lang w:eastAsia="zh-CN"/>
        </w:rPr>
        <w:t>）法定代表人身份证明</w:t>
      </w:r>
      <w:bookmarkEnd w:id="1995"/>
      <w:bookmarkEnd w:id="1996"/>
    </w:p>
    <w:p w14:paraId="7C588839">
      <w:pPr>
        <w:spacing w:line="500" w:lineRule="exact"/>
        <w:rPr>
          <w:rFonts w:ascii="宋体" w:hAnsi="宋体"/>
          <w:color w:val="auto"/>
          <w:szCs w:val="21"/>
        </w:rPr>
      </w:pPr>
      <w:r>
        <w:rPr>
          <w:rFonts w:hint="eastAsia" w:ascii="宋体" w:hAnsi="宋体"/>
          <w:color w:val="auto"/>
          <w:szCs w:val="21"/>
        </w:rPr>
        <w:t>投 标 人：</w:t>
      </w:r>
      <w:r>
        <w:rPr>
          <w:rFonts w:hint="eastAsia" w:ascii="宋体" w:hAnsi="宋体"/>
          <w:color w:val="auto"/>
          <w:szCs w:val="21"/>
          <w:u w:val="single"/>
        </w:rPr>
        <w:t xml:space="preserve">                                                        </w:t>
      </w:r>
    </w:p>
    <w:p w14:paraId="11C7455D">
      <w:pPr>
        <w:spacing w:line="500" w:lineRule="exact"/>
        <w:rPr>
          <w:rFonts w:ascii="宋体" w:hAnsi="宋体"/>
          <w:color w:val="auto"/>
          <w:szCs w:val="21"/>
        </w:rPr>
      </w:pPr>
      <w:r>
        <w:rPr>
          <w:rFonts w:hint="eastAsia" w:ascii="宋体" w:hAnsi="宋体"/>
          <w:color w:val="auto"/>
          <w:szCs w:val="21"/>
        </w:rPr>
        <w:t>单位性质：</w:t>
      </w:r>
      <w:r>
        <w:rPr>
          <w:rFonts w:hint="eastAsia" w:ascii="宋体" w:hAnsi="宋体"/>
          <w:color w:val="auto"/>
          <w:szCs w:val="21"/>
          <w:u w:val="single"/>
        </w:rPr>
        <w:t xml:space="preserve">                                                        </w:t>
      </w:r>
    </w:p>
    <w:p w14:paraId="33B19580">
      <w:pPr>
        <w:spacing w:line="500" w:lineRule="exact"/>
        <w:rPr>
          <w:rFonts w:ascii="宋体" w:hAnsi="宋体"/>
          <w:color w:val="auto"/>
          <w:szCs w:val="21"/>
        </w:rPr>
      </w:pPr>
      <w:r>
        <w:rPr>
          <w:rFonts w:hint="eastAsia" w:ascii="宋体" w:hAnsi="宋体"/>
          <w:color w:val="auto"/>
          <w:szCs w:val="21"/>
        </w:rPr>
        <w:t>地    址：</w:t>
      </w:r>
      <w:r>
        <w:rPr>
          <w:rFonts w:hint="eastAsia" w:ascii="宋体" w:hAnsi="宋体"/>
          <w:color w:val="auto"/>
          <w:szCs w:val="21"/>
          <w:u w:val="single"/>
        </w:rPr>
        <w:t xml:space="preserve">                                                        </w:t>
      </w:r>
    </w:p>
    <w:p w14:paraId="10DC4A1A">
      <w:pPr>
        <w:spacing w:line="500" w:lineRule="exact"/>
        <w:rPr>
          <w:rFonts w:ascii="宋体" w:hAnsi="宋体"/>
          <w:color w:val="auto"/>
          <w:szCs w:val="21"/>
        </w:rPr>
      </w:pPr>
      <w:r>
        <w:rPr>
          <w:rFonts w:hint="eastAsia" w:ascii="宋体" w:hAnsi="宋体"/>
          <w:color w:val="auto"/>
          <w:szCs w:val="21"/>
        </w:rPr>
        <w:t>成立时间：</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401264CD">
      <w:pPr>
        <w:spacing w:line="500" w:lineRule="exact"/>
        <w:rPr>
          <w:rFonts w:ascii="宋体" w:hAnsi="宋体"/>
          <w:color w:val="auto"/>
          <w:szCs w:val="21"/>
        </w:rPr>
      </w:pPr>
      <w:r>
        <w:rPr>
          <w:rFonts w:hint="eastAsia" w:ascii="宋体" w:hAnsi="宋体"/>
          <w:color w:val="auto"/>
          <w:szCs w:val="21"/>
        </w:rPr>
        <w:t>经营期限：</w:t>
      </w:r>
      <w:r>
        <w:rPr>
          <w:rFonts w:hint="eastAsia" w:ascii="宋体" w:hAnsi="宋体"/>
          <w:color w:val="auto"/>
          <w:szCs w:val="21"/>
          <w:u w:val="single"/>
        </w:rPr>
        <w:t xml:space="preserve">                                                        </w:t>
      </w:r>
    </w:p>
    <w:p w14:paraId="54768738">
      <w:pPr>
        <w:spacing w:line="500" w:lineRule="exact"/>
        <w:rPr>
          <w:rFonts w:ascii="宋体" w:hAnsi="宋体"/>
          <w:color w:val="auto"/>
          <w:szCs w:val="21"/>
        </w:rPr>
      </w:pPr>
      <w:r>
        <w:rPr>
          <w:rFonts w:hint="eastAsia" w:ascii="宋体" w:hAnsi="宋体"/>
          <w:color w:val="auto"/>
          <w:szCs w:val="21"/>
        </w:rPr>
        <w:t>姓    名：</w:t>
      </w:r>
      <w:r>
        <w:rPr>
          <w:rFonts w:hint="eastAsia" w:ascii="宋体" w:hAnsi="宋体"/>
          <w:color w:val="auto"/>
          <w:szCs w:val="21"/>
          <w:u w:val="single"/>
        </w:rPr>
        <w:t xml:space="preserve">                          </w:t>
      </w:r>
      <w:r>
        <w:rPr>
          <w:rFonts w:hint="eastAsia" w:ascii="宋体" w:hAnsi="宋体"/>
          <w:color w:val="auto"/>
          <w:szCs w:val="21"/>
        </w:rPr>
        <w:t>性        别：</w:t>
      </w:r>
      <w:r>
        <w:rPr>
          <w:rFonts w:hint="eastAsia" w:ascii="宋体" w:hAnsi="宋体"/>
          <w:color w:val="auto"/>
          <w:szCs w:val="21"/>
          <w:u w:val="single"/>
        </w:rPr>
        <w:t xml:space="preserve">                </w:t>
      </w:r>
    </w:p>
    <w:p w14:paraId="277BD890">
      <w:pPr>
        <w:spacing w:line="500" w:lineRule="exact"/>
        <w:rPr>
          <w:rFonts w:ascii="宋体" w:hAnsi="宋体"/>
          <w:color w:val="auto"/>
          <w:szCs w:val="21"/>
        </w:rPr>
      </w:pPr>
      <w:r>
        <w:rPr>
          <w:rFonts w:hint="eastAsia" w:ascii="宋体" w:hAnsi="宋体"/>
          <w:color w:val="auto"/>
          <w:szCs w:val="21"/>
        </w:rPr>
        <w:t>年    龄：</w:t>
      </w:r>
      <w:r>
        <w:rPr>
          <w:rFonts w:hint="eastAsia" w:ascii="宋体" w:hAnsi="宋体"/>
          <w:color w:val="auto"/>
          <w:szCs w:val="21"/>
          <w:u w:val="single"/>
        </w:rPr>
        <w:t xml:space="preserve">                          </w:t>
      </w:r>
      <w:r>
        <w:rPr>
          <w:rFonts w:hint="eastAsia" w:ascii="宋体" w:hAnsi="宋体"/>
          <w:color w:val="auto"/>
          <w:szCs w:val="21"/>
        </w:rPr>
        <w:t>职        务：</w:t>
      </w:r>
      <w:r>
        <w:rPr>
          <w:rFonts w:hint="eastAsia" w:ascii="宋体" w:hAnsi="宋体"/>
          <w:color w:val="auto"/>
          <w:szCs w:val="21"/>
          <w:u w:val="single"/>
        </w:rPr>
        <w:t xml:space="preserve">                </w:t>
      </w:r>
    </w:p>
    <w:p w14:paraId="6BFB0E43">
      <w:pPr>
        <w:spacing w:line="500" w:lineRule="exact"/>
        <w:rPr>
          <w:rFonts w:ascii="宋体" w:hAnsi="宋体"/>
          <w:color w:val="auto"/>
          <w:szCs w:val="21"/>
        </w:rPr>
      </w:pPr>
      <w:r>
        <w:rPr>
          <w:rFonts w:hint="eastAsia" w:ascii="宋体" w:hAnsi="宋体"/>
          <w:color w:val="auto"/>
          <w:szCs w:val="21"/>
        </w:rPr>
        <w:t>系</w:t>
      </w:r>
      <w:r>
        <w:rPr>
          <w:rFonts w:hint="eastAsia" w:ascii="宋体" w:hAnsi="宋体"/>
          <w:color w:val="auto"/>
          <w:szCs w:val="21"/>
          <w:u w:val="single"/>
        </w:rPr>
        <w:t xml:space="preserve">                                                 </w:t>
      </w:r>
      <w:r>
        <w:rPr>
          <w:rFonts w:hint="eastAsia" w:ascii="宋体" w:hAnsi="宋体"/>
          <w:color w:val="auto"/>
          <w:szCs w:val="21"/>
        </w:rPr>
        <w:t>（投标人名称）的法定代表人。</w:t>
      </w:r>
    </w:p>
    <w:p w14:paraId="7C3AF824">
      <w:pPr>
        <w:keepNext w:val="0"/>
        <w:keepLines w:val="0"/>
        <w:widowControl w:val="0"/>
        <w:suppressLineNumbers w:val="0"/>
        <w:spacing w:before="0" w:beforeAutospacing="0" w:after="0" w:afterAutospacing="0" w:line="500" w:lineRule="exact"/>
        <w:ind w:left="0" w:right="0"/>
        <w:jc w:val="both"/>
        <w:rPr>
          <w:rFonts w:hint="eastAsia" w:ascii="宋体" w:hAnsi="宋体"/>
          <w:color w:val="auto"/>
          <w:szCs w:val="21"/>
        </w:rPr>
      </w:pPr>
      <w:r>
        <w:rPr>
          <w:rFonts w:hint="eastAsia" w:ascii="宋体" w:hAnsi="宋体"/>
          <w:color w:val="auto"/>
          <w:szCs w:val="21"/>
        </w:rPr>
        <w:t>特此证明。</w:t>
      </w:r>
    </w:p>
    <w:p w14:paraId="30062AC3">
      <w:pPr>
        <w:keepNext w:val="0"/>
        <w:keepLines w:val="0"/>
        <w:widowControl w:val="0"/>
        <w:suppressLineNumbers w:val="0"/>
        <w:spacing w:before="0" w:beforeAutospacing="0" w:after="0" w:afterAutospacing="0" w:line="500" w:lineRule="exact"/>
        <w:ind w:left="0" w:right="0"/>
        <w:jc w:val="both"/>
        <w:rPr>
          <w:rFonts w:hint="eastAsia" w:ascii="宋体" w:hAnsi="宋体"/>
          <w:color w:val="auto"/>
          <w:szCs w:val="21"/>
        </w:rPr>
      </w:pPr>
    </w:p>
    <w:p w14:paraId="310E6802">
      <w:pPr>
        <w:spacing w:line="500" w:lineRule="exact"/>
        <w:rPr>
          <w:rFonts w:hint="eastAsia" w:ascii="宋体" w:hAnsi="宋体"/>
          <w:color w:val="auto"/>
          <w:szCs w:val="21"/>
        </w:rPr>
      </w:pPr>
    </w:p>
    <w:p w14:paraId="0AF62CA7">
      <w:pPr>
        <w:spacing w:line="500" w:lineRule="exact"/>
        <w:rPr>
          <w:rFonts w:hint="eastAsia" w:ascii="宋体" w:hAnsi="宋体"/>
          <w:color w:val="auto"/>
          <w:szCs w:val="21"/>
        </w:rPr>
      </w:pPr>
    </w:p>
    <w:p w14:paraId="0B6F8E29">
      <w:pPr>
        <w:wordWrap w:val="0"/>
        <w:spacing w:line="500" w:lineRule="exact"/>
        <w:jc w:val="right"/>
        <w:rPr>
          <w:rFonts w:hint="eastAsia" w:ascii="宋体" w:hAnsi="宋体"/>
          <w:color w:val="auto"/>
          <w:szCs w:val="21"/>
        </w:rPr>
      </w:pPr>
      <w:r>
        <w:rPr>
          <w:rFonts w:hint="eastAsia" w:ascii="宋体" w:hAnsi="宋体"/>
          <w:color w:val="auto"/>
          <w:szCs w:val="21"/>
        </w:rPr>
        <w:t>投标人：</w:t>
      </w:r>
      <w:r>
        <w:rPr>
          <w:rFonts w:hint="eastAsia" w:ascii="宋体" w:hAnsi="宋体"/>
          <w:color w:val="auto"/>
          <w:szCs w:val="21"/>
          <w:u w:val="single"/>
        </w:rPr>
        <w:t xml:space="preserve">                          </w:t>
      </w:r>
      <w:r>
        <w:rPr>
          <w:rFonts w:hint="eastAsia" w:ascii="宋体" w:hAnsi="宋体"/>
          <w:color w:val="auto"/>
          <w:szCs w:val="21"/>
        </w:rPr>
        <w:t>（盖单位章）</w:t>
      </w:r>
    </w:p>
    <w:p w14:paraId="67BF3496">
      <w:pPr>
        <w:wordWrap w:val="0"/>
        <w:spacing w:line="500" w:lineRule="exact"/>
        <w:jc w:val="right"/>
        <w:rPr>
          <w:rFonts w:hint="eastAsia" w:ascii="宋体" w:hAnsi="宋体"/>
          <w:color w:val="auto"/>
          <w:szCs w:val="21"/>
        </w:rPr>
      </w:pP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 xml:space="preserve">日 </w:t>
      </w:r>
    </w:p>
    <w:p w14:paraId="7123504E">
      <w:pPr>
        <w:rPr>
          <w:color w:val="auto"/>
        </w:rPr>
        <w:sectPr>
          <w:footerReference r:id="rId31" w:type="default"/>
          <w:pgSz w:w="11906" w:h="16838"/>
          <w:pgMar w:top="1440" w:right="1800" w:bottom="1440" w:left="1800" w:header="851" w:footer="992" w:gutter="0"/>
          <w:pgNumType w:fmt="decimal"/>
          <w:cols w:space="425" w:num="1"/>
          <w:docGrid w:type="lines" w:linePitch="312" w:charSpace="0"/>
        </w:sectPr>
      </w:pPr>
    </w:p>
    <w:p w14:paraId="73BF4B0A">
      <w:pPr>
        <w:pStyle w:val="27"/>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ascii="宋体" w:hAnsi="宋体"/>
          <w:color w:val="auto"/>
          <w:szCs w:val="21"/>
        </w:rPr>
      </w:pPr>
      <w:bookmarkStart w:id="1997" w:name="_Toc122603075"/>
      <w:bookmarkStart w:id="1998" w:name="_Toc31901"/>
      <w:r>
        <w:rPr>
          <w:rFonts w:hint="eastAsia"/>
          <w:color w:val="auto"/>
          <w:sz w:val="28"/>
          <w:szCs w:val="28"/>
          <w:lang w:eastAsia="zh-CN"/>
        </w:rPr>
        <w:t>（</w:t>
      </w:r>
      <w:r>
        <w:rPr>
          <w:rFonts w:hint="default"/>
          <w:color w:val="auto"/>
          <w:sz w:val="28"/>
          <w:szCs w:val="28"/>
          <w:lang w:eastAsia="zh-CN"/>
        </w:rPr>
        <w:t>二</w:t>
      </w:r>
      <w:r>
        <w:rPr>
          <w:rFonts w:hint="eastAsia"/>
          <w:color w:val="auto"/>
          <w:sz w:val="28"/>
          <w:szCs w:val="28"/>
          <w:lang w:eastAsia="zh-CN"/>
        </w:rPr>
        <w:t>）授权委托书</w:t>
      </w:r>
      <w:bookmarkEnd w:id="1997"/>
      <w:bookmarkEnd w:id="1998"/>
    </w:p>
    <w:p w14:paraId="5A813B36">
      <w:pPr>
        <w:spacing w:line="500" w:lineRule="exact"/>
        <w:ind w:firstLine="420" w:firstLineChars="200"/>
        <w:rPr>
          <w:rFonts w:ascii="宋体" w:hAnsi="宋体"/>
          <w:color w:val="auto"/>
          <w:szCs w:val="21"/>
        </w:rPr>
      </w:pPr>
      <w:r>
        <w:rPr>
          <w:rFonts w:hint="eastAsia" w:ascii="宋体" w:hAnsi="宋体"/>
          <w:color w:val="auto"/>
          <w:szCs w:val="21"/>
        </w:rPr>
        <w:t>本人</w:t>
      </w:r>
      <w:r>
        <w:rPr>
          <w:rFonts w:hint="eastAsia" w:ascii="宋体" w:hAnsi="宋体"/>
          <w:color w:val="auto"/>
          <w:szCs w:val="21"/>
          <w:u w:val="single"/>
        </w:rPr>
        <w:t xml:space="preserve">         </w:t>
      </w:r>
      <w:r>
        <w:rPr>
          <w:rFonts w:hint="eastAsia" w:ascii="宋体" w:hAnsi="宋体"/>
          <w:color w:val="auto"/>
          <w:szCs w:val="21"/>
        </w:rPr>
        <w:t>（姓名）系</w:t>
      </w:r>
      <w:r>
        <w:rPr>
          <w:rFonts w:hint="eastAsia" w:ascii="宋体" w:hAnsi="宋体"/>
          <w:color w:val="auto"/>
          <w:szCs w:val="21"/>
          <w:u w:val="single"/>
        </w:rPr>
        <w:t xml:space="preserve">         </w:t>
      </w:r>
      <w:r>
        <w:rPr>
          <w:rFonts w:hint="eastAsia" w:ascii="宋体" w:hAnsi="宋体"/>
          <w:color w:val="auto"/>
          <w:szCs w:val="21"/>
        </w:rPr>
        <w:t>（投标人名称）的法定代表人，现委托</w:t>
      </w:r>
      <w:r>
        <w:rPr>
          <w:rFonts w:hint="eastAsia" w:ascii="宋体" w:hAnsi="宋体"/>
          <w:color w:val="auto"/>
          <w:szCs w:val="21"/>
          <w:u w:val="single"/>
        </w:rPr>
        <w:t xml:space="preserve">      </w:t>
      </w:r>
      <w:r>
        <w:rPr>
          <w:rFonts w:hint="eastAsia" w:ascii="宋体" w:hAnsi="宋体"/>
          <w:color w:val="auto"/>
          <w:szCs w:val="21"/>
        </w:rPr>
        <w:t>（姓名）为我方代理人。代理人根据授权，以我方名义签署、澄清、说明、补正、递交、撤回、修改</w:t>
      </w:r>
      <w:bookmarkStart w:id="1999" w:name="_Hlk152154310"/>
      <w:r>
        <w:rPr>
          <w:rFonts w:hint="eastAsia" w:ascii="宋体" w:hAnsi="宋体"/>
          <w:color w:val="auto"/>
          <w:szCs w:val="21"/>
          <w:u w:val="single"/>
        </w:rPr>
        <w:t xml:space="preserve">           </w:t>
      </w:r>
      <w:r>
        <w:rPr>
          <w:rFonts w:hint="eastAsia" w:ascii="宋体" w:hAnsi="宋体"/>
          <w:color w:val="auto"/>
          <w:szCs w:val="21"/>
        </w:rPr>
        <w:t>（标段名称）项目</w:t>
      </w:r>
      <w:r>
        <w:rPr>
          <w:rFonts w:hint="eastAsia"/>
          <w:color w:val="auto"/>
        </w:rPr>
        <w:t>（标段唯一标识码：</w:t>
      </w:r>
      <w:r>
        <w:rPr>
          <w:rFonts w:hint="eastAsia"/>
          <w:color w:val="auto"/>
          <w:u w:val="single"/>
        </w:rPr>
        <w:t xml:space="preserve"> </w:t>
      </w:r>
      <w:r>
        <w:rPr>
          <w:color w:val="auto"/>
          <w:u w:val="single"/>
        </w:rPr>
        <w:t xml:space="preserve">         </w:t>
      </w:r>
      <w:r>
        <w:rPr>
          <w:rFonts w:hint="eastAsia"/>
          <w:color w:val="auto"/>
        </w:rPr>
        <w:t>）</w:t>
      </w:r>
      <w:bookmarkEnd w:id="1999"/>
      <w:r>
        <w:rPr>
          <w:rFonts w:hint="eastAsia" w:ascii="宋体" w:hAnsi="宋体"/>
          <w:color w:val="auto"/>
          <w:szCs w:val="21"/>
        </w:rPr>
        <w:t>投标文件、签订合同和处理有关事宜，其法律后果由我方承担。</w:t>
      </w:r>
    </w:p>
    <w:p w14:paraId="27FADB7D">
      <w:pPr>
        <w:spacing w:before="120" w:beforeLines="50" w:line="500" w:lineRule="exact"/>
        <w:ind w:firstLine="420" w:firstLineChars="200"/>
        <w:rPr>
          <w:rFonts w:ascii="宋体" w:hAnsi="宋体"/>
          <w:color w:val="auto"/>
          <w:szCs w:val="21"/>
        </w:rPr>
      </w:pPr>
      <w:r>
        <w:rPr>
          <w:rFonts w:hint="eastAsia" w:ascii="宋体" w:hAnsi="宋体"/>
          <w:color w:val="auto"/>
          <w:szCs w:val="21"/>
        </w:rPr>
        <w:t>委托期限：</w:t>
      </w:r>
      <w:r>
        <w:rPr>
          <w:rFonts w:hint="eastAsia" w:ascii="宋体" w:hAnsi="宋体"/>
          <w:color w:val="auto"/>
          <w:szCs w:val="21"/>
          <w:u w:val="single"/>
        </w:rPr>
        <w:t xml:space="preserve">                                                         </w:t>
      </w:r>
      <w:r>
        <w:rPr>
          <w:rFonts w:hint="eastAsia" w:ascii="宋体" w:hAnsi="宋体"/>
          <w:color w:val="auto"/>
          <w:szCs w:val="21"/>
        </w:rPr>
        <w:t>。</w:t>
      </w:r>
    </w:p>
    <w:p w14:paraId="3014EB31">
      <w:pPr>
        <w:spacing w:before="240" w:beforeLines="100" w:after="240" w:afterLines="100" w:line="500" w:lineRule="exact"/>
        <w:ind w:firstLine="420" w:firstLineChars="200"/>
        <w:rPr>
          <w:rFonts w:ascii="宋体" w:hAnsi="宋体"/>
          <w:color w:val="auto"/>
          <w:szCs w:val="21"/>
        </w:rPr>
      </w:pPr>
      <w:r>
        <w:rPr>
          <w:rFonts w:hint="eastAsia" w:ascii="宋体" w:hAnsi="宋体"/>
          <w:color w:val="auto"/>
          <w:szCs w:val="21"/>
        </w:rPr>
        <w:t>代理人无转委托权。</w:t>
      </w:r>
    </w:p>
    <w:p w14:paraId="63E85E13">
      <w:pPr>
        <w:spacing w:line="500" w:lineRule="exact"/>
        <w:jc w:val="center"/>
        <w:rPr>
          <w:rFonts w:ascii="宋体" w:hAnsi="宋体"/>
          <w:color w:val="auto"/>
          <w:szCs w:val="21"/>
        </w:rPr>
      </w:pPr>
      <w:r>
        <w:rPr>
          <w:rFonts w:hint="eastAsia" w:ascii="宋体" w:hAnsi="宋体"/>
          <w:color w:val="auto"/>
          <w:szCs w:val="21"/>
        </w:rPr>
        <w:t>（附授权委托人身份证正反面复印件）</w:t>
      </w:r>
    </w:p>
    <w:p w14:paraId="272E4A52">
      <w:pPr>
        <w:spacing w:line="500" w:lineRule="exact"/>
        <w:rPr>
          <w:rFonts w:hint="eastAsia" w:ascii="宋体" w:hAnsi="宋体"/>
          <w:color w:val="auto"/>
          <w:szCs w:val="21"/>
        </w:rPr>
      </w:pPr>
    </w:p>
    <w:p w14:paraId="4786B6BF">
      <w:pPr>
        <w:spacing w:line="400" w:lineRule="exact"/>
        <w:ind w:firstLine="3570" w:firstLineChars="1700"/>
        <w:rPr>
          <w:rFonts w:hint="eastAsia" w:ascii="宋体" w:hAnsi="宋体" w:cs="宋体"/>
          <w:b w:val="0"/>
          <w:bCs w:val="0"/>
          <w:color w:val="auto"/>
          <w:szCs w:val="21"/>
        </w:rPr>
      </w:pPr>
      <w:r>
        <w:rPr>
          <w:rFonts w:hint="eastAsia" w:ascii="宋体" w:hAnsi="宋体" w:eastAsia="宋体" w:cs="宋体"/>
          <w:b w:val="0"/>
          <w:bCs w:val="0"/>
          <w:color w:val="auto"/>
          <w:szCs w:val="21"/>
        </w:rPr>
        <w:t>投  标  人：</w:t>
      </w:r>
      <w:r>
        <w:rPr>
          <w:rFonts w:hint="eastAsia" w:ascii="宋体" w:hAnsi="宋体" w:eastAsia="宋体" w:cs="宋体"/>
          <w:b w:val="0"/>
          <w:bCs w:val="0"/>
          <w:color w:val="auto"/>
          <w:szCs w:val="21"/>
          <w:u w:val="single"/>
        </w:rPr>
        <w:t xml:space="preserve">                    </w:t>
      </w:r>
      <w:r>
        <w:rPr>
          <w:rFonts w:hint="eastAsia" w:ascii="宋体" w:hAnsi="宋体" w:eastAsia="宋体" w:cs="宋体"/>
          <w:b w:val="0"/>
          <w:bCs w:val="0"/>
          <w:color w:val="auto"/>
          <w:szCs w:val="21"/>
        </w:rPr>
        <w:t>（盖单位章）</w:t>
      </w:r>
    </w:p>
    <w:p w14:paraId="2F977575">
      <w:pPr>
        <w:spacing w:line="400" w:lineRule="exact"/>
        <w:ind w:firstLine="3570" w:firstLineChars="1700"/>
        <w:rPr>
          <w:rFonts w:hint="eastAsia" w:ascii="宋体" w:hAnsi="宋体" w:cs="宋体"/>
          <w:b w:val="0"/>
          <w:bCs w:val="0"/>
          <w:color w:val="auto"/>
          <w:szCs w:val="21"/>
        </w:rPr>
      </w:pPr>
    </w:p>
    <w:p w14:paraId="7F3A4065">
      <w:pPr>
        <w:spacing w:line="400" w:lineRule="exact"/>
        <w:ind w:firstLine="3570" w:firstLineChars="1700"/>
        <w:rPr>
          <w:rFonts w:hint="eastAsia" w:ascii="宋体" w:hAnsi="宋体" w:cs="宋体"/>
          <w:b w:val="0"/>
          <w:bCs w:val="0"/>
          <w:color w:val="auto"/>
          <w:szCs w:val="21"/>
        </w:rPr>
      </w:pPr>
      <w:r>
        <w:rPr>
          <w:rFonts w:hint="eastAsia" w:ascii="宋体" w:hAnsi="宋体" w:eastAsia="宋体" w:cs="宋体"/>
          <w:b w:val="0"/>
          <w:bCs w:val="0"/>
          <w:color w:val="auto"/>
          <w:szCs w:val="21"/>
        </w:rPr>
        <w:t>法定代表人：</w:t>
      </w:r>
      <w:r>
        <w:rPr>
          <w:rFonts w:hint="eastAsia" w:ascii="宋体" w:hAnsi="宋体" w:eastAsia="宋体" w:cs="宋体"/>
          <w:b w:val="0"/>
          <w:bCs w:val="0"/>
          <w:color w:val="auto"/>
          <w:szCs w:val="21"/>
          <w:u w:val="single"/>
        </w:rPr>
        <w:t xml:space="preserve">                        </w:t>
      </w:r>
      <w:r>
        <w:rPr>
          <w:rFonts w:hint="eastAsia" w:ascii="宋体" w:hAnsi="宋体" w:eastAsia="宋体" w:cs="宋体"/>
          <w:b w:val="0"/>
          <w:bCs w:val="0"/>
          <w:color w:val="auto"/>
          <w:szCs w:val="21"/>
        </w:rPr>
        <w:t>（签章）</w:t>
      </w:r>
    </w:p>
    <w:p w14:paraId="49DE56AC">
      <w:pPr>
        <w:spacing w:line="400" w:lineRule="exact"/>
        <w:ind w:firstLine="3570" w:firstLineChars="1700"/>
        <w:rPr>
          <w:rFonts w:hint="eastAsia" w:ascii="宋体" w:hAnsi="宋体" w:cs="宋体"/>
          <w:b w:val="0"/>
          <w:bCs w:val="0"/>
          <w:color w:val="auto"/>
          <w:szCs w:val="21"/>
        </w:rPr>
      </w:pPr>
    </w:p>
    <w:p w14:paraId="003F2A0F">
      <w:pPr>
        <w:spacing w:line="400" w:lineRule="exact"/>
        <w:ind w:firstLine="3570" w:firstLineChars="1700"/>
        <w:rPr>
          <w:rFonts w:hint="eastAsia" w:ascii="宋体" w:hAnsi="宋体" w:cs="宋体"/>
          <w:b w:val="0"/>
          <w:bCs w:val="0"/>
          <w:color w:val="auto"/>
          <w:szCs w:val="21"/>
          <w:u w:val="single"/>
        </w:rPr>
      </w:pPr>
      <w:r>
        <w:rPr>
          <w:rFonts w:hint="eastAsia" w:ascii="宋体" w:hAnsi="宋体" w:eastAsia="宋体" w:cs="宋体"/>
          <w:b w:val="0"/>
          <w:bCs w:val="0"/>
          <w:color w:val="auto"/>
          <w:szCs w:val="21"/>
        </w:rPr>
        <w:t>身份证号码：</w:t>
      </w:r>
      <w:r>
        <w:rPr>
          <w:rFonts w:hint="eastAsia" w:ascii="宋体" w:hAnsi="宋体" w:eastAsia="宋体" w:cs="宋体"/>
          <w:b w:val="0"/>
          <w:bCs w:val="0"/>
          <w:color w:val="auto"/>
          <w:szCs w:val="21"/>
          <w:u w:val="single"/>
        </w:rPr>
        <w:t xml:space="preserve">                              </w:t>
      </w:r>
    </w:p>
    <w:p w14:paraId="398D0A59">
      <w:pPr>
        <w:spacing w:line="400" w:lineRule="exact"/>
        <w:ind w:firstLine="3570" w:firstLineChars="1700"/>
        <w:rPr>
          <w:rFonts w:hint="eastAsia" w:ascii="宋体" w:hAnsi="宋体" w:cs="宋体"/>
          <w:b w:val="0"/>
          <w:bCs w:val="0"/>
          <w:color w:val="auto"/>
          <w:szCs w:val="21"/>
          <w:u w:val="single"/>
        </w:rPr>
      </w:pPr>
    </w:p>
    <w:p w14:paraId="19375EB6">
      <w:pPr>
        <w:spacing w:line="400" w:lineRule="exact"/>
        <w:ind w:firstLine="3570" w:firstLineChars="1700"/>
        <w:rPr>
          <w:rFonts w:hint="eastAsia" w:ascii="宋体" w:hAnsi="宋体" w:cs="宋体"/>
          <w:b w:val="0"/>
          <w:bCs w:val="0"/>
          <w:color w:val="auto"/>
          <w:szCs w:val="21"/>
        </w:rPr>
      </w:pPr>
      <w:r>
        <w:rPr>
          <w:rFonts w:hint="eastAsia" w:ascii="宋体" w:hAnsi="宋体" w:eastAsia="宋体" w:cs="宋体"/>
          <w:b w:val="0"/>
          <w:bCs w:val="0"/>
          <w:color w:val="auto"/>
          <w:szCs w:val="21"/>
        </w:rPr>
        <w:t>委托代理人：</w:t>
      </w:r>
      <w:r>
        <w:rPr>
          <w:rFonts w:hint="eastAsia" w:ascii="宋体" w:hAnsi="宋体" w:eastAsia="宋体" w:cs="宋体"/>
          <w:b w:val="0"/>
          <w:bCs w:val="0"/>
          <w:color w:val="auto"/>
          <w:szCs w:val="21"/>
          <w:u w:val="single"/>
        </w:rPr>
        <w:t xml:space="preserve">                        </w:t>
      </w:r>
      <w:r>
        <w:rPr>
          <w:rFonts w:hint="eastAsia" w:ascii="宋体" w:hAnsi="宋体" w:eastAsia="宋体" w:cs="宋体"/>
          <w:b w:val="0"/>
          <w:bCs w:val="0"/>
          <w:color w:val="auto"/>
          <w:szCs w:val="21"/>
        </w:rPr>
        <w:t>（签章）</w:t>
      </w:r>
    </w:p>
    <w:p w14:paraId="3977E785">
      <w:pPr>
        <w:spacing w:line="400" w:lineRule="exact"/>
        <w:ind w:firstLine="3570" w:firstLineChars="1700"/>
        <w:rPr>
          <w:rFonts w:hint="eastAsia" w:ascii="宋体" w:hAnsi="宋体" w:cs="宋体"/>
          <w:b w:val="0"/>
          <w:bCs w:val="0"/>
          <w:color w:val="auto"/>
          <w:szCs w:val="21"/>
        </w:rPr>
      </w:pPr>
    </w:p>
    <w:p w14:paraId="516A68E9">
      <w:pPr>
        <w:spacing w:line="400" w:lineRule="exact"/>
        <w:ind w:firstLine="3570" w:firstLineChars="1700"/>
        <w:rPr>
          <w:rFonts w:hint="eastAsia" w:ascii="黑体" w:hAnsi="宋体" w:eastAsia="黑体"/>
          <w:color w:val="auto"/>
          <w:szCs w:val="21"/>
          <w:u w:val="single"/>
        </w:rPr>
      </w:pPr>
      <w:r>
        <w:rPr>
          <w:rFonts w:hint="eastAsia" w:ascii="宋体" w:hAnsi="宋体" w:eastAsia="宋体" w:cs="宋体"/>
          <w:b w:val="0"/>
          <w:bCs w:val="0"/>
          <w:color w:val="auto"/>
          <w:szCs w:val="21"/>
        </w:rPr>
        <w:t>身份证号码：</w:t>
      </w:r>
      <w:r>
        <w:rPr>
          <w:rFonts w:hint="eastAsia" w:ascii="黑体" w:hAnsi="宋体" w:eastAsia="黑体"/>
          <w:color w:val="auto"/>
          <w:szCs w:val="21"/>
          <w:u w:val="single"/>
        </w:rPr>
        <w:t xml:space="preserve">                              </w:t>
      </w:r>
    </w:p>
    <w:p w14:paraId="27EBBA90">
      <w:pPr>
        <w:spacing w:line="400" w:lineRule="exact"/>
        <w:rPr>
          <w:rFonts w:hint="eastAsia" w:ascii="黑体" w:hAnsi="宋体" w:eastAsia="黑体"/>
          <w:color w:val="auto"/>
          <w:szCs w:val="21"/>
        </w:rPr>
      </w:pPr>
    </w:p>
    <w:p w14:paraId="42D4ABF5">
      <w:pPr>
        <w:spacing w:line="400" w:lineRule="exact"/>
        <w:ind w:firstLine="4830" w:firstLineChars="2300"/>
        <w:rPr>
          <w:rFonts w:hint="eastAsia" w:ascii="宋体" w:hAnsi="宋体"/>
          <w:color w:val="auto"/>
          <w:szCs w:val="21"/>
        </w:rPr>
      </w:pP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646A233F">
      <w:pPr>
        <w:rPr>
          <w:color w:val="auto"/>
        </w:rPr>
        <w:sectPr>
          <w:footerReference r:id="rId32" w:type="default"/>
          <w:pgSz w:w="11906" w:h="16838"/>
          <w:pgMar w:top="1440" w:right="1800" w:bottom="1440" w:left="1800" w:header="851" w:footer="992" w:gutter="0"/>
          <w:pgNumType w:fmt="decimal"/>
          <w:cols w:space="425" w:num="1"/>
          <w:docGrid w:type="lines" w:linePitch="312" w:charSpace="0"/>
        </w:sectPr>
      </w:pPr>
    </w:p>
    <w:p w14:paraId="1C2EDFE7">
      <w:pPr>
        <w:pStyle w:val="25"/>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default"/>
          <w:color w:val="auto"/>
          <w:szCs w:val="21"/>
        </w:rPr>
      </w:pPr>
      <w:bookmarkStart w:id="2000" w:name="_Toc16597"/>
      <w:bookmarkStart w:id="2001" w:name="_Toc122603076"/>
      <w:r>
        <w:rPr>
          <w:rFonts w:hint="default"/>
          <w:color w:val="auto"/>
        </w:rPr>
        <w:t>三</w:t>
      </w:r>
      <w:r>
        <w:rPr>
          <w:rFonts w:hint="eastAsia"/>
          <w:color w:val="auto"/>
        </w:rPr>
        <w:t>、投标保证金</w:t>
      </w:r>
      <w:bookmarkEnd w:id="2000"/>
      <w:bookmarkEnd w:id="2001"/>
    </w:p>
    <w:p w14:paraId="6FE2FBF2">
      <w:pPr>
        <w:keepNext w:val="0"/>
        <w:keepLines w:val="0"/>
        <w:widowControl w:val="0"/>
        <w:suppressLineNumbers w:val="0"/>
        <w:spacing w:before="0" w:beforeAutospacing="0" w:after="0" w:afterAutospacing="0" w:line="400" w:lineRule="atLeast"/>
        <w:ind w:left="0" w:right="0" w:firstLine="390"/>
        <w:jc w:val="both"/>
        <w:rPr>
          <w:rFonts w:hint="eastAsia" w:ascii="宋体" w:hAnsi="宋体" w:cs="宋体"/>
          <w:b/>
          <w:bCs/>
          <w:color w:val="auto"/>
          <w:shd w:val="clear" w:color="auto" w:fill="auto"/>
        </w:rPr>
      </w:pPr>
      <w:bookmarkStart w:id="2002" w:name="_Hlk209274510"/>
      <w:r>
        <w:rPr>
          <w:rFonts w:hint="eastAsia" w:ascii="宋体" w:hAnsi="宋体" w:eastAsia="宋体" w:cs="宋体"/>
          <w:b/>
          <w:bCs/>
          <w:color w:val="auto"/>
          <w:kern w:val="2"/>
          <w:sz w:val="21"/>
          <w:szCs w:val="21"/>
          <w:shd w:val="clear" w:color="auto" w:fill="auto"/>
          <w:lang w:val="en-US" w:eastAsia="zh-CN" w:bidi="ar"/>
        </w:rPr>
        <w:t>（一）若</w:t>
      </w:r>
      <w:bookmarkStart w:id="2003" w:name="_Hlk184712174"/>
      <w:r>
        <w:rPr>
          <w:rFonts w:hint="eastAsia" w:ascii="宋体" w:hAnsi="宋体" w:eastAsia="宋体" w:cs="宋体"/>
          <w:b/>
          <w:bCs/>
          <w:color w:val="auto"/>
          <w:kern w:val="2"/>
          <w:sz w:val="21"/>
          <w:szCs w:val="21"/>
          <w:shd w:val="clear" w:color="auto" w:fill="auto"/>
          <w:lang w:val="en-US" w:eastAsia="zh-CN" w:bidi="ar"/>
        </w:rPr>
        <w:t>采用</w:t>
      </w:r>
      <w:bookmarkEnd w:id="2003"/>
      <w:r>
        <w:rPr>
          <w:rFonts w:hint="eastAsia" w:ascii="宋体" w:hAnsi="宋体" w:eastAsia="宋体" w:cs="宋体"/>
          <w:b/>
          <w:bCs/>
          <w:color w:val="auto"/>
          <w:kern w:val="2"/>
          <w:sz w:val="21"/>
          <w:szCs w:val="21"/>
          <w:shd w:val="clear" w:color="auto" w:fill="auto"/>
          <w:lang w:val="en-US" w:eastAsia="zh-CN" w:bidi="ar"/>
        </w:rPr>
        <w:t>现金或支票，投标人应填写以下表格信息并提供汇款凭证的扫描件。</w:t>
      </w:r>
    </w:p>
    <w:tbl>
      <w:tblPr>
        <w:tblStyle w:val="18"/>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1413"/>
        <w:gridCol w:w="3289"/>
        <w:gridCol w:w="1135"/>
        <w:gridCol w:w="2353"/>
      </w:tblGrid>
      <w:tr w14:paraId="5BFC8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8189"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779D139D">
            <w:pPr>
              <w:keepNext w:val="0"/>
              <w:keepLines w:val="0"/>
              <w:widowControl w:val="0"/>
              <w:suppressLineNumbers w:val="0"/>
              <w:spacing w:before="0" w:beforeAutospacing="0" w:after="0" w:afterAutospacing="0"/>
              <w:ind w:left="0" w:right="0"/>
              <w:jc w:val="center"/>
              <w:rPr>
                <w:rFonts w:hint="eastAsia" w:ascii="宋体" w:hAnsi="宋体" w:cs="宋体"/>
                <w:b/>
                <w:bCs w:val="0"/>
                <w:color w:val="auto"/>
                <w:shd w:val="clear" w:color="auto" w:fill="auto"/>
              </w:rPr>
            </w:pPr>
            <w:r>
              <w:rPr>
                <w:rFonts w:hint="eastAsia" w:ascii="宋体" w:hAnsi="宋体" w:eastAsia="宋体" w:cs="宋体"/>
                <w:b/>
                <w:bCs w:val="0"/>
                <w:color w:val="auto"/>
                <w:shd w:val="clear" w:color="auto" w:fill="auto"/>
              </w:rPr>
              <w:t>现金汇款信息</w:t>
            </w:r>
          </w:p>
        </w:tc>
      </w:tr>
      <w:tr w14:paraId="2153C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Borders>
              <w:top w:val="single" w:color="auto" w:sz="4" w:space="0"/>
              <w:left w:val="single" w:color="auto" w:sz="4" w:space="0"/>
              <w:bottom w:val="single" w:color="auto" w:sz="4" w:space="0"/>
              <w:right w:val="single" w:color="auto" w:sz="4" w:space="0"/>
            </w:tcBorders>
            <w:shd w:val="clear" w:color="auto" w:fill="FFFFFF"/>
            <w:vAlign w:val="center"/>
          </w:tcPr>
          <w:p w14:paraId="6BC358E3">
            <w:pPr>
              <w:keepNext w:val="0"/>
              <w:keepLines w:val="0"/>
              <w:widowControl w:val="0"/>
              <w:suppressLineNumbers w:val="0"/>
              <w:spacing w:before="0" w:beforeAutospacing="0" w:after="0" w:afterAutospacing="0"/>
              <w:ind w:left="0" w:right="0"/>
              <w:jc w:val="center"/>
              <w:rPr>
                <w:rFonts w:hint="eastAsia" w:ascii="宋体" w:hAnsi="宋体" w:cs="宋体"/>
                <w:color w:val="auto"/>
                <w:shd w:val="clear" w:color="auto" w:fill="auto"/>
              </w:rPr>
            </w:pPr>
            <w:r>
              <w:rPr>
                <w:rFonts w:hint="eastAsia" w:ascii="宋体" w:hAnsi="宋体" w:eastAsia="宋体" w:cs="宋体"/>
                <w:color w:val="auto"/>
                <w:shd w:val="clear" w:color="auto" w:fill="auto"/>
              </w:rPr>
              <w:t>收款账户</w:t>
            </w:r>
          </w:p>
        </w:tc>
        <w:tc>
          <w:tcPr>
            <w:tcW w:w="3289" w:type="dxa"/>
            <w:tcBorders>
              <w:top w:val="single" w:color="auto" w:sz="4" w:space="0"/>
              <w:left w:val="single" w:color="auto" w:sz="4" w:space="0"/>
              <w:bottom w:val="single" w:color="auto" w:sz="4" w:space="0"/>
              <w:right w:val="single" w:color="auto" w:sz="4" w:space="0"/>
            </w:tcBorders>
            <w:shd w:val="clear" w:color="auto" w:fill="FFFFFF"/>
            <w:vAlign w:val="center"/>
          </w:tcPr>
          <w:p w14:paraId="7C6ACD45">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7A3361F2">
            <w:pPr>
              <w:keepNext w:val="0"/>
              <w:keepLines w:val="0"/>
              <w:widowControl w:val="0"/>
              <w:suppressLineNumbers w:val="0"/>
              <w:spacing w:before="0" w:beforeAutospacing="0" w:after="0" w:afterAutospacing="0"/>
              <w:ind w:left="0" w:right="0"/>
              <w:jc w:val="center"/>
              <w:rPr>
                <w:rFonts w:hint="eastAsia" w:ascii="宋体" w:hAnsi="宋体" w:cs="宋体"/>
                <w:color w:val="auto"/>
                <w:shd w:val="clear" w:color="auto" w:fill="auto"/>
              </w:rPr>
            </w:pPr>
            <w:r>
              <w:rPr>
                <w:rFonts w:hint="eastAsia" w:ascii="宋体" w:hAnsi="宋体" w:eastAsia="宋体" w:cs="宋体"/>
                <w:color w:val="auto"/>
                <w:shd w:val="clear" w:color="auto" w:fill="auto"/>
              </w:rPr>
              <w:t>汇款账户</w:t>
            </w:r>
          </w:p>
        </w:tc>
        <w:tc>
          <w:tcPr>
            <w:tcW w:w="2353" w:type="dxa"/>
            <w:tcBorders>
              <w:top w:val="single" w:color="auto" w:sz="4" w:space="0"/>
              <w:left w:val="single" w:color="auto" w:sz="4" w:space="0"/>
              <w:bottom w:val="single" w:color="auto" w:sz="4" w:space="0"/>
              <w:right w:val="single" w:color="auto" w:sz="4" w:space="0"/>
            </w:tcBorders>
            <w:shd w:val="clear" w:color="auto" w:fill="FFFFFF"/>
            <w:vAlign w:val="center"/>
          </w:tcPr>
          <w:p w14:paraId="712B9D1D">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p>
        </w:tc>
      </w:tr>
      <w:tr w14:paraId="12663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Borders>
              <w:top w:val="single" w:color="auto" w:sz="4" w:space="0"/>
              <w:left w:val="single" w:color="auto" w:sz="4" w:space="0"/>
              <w:bottom w:val="single" w:color="auto" w:sz="4" w:space="0"/>
              <w:right w:val="single" w:color="auto" w:sz="4" w:space="0"/>
            </w:tcBorders>
            <w:shd w:val="clear" w:color="auto" w:fill="FFFFFF"/>
            <w:vAlign w:val="center"/>
          </w:tcPr>
          <w:p w14:paraId="470641E0">
            <w:pPr>
              <w:keepNext w:val="0"/>
              <w:keepLines w:val="0"/>
              <w:widowControl w:val="0"/>
              <w:suppressLineNumbers w:val="0"/>
              <w:spacing w:before="0" w:beforeAutospacing="0" w:after="0" w:afterAutospacing="0"/>
              <w:ind w:left="0" w:right="0"/>
              <w:jc w:val="center"/>
              <w:rPr>
                <w:rFonts w:hint="eastAsia" w:ascii="宋体" w:hAnsi="宋体" w:cs="宋体"/>
                <w:color w:val="auto"/>
                <w:shd w:val="clear" w:color="auto" w:fill="auto"/>
              </w:rPr>
            </w:pPr>
            <w:r>
              <w:rPr>
                <w:rFonts w:hint="eastAsia" w:ascii="宋体" w:hAnsi="宋体" w:eastAsia="宋体" w:cs="宋体"/>
                <w:color w:val="auto"/>
                <w:shd w:val="clear" w:color="auto" w:fill="auto"/>
              </w:rPr>
              <w:t>收款账号</w:t>
            </w:r>
          </w:p>
        </w:tc>
        <w:tc>
          <w:tcPr>
            <w:tcW w:w="3289" w:type="dxa"/>
            <w:tcBorders>
              <w:top w:val="single" w:color="auto" w:sz="4" w:space="0"/>
              <w:left w:val="single" w:color="auto" w:sz="4" w:space="0"/>
              <w:bottom w:val="single" w:color="auto" w:sz="4" w:space="0"/>
              <w:right w:val="single" w:color="auto" w:sz="4" w:space="0"/>
            </w:tcBorders>
            <w:shd w:val="clear" w:color="auto" w:fill="FFFFFF"/>
            <w:vAlign w:val="center"/>
          </w:tcPr>
          <w:p w14:paraId="5E8FF380">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2349767C">
            <w:pPr>
              <w:keepNext w:val="0"/>
              <w:keepLines w:val="0"/>
              <w:widowControl w:val="0"/>
              <w:suppressLineNumbers w:val="0"/>
              <w:spacing w:before="0" w:beforeAutospacing="0" w:after="0" w:afterAutospacing="0"/>
              <w:ind w:left="0" w:right="0"/>
              <w:jc w:val="center"/>
              <w:rPr>
                <w:rFonts w:hint="eastAsia" w:ascii="宋体" w:hAnsi="宋体" w:cs="宋体"/>
                <w:color w:val="auto"/>
                <w:shd w:val="clear" w:color="auto" w:fill="auto"/>
              </w:rPr>
            </w:pPr>
            <w:r>
              <w:rPr>
                <w:rFonts w:hint="eastAsia" w:ascii="宋体" w:hAnsi="宋体" w:eastAsia="宋体" w:cs="宋体"/>
                <w:color w:val="auto"/>
                <w:shd w:val="clear" w:color="auto" w:fill="auto"/>
              </w:rPr>
              <w:t>汇款账号</w:t>
            </w:r>
          </w:p>
        </w:tc>
        <w:tc>
          <w:tcPr>
            <w:tcW w:w="2353" w:type="dxa"/>
            <w:tcBorders>
              <w:top w:val="single" w:color="auto" w:sz="4" w:space="0"/>
              <w:left w:val="single" w:color="auto" w:sz="4" w:space="0"/>
              <w:bottom w:val="single" w:color="auto" w:sz="4" w:space="0"/>
              <w:right w:val="single" w:color="auto" w:sz="4" w:space="0"/>
            </w:tcBorders>
            <w:shd w:val="clear" w:color="auto" w:fill="FFFFFF"/>
            <w:vAlign w:val="center"/>
          </w:tcPr>
          <w:p w14:paraId="1A1EAFB4">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p>
        </w:tc>
      </w:tr>
      <w:tr w14:paraId="544E7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Borders>
              <w:top w:val="single" w:color="auto" w:sz="4" w:space="0"/>
              <w:left w:val="single" w:color="auto" w:sz="4" w:space="0"/>
              <w:bottom w:val="single" w:color="auto" w:sz="4" w:space="0"/>
              <w:right w:val="single" w:color="auto" w:sz="4" w:space="0"/>
            </w:tcBorders>
            <w:shd w:val="clear" w:color="auto" w:fill="FFFFFF"/>
            <w:vAlign w:val="center"/>
          </w:tcPr>
          <w:p w14:paraId="6E09286A">
            <w:pPr>
              <w:keepNext w:val="0"/>
              <w:keepLines w:val="0"/>
              <w:widowControl w:val="0"/>
              <w:suppressLineNumbers w:val="0"/>
              <w:spacing w:before="0" w:beforeAutospacing="0" w:after="0" w:afterAutospacing="0"/>
              <w:ind w:left="0" w:right="0"/>
              <w:jc w:val="center"/>
              <w:rPr>
                <w:rFonts w:hint="eastAsia" w:ascii="宋体" w:hAnsi="宋体" w:cs="宋体"/>
                <w:color w:val="auto"/>
                <w:shd w:val="clear" w:color="auto" w:fill="auto"/>
              </w:rPr>
            </w:pPr>
            <w:r>
              <w:rPr>
                <w:rFonts w:hint="eastAsia" w:ascii="宋体" w:hAnsi="宋体" w:eastAsia="宋体" w:cs="宋体"/>
                <w:color w:val="auto"/>
                <w:shd w:val="clear" w:color="auto" w:fill="auto"/>
              </w:rPr>
              <w:t>汇款金额</w:t>
            </w:r>
          </w:p>
        </w:tc>
        <w:tc>
          <w:tcPr>
            <w:tcW w:w="3289" w:type="dxa"/>
            <w:tcBorders>
              <w:top w:val="single" w:color="auto" w:sz="4" w:space="0"/>
              <w:left w:val="single" w:color="auto" w:sz="4" w:space="0"/>
              <w:bottom w:val="single" w:color="auto" w:sz="4" w:space="0"/>
              <w:right w:val="single" w:color="auto" w:sz="4" w:space="0"/>
            </w:tcBorders>
            <w:shd w:val="clear" w:color="auto" w:fill="FFFFFF"/>
            <w:vAlign w:val="center"/>
          </w:tcPr>
          <w:p w14:paraId="0423EF76">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5CB8BCFF">
            <w:pPr>
              <w:keepNext w:val="0"/>
              <w:keepLines w:val="0"/>
              <w:widowControl w:val="0"/>
              <w:suppressLineNumbers w:val="0"/>
              <w:spacing w:before="0" w:beforeAutospacing="0" w:after="0" w:afterAutospacing="0"/>
              <w:ind w:left="0" w:right="0"/>
              <w:jc w:val="center"/>
              <w:rPr>
                <w:rFonts w:hint="eastAsia" w:ascii="宋体" w:hAnsi="宋体" w:cs="宋体"/>
                <w:color w:val="auto"/>
                <w:shd w:val="clear" w:color="auto" w:fill="auto"/>
              </w:rPr>
            </w:pPr>
            <w:r>
              <w:rPr>
                <w:rFonts w:hint="eastAsia" w:ascii="宋体" w:hAnsi="宋体" w:eastAsia="宋体" w:cs="宋体"/>
                <w:color w:val="auto"/>
                <w:shd w:val="clear" w:color="auto" w:fill="auto"/>
              </w:rPr>
              <w:t>汇款时间</w:t>
            </w:r>
          </w:p>
        </w:tc>
        <w:tc>
          <w:tcPr>
            <w:tcW w:w="2353" w:type="dxa"/>
            <w:tcBorders>
              <w:top w:val="single" w:color="auto" w:sz="4" w:space="0"/>
              <w:left w:val="single" w:color="auto" w:sz="4" w:space="0"/>
              <w:bottom w:val="single" w:color="auto" w:sz="4" w:space="0"/>
              <w:right w:val="single" w:color="auto" w:sz="4" w:space="0"/>
            </w:tcBorders>
            <w:shd w:val="clear" w:color="auto" w:fill="FFFFFF"/>
            <w:vAlign w:val="center"/>
          </w:tcPr>
          <w:p w14:paraId="7FE622C7">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p>
        </w:tc>
      </w:tr>
      <w:tr w14:paraId="40D76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6D909918">
            <w:pPr>
              <w:keepNext w:val="0"/>
              <w:keepLines w:val="0"/>
              <w:widowControl w:val="0"/>
              <w:suppressLineNumbers w:val="0"/>
              <w:spacing w:before="0" w:beforeAutospacing="0" w:after="0" w:afterAutospacing="0"/>
              <w:ind w:left="0" w:right="0"/>
              <w:jc w:val="center"/>
              <w:rPr>
                <w:rFonts w:hint="eastAsia" w:ascii="宋体" w:hAnsi="宋体" w:cs="宋体"/>
                <w:color w:val="auto"/>
                <w:shd w:val="clear" w:color="auto" w:fill="auto"/>
              </w:rPr>
            </w:pPr>
            <w:r>
              <w:rPr>
                <w:rFonts w:hint="eastAsia" w:ascii="宋体" w:hAnsi="宋体" w:eastAsia="宋体" w:cs="宋体"/>
                <w:color w:val="auto"/>
                <w:shd w:val="clear" w:color="auto" w:fill="auto"/>
              </w:rPr>
              <w:t>附件</w:t>
            </w:r>
          </w:p>
        </w:tc>
        <w:tc>
          <w:tcPr>
            <w:tcW w:w="677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1594649C">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r>
              <w:rPr>
                <w:rFonts w:hint="eastAsia" w:ascii="宋体" w:hAnsi="宋体" w:eastAsia="宋体" w:cs="宋体"/>
                <w:color w:val="auto"/>
                <w:shd w:val="clear" w:color="auto" w:fill="auto"/>
              </w:rPr>
              <w:t>汇款凭证扫描件</w:t>
            </w:r>
          </w:p>
        </w:tc>
      </w:tr>
      <w:tr w14:paraId="61656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5FED12A4">
            <w:pPr>
              <w:rPr>
                <w:rFonts w:hint="default"/>
                <w:color w:val="auto"/>
                <w:sz w:val="20"/>
                <w:szCs w:val="20"/>
                <w:shd w:val="clear" w:color="auto" w:fill="auto"/>
              </w:rPr>
            </w:pPr>
          </w:p>
        </w:tc>
        <w:tc>
          <w:tcPr>
            <w:tcW w:w="677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17E6FD3B">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r>
              <w:rPr>
                <w:rFonts w:hint="eastAsia" w:ascii="宋体" w:hAnsi="宋体" w:eastAsia="宋体" w:cs="宋体"/>
                <w:color w:val="auto"/>
                <w:shd w:val="clear" w:color="auto" w:fill="auto"/>
              </w:rPr>
              <w:t>基本户开户许可证（基本存款账户信息）扫描件</w:t>
            </w:r>
          </w:p>
        </w:tc>
      </w:tr>
      <w:tr w14:paraId="25295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17516F3F">
            <w:pPr>
              <w:rPr>
                <w:rFonts w:hint="default"/>
                <w:color w:val="auto"/>
                <w:sz w:val="20"/>
                <w:szCs w:val="20"/>
                <w:shd w:val="clear" w:color="auto" w:fill="auto"/>
              </w:rPr>
            </w:pPr>
          </w:p>
        </w:tc>
        <w:tc>
          <w:tcPr>
            <w:tcW w:w="677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762D52EC">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r>
              <w:rPr>
                <w:rFonts w:hint="eastAsia" w:ascii="宋体" w:hAnsi="宋体" w:eastAsia="宋体" w:cs="宋体"/>
                <w:color w:val="auto"/>
                <w:shd w:val="clear" w:color="auto" w:fill="auto"/>
              </w:rPr>
              <w:t>其他材料（如有）</w:t>
            </w:r>
          </w:p>
        </w:tc>
      </w:tr>
    </w:tbl>
    <w:p w14:paraId="65D01B05">
      <w:pPr>
        <w:keepNext w:val="0"/>
        <w:keepLines w:val="0"/>
        <w:widowControl w:val="0"/>
        <w:suppressLineNumbers w:val="0"/>
        <w:autoSpaceDE w:val="0"/>
        <w:autoSpaceDN w:val="0"/>
        <w:adjustRightInd w:val="0"/>
        <w:spacing w:before="0" w:beforeAutospacing="0" w:after="0" w:afterAutospacing="0" w:line="360" w:lineRule="auto"/>
        <w:ind w:left="0" w:right="0" w:firstLine="400" w:firstLineChars="200"/>
        <w:jc w:val="both"/>
        <w:rPr>
          <w:rFonts w:hint="eastAsia" w:ascii="宋体" w:hAnsi="宋体" w:cs="宋体"/>
          <w:color w:val="auto"/>
          <w:sz w:val="20"/>
          <w:shd w:val="clear" w:color="auto" w:fill="auto"/>
        </w:rPr>
      </w:pPr>
    </w:p>
    <w:p w14:paraId="358533C9">
      <w:pPr>
        <w:keepNext w:val="0"/>
        <w:keepLines w:val="0"/>
        <w:widowControl w:val="0"/>
        <w:suppressLineNumbers w:val="0"/>
        <w:spacing w:before="0" w:beforeAutospacing="0" w:after="0" w:afterAutospacing="0" w:line="400" w:lineRule="atLeast"/>
        <w:ind w:left="0" w:right="0" w:firstLine="390"/>
        <w:jc w:val="both"/>
        <w:rPr>
          <w:rFonts w:hint="eastAsia" w:ascii="宋体" w:hAnsi="宋体" w:cs="宋体"/>
          <w:b/>
          <w:bCs/>
          <w:color w:val="auto"/>
          <w:shd w:val="clear" w:color="auto" w:fill="auto"/>
        </w:rPr>
      </w:pPr>
      <w:r>
        <w:rPr>
          <w:rFonts w:hint="eastAsia" w:ascii="宋体" w:hAnsi="宋体" w:eastAsia="宋体" w:cs="宋体"/>
          <w:b/>
          <w:bCs/>
          <w:color w:val="auto"/>
          <w:kern w:val="2"/>
          <w:sz w:val="21"/>
          <w:szCs w:val="21"/>
          <w:shd w:val="clear" w:color="auto" w:fill="auto"/>
          <w:lang w:val="en-US" w:eastAsia="zh-CN" w:bidi="ar"/>
        </w:rPr>
        <w:t>（二）若采用辽宁省工程建设项目电子保函保险基础服务平台</w:t>
      </w:r>
      <w:bookmarkStart w:id="2004" w:name="_Hlk150859078"/>
      <w:r>
        <w:rPr>
          <w:rFonts w:hint="eastAsia" w:ascii="宋体" w:hAnsi="宋体" w:eastAsia="宋体" w:cs="宋体"/>
          <w:b/>
          <w:bCs/>
          <w:color w:val="auto"/>
          <w:kern w:val="2"/>
          <w:sz w:val="21"/>
          <w:szCs w:val="21"/>
          <w:shd w:val="clear" w:color="auto" w:fill="auto"/>
          <w:lang w:val="en-US" w:eastAsia="zh-CN" w:bidi="ar"/>
        </w:rPr>
        <w:t>（包含辽宁省建设工程领域电子保函保险基础公共服务平台及跨地区、跨行业自由服务试点的金融平台或金融机构）</w:t>
      </w:r>
      <w:bookmarkEnd w:id="2004"/>
      <w:r>
        <w:rPr>
          <w:rFonts w:hint="eastAsia" w:ascii="宋体" w:hAnsi="宋体" w:eastAsia="宋体" w:cs="宋体"/>
          <w:b/>
          <w:bCs/>
          <w:color w:val="auto"/>
          <w:kern w:val="2"/>
          <w:sz w:val="21"/>
          <w:szCs w:val="21"/>
          <w:shd w:val="clear" w:color="auto" w:fill="auto"/>
          <w:lang w:val="en-US" w:eastAsia="zh-CN" w:bidi="ar"/>
        </w:rPr>
        <w:t>电子保函，投标人应填写以下表格信息。</w:t>
      </w:r>
    </w:p>
    <w:tbl>
      <w:tblPr>
        <w:tblStyle w:val="18"/>
        <w:tblW w:w="8104"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546"/>
        <w:gridCol w:w="3062"/>
        <w:gridCol w:w="1227"/>
        <w:gridCol w:w="2269"/>
      </w:tblGrid>
      <w:tr w14:paraId="25166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7" w:hRule="atLeast"/>
        </w:trPr>
        <w:tc>
          <w:tcPr>
            <w:tcW w:w="810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710F364F">
            <w:pPr>
              <w:keepNext w:val="0"/>
              <w:keepLines w:val="0"/>
              <w:widowControl w:val="0"/>
              <w:suppressLineNumbers w:val="0"/>
              <w:spacing w:before="0" w:beforeAutospacing="0" w:after="0" w:afterAutospacing="0"/>
              <w:ind w:left="0" w:right="0"/>
              <w:jc w:val="center"/>
              <w:rPr>
                <w:rFonts w:hint="eastAsia" w:ascii="宋体" w:hAnsi="宋体" w:cs="宋体"/>
                <w:b/>
                <w:bCs w:val="0"/>
                <w:color w:val="auto"/>
                <w:shd w:val="clear" w:color="auto" w:fill="auto"/>
              </w:rPr>
            </w:pPr>
            <w:r>
              <w:rPr>
                <w:rFonts w:hint="eastAsia" w:ascii="宋体" w:hAnsi="宋体" w:eastAsia="宋体" w:cs="宋体"/>
                <w:b/>
                <w:bCs/>
                <w:color w:val="auto"/>
                <w:szCs w:val="21"/>
                <w:shd w:val="clear" w:color="auto" w:fill="auto"/>
              </w:rPr>
              <w:t>辽宁省工程建设项目电子保函保险基础服务平台</w:t>
            </w:r>
            <w:r>
              <w:rPr>
                <w:rFonts w:hint="eastAsia" w:ascii="宋体" w:hAnsi="宋体" w:eastAsia="宋体" w:cs="宋体"/>
                <w:b/>
                <w:bCs w:val="0"/>
                <w:color w:val="auto"/>
                <w:shd w:val="clear" w:color="auto" w:fill="auto"/>
              </w:rPr>
              <w:t>保函信息</w:t>
            </w:r>
          </w:p>
        </w:tc>
      </w:tr>
      <w:tr w14:paraId="5D07A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1546" w:type="dxa"/>
            <w:tcBorders>
              <w:top w:val="single" w:color="auto" w:sz="4" w:space="0"/>
              <w:left w:val="single" w:color="auto" w:sz="4" w:space="0"/>
              <w:bottom w:val="single" w:color="auto" w:sz="4" w:space="0"/>
              <w:right w:val="single" w:color="auto" w:sz="4" w:space="0"/>
            </w:tcBorders>
            <w:shd w:val="clear" w:color="auto" w:fill="auto"/>
            <w:vAlign w:val="center"/>
          </w:tcPr>
          <w:p w14:paraId="3A38D60E">
            <w:pPr>
              <w:keepNext w:val="0"/>
              <w:keepLines w:val="0"/>
              <w:widowControl w:val="0"/>
              <w:suppressLineNumbers w:val="0"/>
              <w:spacing w:before="0" w:beforeAutospacing="0" w:after="0" w:afterAutospacing="0"/>
              <w:ind w:left="0" w:right="0"/>
              <w:jc w:val="center"/>
              <w:rPr>
                <w:rFonts w:hint="eastAsia" w:ascii="宋体" w:hAnsi="宋体" w:cs="宋体"/>
                <w:color w:val="auto"/>
                <w:shd w:val="clear" w:color="auto" w:fill="auto"/>
              </w:rPr>
            </w:pPr>
            <w:r>
              <w:rPr>
                <w:rFonts w:hint="eastAsia" w:ascii="宋体" w:hAnsi="宋体" w:eastAsia="宋体" w:cs="宋体"/>
                <w:color w:val="auto"/>
                <w:shd w:val="clear" w:color="auto" w:fill="auto"/>
              </w:rPr>
              <w:t>保函编号</w:t>
            </w:r>
          </w:p>
        </w:tc>
        <w:tc>
          <w:tcPr>
            <w:tcW w:w="65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5AA4F70">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p>
        </w:tc>
      </w:tr>
      <w:tr w14:paraId="71DE5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1546" w:type="dxa"/>
            <w:tcBorders>
              <w:top w:val="single" w:color="auto" w:sz="4" w:space="0"/>
              <w:left w:val="single" w:color="auto" w:sz="4" w:space="0"/>
              <w:bottom w:val="single" w:color="auto" w:sz="4" w:space="0"/>
              <w:right w:val="single" w:color="auto" w:sz="4" w:space="0"/>
            </w:tcBorders>
            <w:shd w:val="clear" w:color="auto" w:fill="auto"/>
            <w:vAlign w:val="center"/>
          </w:tcPr>
          <w:p w14:paraId="7E0AF2EA">
            <w:pPr>
              <w:keepNext w:val="0"/>
              <w:keepLines w:val="0"/>
              <w:widowControl w:val="0"/>
              <w:suppressLineNumbers w:val="0"/>
              <w:spacing w:before="0" w:beforeAutospacing="0" w:after="0" w:afterAutospacing="0"/>
              <w:ind w:left="0" w:right="0"/>
              <w:jc w:val="center"/>
              <w:rPr>
                <w:rFonts w:hint="eastAsia" w:ascii="宋体" w:hAnsi="宋体" w:cs="宋体"/>
                <w:color w:val="auto"/>
                <w:shd w:val="clear" w:color="auto" w:fill="auto"/>
              </w:rPr>
            </w:pPr>
            <w:r>
              <w:rPr>
                <w:rFonts w:hint="eastAsia" w:ascii="宋体" w:hAnsi="宋体" w:eastAsia="宋体" w:cs="宋体"/>
                <w:color w:val="auto"/>
                <w:shd w:val="clear" w:color="auto" w:fill="auto"/>
              </w:rPr>
              <w:t>缴费账户名称</w:t>
            </w:r>
          </w:p>
        </w:tc>
        <w:tc>
          <w:tcPr>
            <w:tcW w:w="3063" w:type="dxa"/>
            <w:tcBorders>
              <w:top w:val="single" w:color="auto" w:sz="4" w:space="0"/>
              <w:left w:val="single" w:color="auto" w:sz="4" w:space="0"/>
              <w:bottom w:val="single" w:color="auto" w:sz="4" w:space="0"/>
              <w:right w:val="single" w:color="auto" w:sz="4" w:space="0"/>
            </w:tcBorders>
            <w:shd w:val="clear" w:color="auto" w:fill="auto"/>
            <w:vAlign w:val="center"/>
          </w:tcPr>
          <w:p w14:paraId="4AC610D8">
            <w:pPr>
              <w:keepNext w:val="0"/>
              <w:keepLines w:val="0"/>
              <w:widowControl w:val="0"/>
              <w:suppressLineNumbers w:val="0"/>
              <w:spacing w:before="0" w:beforeAutospacing="0" w:after="0" w:afterAutospacing="0"/>
              <w:ind w:left="0" w:right="0"/>
              <w:jc w:val="center"/>
              <w:rPr>
                <w:rFonts w:hint="eastAsia" w:ascii="宋体" w:hAnsi="宋体" w:cs="宋体"/>
                <w:color w:val="auto"/>
                <w:shd w:val="clear" w:color="auto" w:fill="auto"/>
              </w:rPr>
            </w:pPr>
          </w:p>
        </w:tc>
        <w:tc>
          <w:tcPr>
            <w:tcW w:w="1227" w:type="dxa"/>
            <w:tcBorders>
              <w:top w:val="single" w:color="auto" w:sz="4" w:space="0"/>
              <w:left w:val="single" w:color="auto" w:sz="4" w:space="0"/>
              <w:bottom w:val="single" w:color="auto" w:sz="4" w:space="0"/>
              <w:right w:val="single" w:color="auto" w:sz="4" w:space="0"/>
            </w:tcBorders>
            <w:shd w:val="clear" w:color="auto" w:fill="auto"/>
            <w:vAlign w:val="center"/>
          </w:tcPr>
          <w:p w14:paraId="405B08AA">
            <w:pPr>
              <w:keepNext w:val="0"/>
              <w:keepLines w:val="0"/>
              <w:widowControl w:val="0"/>
              <w:suppressLineNumbers w:val="0"/>
              <w:spacing w:before="0" w:beforeAutospacing="0" w:after="0" w:afterAutospacing="0"/>
              <w:ind w:left="0" w:right="0"/>
              <w:jc w:val="center"/>
              <w:rPr>
                <w:rFonts w:hint="eastAsia" w:ascii="宋体" w:hAnsi="宋体" w:cs="宋体"/>
                <w:color w:val="auto"/>
                <w:shd w:val="clear" w:color="auto" w:fill="auto"/>
              </w:rPr>
            </w:pPr>
            <w:r>
              <w:rPr>
                <w:rFonts w:hint="eastAsia" w:ascii="宋体" w:hAnsi="宋体" w:eastAsia="宋体" w:cs="宋体"/>
                <w:color w:val="auto"/>
                <w:shd w:val="clear" w:color="auto" w:fill="auto"/>
              </w:rPr>
              <w:t>缴费账号</w:t>
            </w:r>
          </w:p>
        </w:tc>
        <w:tc>
          <w:tcPr>
            <w:tcW w:w="2270" w:type="dxa"/>
            <w:tcBorders>
              <w:top w:val="single" w:color="auto" w:sz="4" w:space="0"/>
              <w:left w:val="single" w:color="auto" w:sz="4" w:space="0"/>
              <w:bottom w:val="single" w:color="auto" w:sz="4" w:space="0"/>
              <w:right w:val="single" w:color="auto" w:sz="4" w:space="0"/>
            </w:tcBorders>
            <w:shd w:val="clear" w:color="auto" w:fill="auto"/>
            <w:vAlign w:val="center"/>
          </w:tcPr>
          <w:p w14:paraId="2101AE35">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p>
        </w:tc>
      </w:tr>
      <w:tr w14:paraId="14857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154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F8D1B85">
            <w:pPr>
              <w:keepNext w:val="0"/>
              <w:keepLines w:val="0"/>
              <w:widowControl w:val="0"/>
              <w:suppressLineNumbers w:val="0"/>
              <w:spacing w:before="0" w:beforeAutospacing="0" w:after="0" w:afterAutospacing="0"/>
              <w:ind w:left="0" w:right="0"/>
              <w:jc w:val="center"/>
              <w:rPr>
                <w:rFonts w:hint="eastAsia" w:ascii="宋体" w:hAnsi="宋体" w:cs="宋体"/>
                <w:color w:val="auto"/>
                <w:shd w:val="clear" w:color="auto" w:fill="auto"/>
              </w:rPr>
            </w:pPr>
            <w:r>
              <w:rPr>
                <w:rFonts w:hint="eastAsia" w:ascii="宋体" w:hAnsi="宋体" w:eastAsia="宋体" w:cs="宋体"/>
                <w:color w:val="auto"/>
                <w:shd w:val="clear" w:color="auto" w:fill="auto"/>
              </w:rPr>
              <w:t>附件</w:t>
            </w:r>
          </w:p>
        </w:tc>
        <w:tc>
          <w:tcPr>
            <w:tcW w:w="65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A40C4DF">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r>
              <w:rPr>
                <w:rFonts w:hint="eastAsia" w:ascii="宋体" w:hAnsi="宋体" w:eastAsia="宋体" w:cs="宋体"/>
                <w:color w:val="auto"/>
                <w:shd w:val="clear" w:color="auto" w:fill="auto"/>
              </w:rPr>
              <w:t>电子保函扫描件（含验真材料）</w:t>
            </w:r>
          </w:p>
        </w:tc>
      </w:tr>
      <w:tr w14:paraId="4CE6B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154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778DAF8">
            <w:pPr>
              <w:rPr>
                <w:rFonts w:hint="default"/>
                <w:color w:val="auto"/>
                <w:sz w:val="20"/>
                <w:szCs w:val="20"/>
                <w:shd w:val="clear" w:color="auto" w:fill="auto"/>
              </w:rPr>
            </w:pPr>
          </w:p>
        </w:tc>
        <w:tc>
          <w:tcPr>
            <w:tcW w:w="65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0BAF9AE">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r>
              <w:rPr>
                <w:rFonts w:hint="eastAsia" w:ascii="宋体" w:hAnsi="宋体" w:eastAsia="宋体" w:cs="宋体"/>
                <w:color w:val="auto"/>
                <w:shd w:val="clear" w:color="auto" w:fill="auto"/>
              </w:rPr>
              <w:t>缴费凭证扫描件</w:t>
            </w:r>
          </w:p>
        </w:tc>
      </w:tr>
      <w:tr w14:paraId="392EE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trPr>
        <w:tc>
          <w:tcPr>
            <w:tcW w:w="154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9CF85F6">
            <w:pPr>
              <w:rPr>
                <w:rFonts w:hint="default"/>
                <w:color w:val="auto"/>
                <w:sz w:val="20"/>
                <w:szCs w:val="20"/>
                <w:shd w:val="clear" w:color="auto" w:fill="auto"/>
              </w:rPr>
            </w:pPr>
          </w:p>
        </w:tc>
        <w:tc>
          <w:tcPr>
            <w:tcW w:w="65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E7772C8">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r>
              <w:rPr>
                <w:rFonts w:hint="eastAsia" w:ascii="宋体" w:hAnsi="宋体" w:eastAsia="宋体" w:cs="宋体"/>
                <w:color w:val="auto"/>
                <w:shd w:val="clear" w:color="auto" w:fill="auto"/>
              </w:rPr>
              <w:t>其他材料（如有）</w:t>
            </w:r>
          </w:p>
        </w:tc>
      </w:tr>
    </w:tbl>
    <w:p w14:paraId="098D1325">
      <w:pPr>
        <w:keepNext w:val="0"/>
        <w:keepLines w:val="0"/>
        <w:widowControl w:val="0"/>
        <w:suppressLineNumbers w:val="0"/>
        <w:spacing w:before="0" w:beforeAutospacing="0" w:after="0" w:afterAutospacing="0" w:line="400" w:lineRule="atLeast"/>
        <w:ind w:left="0" w:right="0" w:firstLine="390"/>
        <w:jc w:val="both"/>
        <w:rPr>
          <w:rFonts w:hint="eastAsia" w:ascii="宋体" w:hAnsi="宋体" w:cs="宋体"/>
          <w:color w:val="auto"/>
          <w:szCs w:val="21"/>
          <w:shd w:val="clear" w:color="auto" w:fill="auto"/>
        </w:rPr>
      </w:pPr>
    </w:p>
    <w:p w14:paraId="603AC2E7">
      <w:pPr>
        <w:keepNext w:val="0"/>
        <w:keepLines w:val="0"/>
        <w:widowControl w:val="0"/>
        <w:suppressLineNumbers w:val="0"/>
        <w:spacing w:before="0" w:beforeAutospacing="0" w:after="0" w:afterAutospacing="0" w:line="400" w:lineRule="atLeast"/>
        <w:ind w:left="0" w:right="0" w:firstLine="390"/>
        <w:jc w:val="both"/>
        <w:rPr>
          <w:rFonts w:hint="eastAsia" w:ascii="宋体" w:hAnsi="宋体" w:cs="宋体"/>
          <w:b/>
          <w:bCs/>
          <w:color w:val="auto"/>
          <w:shd w:val="clear" w:color="auto" w:fill="auto"/>
        </w:rPr>
      </w:pPr>
      <w:r>
        <w:rPr>
          <w:rFonts w:hint="eastAsia" w:ascii="宋体" w:hAnsi="宋体" w:eastAsia="宋体" w:cs="宋体"/>
          <w:b/>
          <w:bCs/>
          <w:color w:val="auto"/>
          <w:kern w:val="2"/>
          <w:sz w:val="21"/>
          <w:szCs w:val="21"/>
          <w:shd w:val="clear" w:color="auto" w:fill="auto"/>
          <w:lang w:val="en-US" w:eastAsia="zh-CN" w:bidi="ar"/>
        </w:rPr>
        <w:t>（三）若采用纸质保函或其他平台电子保函，投标人应填写以下表格信息，并提供相关材料扫描件信息。</w:t>
      </w:r>
    </w:p>
    <w:tbl>
      <w:tblPr>
        <w:tblStyle w:val="18"/>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1583"/>
        <w:gridCol w:w="2870"/>
        <w:gridCol w:w="1525"/>
        <w:gridCol w:w="2211"/>
      </w:tblGrid>
      <w:tr w14:paraId="4704C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8189"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6BF8BA96">
            <w:pPr>
              <w:keepNext w:val="0"/>
              <w:keepLines w:val="0"/>
              <w:widowControl w:val="0"/>
              <w:suppressLineNumbers w:val="0"/>
              <w:spacing w:before="0" w:beforeAutospacing="0" w:after="0" w:afterAutospacing="0"/>
              <w:ind w:left="0" w:right="0"/>
              <w:jc w:val="center"/>
              <w:rPr>
                <w:rFonts w:hint="eastAsia" w:ascii="宋体" w:hAnsi="宋体" w:cs="宋体"/>
                <w:b/>
                <w:bCs w:val="0"/>
                <w:color w:val="auto"/>
                <w:shd w:val="clear" w:color="auto" w:fill="auto"/>
              </w:rPr>
            </w:pPr>
            <w:r>
              <w:rPr>
                <w:rFonts w:hint="eastAsia" w:ascii="宋体" w:hAnsi="宋体" w:eastAsia="宋体" w:cs="宋体"/>
                <w:b/>
                <w:bCs w:val="0"/>
                <w:color w:val="auto"/>
                <w:shd w:val="clear" w:color="auto" w:fill="auto"/>
              </w:rPr>
              <w:t>非</w:t>
            </w:r>
            <w:r>
              <w:rPr>
                <w:rFonts w:hint="eastAsia" w:ascii="宋体" w:hAnsi="宋体" w:eastAsia="宋体" w:cs="宋体"/>
                <w:b/>
                <w:bCs/>
                <w:color w:val="auto"/>
                <w:szCs w:val="21"/>
                <w:shd w:val="clear" w:color="auto" w:fill="auto"/>
              </w:rPr>
              <w:t>辽宁省工程建设项目电子保函保险基础服务平台电子保函</w:t>
            </w:r>
            <w:r>
              <w:rPr>
                <w:rFonts w:hint="eastAsia" w:ascii="宋体" w:hAnsi="宋体" w:eastAsia="宋体" w:cs="宋体"/>
                <w:b/>
                <w:bCs w:val="0"/>
                <w:color w:val="auto"/>
                <w:shd w:val="clear" w:color="auto" w:fill="auto"/>
              </w:rPr>
              <w:t>或纸质保函信息</w:t>
            </w:r>
          </w:p>
        </w:tc>
      </w:tr>
      <w:tr w14:paraId="22A8D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tcBorders>
              <w:top w:val="single" w:color="auto" w:sz="4" w:space="0"/>
              <w:left w:val="single" w:color="auto" w:sz="4" w:space="0"/>
              <w:bottom w:val="single" w:color="auto" w:sz="4" w:space="0"/>
              <w:right w:val="single" w:color="auto" w:sz="4" w:space="0"/>
            </w:tcBorders>
            <w:shd w:val="clear" w:color="auto" w:fill="FFFFFF"/>
            <w:vAlign w:val="center"/>
          </w:tcPr>
          <w:p w14:paraId="3A12B79D">
            <w:pPr>
              <w:keepNext w:val="0"/>
              <w:keepLines w:val="0"/>
              <w:widowControl w:val="0"/>
              <w:suppressLineNumbers w:val="0"/>
              <w:spacing w:before="0" w:beforeAutospacing="0" w:after="0" w:afterAutospacing="0"/>
              <w:ind w:left="0" w:right="0"/>
              <w:jc w:val="center"/>
              <w:rPr>
                <w:rFonts w:hint="eastAsia" w:ascii="宋体" w:hAnsi="宋体" w:cs="宋体"/>
                <w:color w:val="auto"/>
                <w:shd w:val="clear" w:color="auto" w:fill="auto"/>
              </w:rPr>
            </w:pPr>
            <w:r>
              <w:rPr>
                <w:rFonts w:hint="eastAsia" w:ascii="宋体" w:hAnsi="宋体" w:eastAsia="宋体" w:cs="宋体"/>
                <w:color w:val="auto"/>
                <w:shd w:val="clear" w:color="auto" w:fill="auto"/>
              </w:rPr>
              <w:t>保函承保单位</w:t>
            </w:r>
          </w:p>
        </w:tc>
        <w:tc>
          <w:tcPr>
            <w:tcW w:w="2870" w:type="dxa"/>
            <w:tcBorders>
              <w:top w:val="single" w:color="auto" w:sz="4" w:space="0"/>
              <w:left w:val="single" w:color="auto" w:sz="4" w:space="0"/>
              <w:bottom w:val="single" w:color="auto" w:sz="4" w:space="0"/>
              <w:right w:val="single" w:color="auto" w:sz="4" w:space="0"/>
            </w:tcBorders>
            <w:shd w:val="clear" w:color="auto" w:fill="FFFFFF"/>
            <w:vAlign w:val="center"/>
          </w:tcPr>
          <w:p w14:paraId="4EBAB1CE">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p>
        </w:tc>
        <w:tc>
          <w:tcPr>
            <w:tcW w:w="1525" w:type="dxa"/>
            <w:tcBorders>
              <w:top w:val="single" w:color="auto" w:sz="4" w:space="0"/>
              <w:left w:val="single" w:color="auto" w:sz="4" w:space="0"/>
              <w:bottom w:val="single" w:color="auto" w:sz="4" w:space="0"/>
              <w:right w:val="single" w:color="auto" w:sz="4" w:space="0"/>
            </w:tcBorders>
            <w:shd w:val="clear" w:color="auto" w:fill="FFFFFF"/>
            <w:vAlign w:val="center"/>
          </w:tcPr>
          <w:p w14:paraId="208244EF">
            <w:pPr>
              <w:keepNext w:val="0"/>
              <w:keepLines w:val="0"/>
              <w:widowControl w:val="0"/>
              <w:suppressLineNumbers w:val="0"/>
              <w:spacing w:before="0" w:beforeAutospacing="0" w:after="0" w:afterAutospacing="0"/>
              <w:ind w:left="0" w:right="0"/>
              <w:jc w:val="center"/>
              <w:rPr>
                <w:rFonts w:hint="eastAsia" w:ascii="宋体" w:hAnsi="宋体" w:cs="宋体"/>
                <w:color w:val="auto"/>
                <w:shd w:val="clear" w:color="auto" w:fill="auto"/>
              </w:rPr>
            </w:pPr>
            <w:r>
              <w:rPr>
                <w:rFonts w:hint="eastAsia" w:ascii="宋体" w:hAnsi="宋体" w:eastAsia="宋体" w:cs="宋体"/>
                <w:color w:val="auto"/>
                <w:shd w:val="clear" w:color="auto" w:fill="auto"/>
              </w:rPr>
              <w:t>保函额度</w:t>
            </w:r>
          </w:p>
        </w:tc>
        <w:tc>
          <w:tcPr>
            <w:tcW w:w="2211" w:type="dxa"/>
            <w:tcBorders>
              <w:top w:val="single" w:color="auto" w:sz="4" w:space="0"/>
              <w:left w:val="single" w:color="auto" w:sz="4" w:space="0"/>
              <w:bottom w:val="single" w:color="auto" w:sz="4" w:space="0"/>
              <w:right w:val="single" w:color="auto" w:sz="4" w:space="0"/>
            </w:tcBorders>
            <w:shd w:val="clear" w:color="auto" w:fill="FFFFFF"/>
            <w:vAlign w:val="center"/>
          </w:tcPr>
          <w:p w14:paraId="31813A18">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p>
        </w:tc>
      </w:tr>
      <w:tr w14:paraId="4137A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tcBorders>
              <w:top w:val="single" w:color="auto" w:sz="4" w:space="0"/>
              <w:left w:val="single" w:color="auto" w:sz="4" w:space="0"/>
              <w:bottom w:val="single" w:color="auto" w:sz="4" w:space="0"/>
              <w:right w:val="single" w:color="auto" w:sz="4" w:space="0"/>
            </w:tcBorders>
            <w:shd w:val="clear" w:color="auto" w:fill="FFFFFF"/>
            <w:vAlign w:val="center"/>
          </w:tcPr>
          <w:p w14:paraId="5A3D3631">
            <w:pPr>
              <w:keepNext w:val="0"/>
              <w:keepLines w:val="0"/>
              <w:widowControl w:val="0"/>
              <w:suppressLineNumbers w:val="0"/>
              <w:spacing w:before="0" w:beforeAutospacing="0" w:after="0" w:afterAutospacing="0"/>
              <w:ind w:left="0" w:right="0"/>
              <w:jc w:val="center"/>
              <w:rPr>
                <w:rFonts w:hint="eastAsia" w:ascii="宋体" w:hAnsi="宋体" w:cs="宋体"/>
                <w:color w:val="auto"/>
                <w:shd w:val="clear" w:color="auto" w:fill="auto"/>
              </w:rPr>
            </w:pPr>
            <w:r>
              <w:rPr>
                <w:rFonts w:hint="eastAsia" w:ascii="宋体" w:hAnsi="宋体" w:eastAsia="宋体" w:cs="宋体"/>
                <w:color w:val="auto"/>
                <w:shd w:val="clear" w:color="auto" w:fill="auto"/>
              </w:rPr>
              <w:t>缴费账户名称</w:t>
            </w:r>
          </w:p>
        </w:tc>
        <w:tc>
          <w:tcPr>
            <w:tcW w:w="2870" w:type="dxa"/>
            <w:tcBorders>
              <w:top w:val="single" w:color="auto" w:sz="4" w:space="0"/>
              <w:left w:val="single" w:color="auto" w:sz="4" w:space="0"/>
              <w:bottom w:val="single" w:color="auto" w:sz="4" w:space="0"/>
              <w:right w:val="single" w:color="auto" w:sz="4" w:space="0"/>
            </w:tcBorders>
            <w:shd w:val="clear" w:color="auto" w:fill="FFFFFF"/>
            <w:vAlign w:val="center"/>
          </w:tcPr>
          <w:p w14:paraId="22A848BA">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p>
        </w:tc>
        <w:tc>
          <w:tcPr>
            <w:tcW w:w="1525" w:type="dxa"/>
            <w:tcBorders>
              <w:top w:val="single" w:color="auto" w:sz="4" w:space="0"/>
              <w:left w:val="single" w:color="auto" w:sz="4" w:space="0"/>
              <w:bottom w:val="single" w:color="auto" w:sz="4" w:space="0"/>
              <w:right w:val="single" w:color="auto" w:sz="4" w:space="0"/>
            </w:tcBorders>
            <w:shd w:val="clear" w:color="auto" w:fill="FFFFFF"/>
            <w:vAlign w:val="center"/>
          </w:tcPr>
          <w:p w14:paraId="65B76592">
            <w:pPr>
              <w:keepNext w:val="0"/>
              <w:keepLines w:val="0"/>
              <w:widowControl w:val="0"/>
              <w:suppressLineNumbers w:val="0"/>
              <w:spacing w:before="0" w:beforeAutospacing="0" w:after="0" w:afterAutospacing="0"/>
              <w:ind w:left="0" w:right="0"/>
              <w:jc w:val="center"/>
              <w:rPr>
                <w:rFonts w:hint="eastAsia" w:ascii="宋体" w:hAnsi="宋体" w:cs="宋体"/>
                <w:color w:val="auto"/>
                <w:shd w:val="clear" w:color="auto" w:fill="auto"/>
              </w:rPr>
            </w:pPr>
            <w:r>
              <w:rPr>
                <w:rFonts w:hint="eastAsia" w:ascii="宋体" w:hAnsi="宋体" w:eastAsia="宋体" w:cs="宋体"/>
                <w:color w:val="auto"/>
                <w:shd w:val="clear" w:color="auto" w:fill="auto"/>
              </w:rPr>
              <w:t>保函办理时间</w:t>
            </w:r>
          </w:p>
        </w:tc>
        <w:tc>
          <w:tcPr>
            <w:tcW w:w="2211" w:type="dxa"/>
            <w:tcBorders>
              <w:top w:val="single" w:color="auto" w:sz="4" w:space="0"/>
              <w:left w:val="single" w:color="auto" w:sz="4" w:space="0"/>
              <w:bottom w:val="single" w:color="auto" w:sz="4" w:space="0"/>
              <w:right w:val="single" w:color="auto" w:sz="4" w:space="0"/>
            </w:tcBorders>
            <w:shd w:val="clear" w:color="auto" w:fill="FFFFFF"/>
            <w:vAlign w:val="center"/>
          </w:tcPr>
          <w:p w14:paraId="606F554F">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p>
        </w:tc>
      </w:tr>
      <w:tr w14:paraId="0D275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tcBorders>
              <w:top w:val="single" w:color="auto" w:sz="4" w:space="0"/>
              <w:left w:val="single" w:color="auto" w:sz="4" w:space="0"/>
              <w:bottom w:val="single" w:color="auto" w:sz="4" w:space="0"/>
              <w:right w:val="single" w:color="auto" w:sz="4" w:space="0"/>
            </w:tcBorders>
            <w:shd w:val="clear" w:color="auto" w:fill="FFFFFF"/>
            <w:vAlign w:val="center"/>
          </w:tcPr>
          <w:p w14:paraId="132A507F">
            <w:pPr>
              <w:keepNext w:val="0"/>
              <w:keepLines w:val="0"/>
              <w:widowControl w:val="0"/>
              <w:suppressLineNumbers w:val="0"/>
              <w:spacing w:before="0" w:beforeAutospacing="0" w:after="0" w:afterAutospacing="0"/>
              <w:ind w:left="0" w:right="0"/>
              <w:jc w:val="center"/>
              <w:rPr>
                <w:rFonts w:hint="eastAsia" w:ascii="宋体" w:hAnsi="宋体" w:cs="宋体"/>
                <w:color w:val="auto"/>
                <w:shd w:val="clear" w:color="auto" w:fill="auto"/>
              </w:rPr>
            </w:pPr>
            <w:r>
              <w:rPr>
                <w:rFonts w:hint="eastAsia" w:ascii="宋体" w:hAnsi="宋体" w:eastAsia="宋体" w:cs="宋体"/>
                <w:color w:val="auto"/>
                <w:shd w:val="clear" w:color="auto" w:fill="auto"/>
              </w:rPr>
              <w:t>缴费账号</w:t>
            </w:r>
          </w:p>
        </w:tc>
        <w:tc>
          <w:tcPr>
            <w:tcW w:w="2870" w:type="dxa"/>
            <w:tcBorders>
              <w:top w:val="single" w:color="auto" w:sz="4" w:space="0"/>
              <w:left w:val="single" w:color="auto" w:sz="4" w:space="0"/>
              <w:bottom w:val="single" w:color="auto" w:sz="4" w:space="0"/>
              <w:right w:val="single" w:color="auto" w:sz="4" w:space="0"/>
            </w:tcBorders>
            <w:shd w:val="clear" w:color="auto" w:fill="FFFFFF"/>
            <w:vAlign w:val="center"/>
          </w:tcPr>
          <w:p w14:paraId="3F6ADCE7">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p>
        </w:tc>
        <w:tc>
          <w:tcPr>
            <w:tcW w:w="1525" w:type="dxa"/>
            <w:tcBorders>
              <w:top w:val="single" w:color="auto" w:sz="4" w:space="0"/>
              <w:left w:val="single" w:color="auto" w:sz="4" w:space="0"/>
              <w:bottom w:val="single" w:color="auto" w:sz="4" w:space="0"/>
              <w:right w:val="single" w:color="auto" w:sz="4" w:space="0"/>
            </w:tcBorders>
            <w:shd w:val="clear" w:color="auto" w:fill="FFFFFF"/>
            <w:vAlign w:val="center"/>
          </w:tcPr>
          <w:p w14:paraId="386F0F36">
            <w:pPr>
              <w:keepNext w:val="0"/>
              <w:keepLines w:val="0"/>
              <w:widowControl w:val="0"/>
              <w:suppressLineNumbers w:val="0"/>
              <w:spacing w:before="0" w:beforeAutospacing="0" w:after="0" w:afterAutospacing="0"/>
              <w:ind w:left="0" w:right="0"/>
              <w:jc w:val="center"/>
              <w:rPr>
                <w:rFonts w:hint="eastAsia" w:ascii="宋体" w:hAnsi="宋体" w:cs="宋体"/>
                <w:color w:val="auto"/>
                <w:shd w:val="clear" w:color="auto" w:fill="auto"/>
              </w:rPr>
            </w:pPr>
            <w:r>
              <w:rPr>
                <w:rFonts w:hint="eastAsia" w:ascii="宋体" w:hAnsi="宋体" w:eastAsia="宋体" w:cs="宋体"/>
                <w:color w:val="auto"/>
                <w:shd w:val="clear" w:color="auto" w:fill="auto"/>
              </w:rPr>
              <w:t>保函有效期</w:t>
            </w:r>
          </w:p>
        </w:tc>
        <w:tc>
          <w:tcPr>
            <w:tcW w:w="2211" w:type="dxa"/>
            <w:tcBorders>
              <w:top w:val="single" w:color="auto" w:sz="4" w:space="0"/>
              <w:left w:val="single" w:color="auto" w:sz="4" w:space="0"/>
              <w:bottom w:val="single" w:color="auto" w:sz="4" w:space="0"/>
              <w:right w:val="single" w:color="auto" w:sz="4" w:space="0"/>
            </w:tcBorders>
            <w:shd w:val="clear" w:color="auto" w:fill="FFFFFF"/>
            <w:vAlign w:val="center"/>
          </w:tcPr>
          <w:p w14:paraId="043BBEB5">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p>
        </w:tc>
      </w:tr>
      <w:tr w14:paraId="1C49A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tcBorders>
              <w:top w:val="single" w:color="auto" w:sz="4" w:space="0"/>
              <w:left w:val="single" w:color="auto" w:sz="4" w:space="0"/>
              <w:bottom w:val="single" w:color="auto" w:sz="4" w:space="0"/>
              <w:right w:val="single" w:color="auto" w:sz="4" w:space="0"/>
            </w:tcBorders>
            <w:shd w:val="clear" w:color="auto" w:fill="FFFFFF"/>
            <w:vAlign w:val="center"/>
          </w:tcPr>
          <w:p w14:paraId="3BA108FD">
            <w:pPr>
              <w:keepNext w:val="0"/>
              <w:keepLines w:val="0"/>
              <w:widowControl w:val="0"/>
              <w:suppressLineNumbers w:val="0"/>
              <w:spacing w:before="0" w:beforeAutospacing="0" w:after="0" w:afterAutospacing="0"/>
              <w:ind w:left="0" w:right="0"/>
              <w:jc w:val="center"/>
              <w:rPr>
                <w:rFonts w:hint="eastAsia" w:ascii="宋体" w:hAnsi="宋体" w:cs="宋体"/>
                <w:color w:val="auto"/>
                <w:shd w:val="clear" w:color="auto" w:fill="auto"/>
              </w:rPr>
            </w:pPr>
            <w:r>
              <w:rPr>
                <w:rFonts w:hint="eastAsia" w:ascii="宋体" w:hAnsi="宋体" w:eastAsia="宋体" w:cs="宋体"/>
                <w:color w:val="auto"/>
                <w:shd w:val="clear" w:color="auto" w:fill="auto"/>
              </w:rPr>
              <w:t>保函验真平台网址</w:t>
            </w:r>
          </w:p>
        </w:tc>
        <w:tc>
          <w:tcPr>
            <w:tcW w:w="660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2B51ECA3">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p>
        </w:tc>
      </w:tr>
      <w:tr w14:paraId="50F7A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1D3207AF">
            <w:pPr>
              <w:keepNext w:val="0"/>
              <w:keepLines w:val="0"/>
              <w:widowControl w:val="0"/>
              <w:suppressLineNumbers w:val="0"/>
              <w:spacing w:before="0" w:beforeAutospacing="0" w:after="0" w:afterAutospacing="0"/>
              <w:ind w:left="0" w:right="0"/>
              <w:jc w:val="center"/>
              <w:rPr>
                <w:rFonts w:hint="eastAsia" w:ascii="宋体" w:hAnsi="宋体" w:cs="宋体"/>
                <w:color w:val="auto"/>
                <w:shd w:val="clear" w:color="auto" w:fill="auto"/>
              </w:rPr>
            </w:pPr>
            <w:r>
              <w:rPr>
                <w:rFonts w:hint="eastAsia" w:ascii="宋体" w:hAnsi="宋体" w:eastAsia="宋体" w:cs="宋体"/>
                <w:color w:val="auto"/>
                <w:shd w:val="clear" w:color="auto" w:fill="auto"/>
              </w:rPr>
              <w:t>附件</w:t>
            </w:r>
          </w:p>
        </w:tc>
        <w:tc>
          <w:tcPr>
            <w:tcW w:w="660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08725279">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r>
              <w:rPr>
                <w:rFonts w:hint="eastAsia" w:ascii="宋体" w:hAnsi="宋体" w:eastAsia="宋体" w:cs="宋体"/>
                <w:color w:val="auto"/>
                <w:shd w:val="clear" w:color="auto" w:fill="auto"/>
              </w:rPr>
              <w:t>保函扫描件（含验真材料）</w:t>
            </w:r>
          </w:p>
        </w:tc>
      </w:tr>
      <w:tr w14:paraId="247F8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685CC415">
            <w:pPr>
              <w:rPr>
                <w:rFonts w:hint="default"/>
                <w:color w:val="auto"/>
                <w:sz w:val="20"/>
                <w:szCs w:val="20"/>
                <w:shd w:val="clear" w:color="auto" w:fill="auto"/>
              </w:rPr>
            </w:pPr>
          </w:p>
        </w:tc>
        <w:tc>
          <w:tcPr>
            <w:tcW w:w="660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022398A9">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r>
              <w:rPr>
                <w:rFonts w:hint="eastAsia" w:ascii="宋体" w:hAnsi="宋体" w:eastAsia="宋体" w:cs="宋体"/>
                <w:color w:val="auto"/>
                <w:shd w:val="clear" w:color="auto" w:fill="auto"/>
              </w:rPr>
              <w:t>缴费凭证扫描件</w:t>
            </w:r>
          </w:p>
        </w:tc>
      </w:tr>
      <w:tr w14:paraId="5E0C1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3C3298D7">
            <w:pPr>
              <w:rPr>
                <w:rFonts w:hint="default"/>
                <w:color w:val="auto"/>
                <w:sz w:val="20"/>
                <w:szCs w:val="20"/>
                <w:shd w:val="clear" w:color="auto" w:fill="auto"/>
              </w:rPr>
            </w:pPr>
          </w:p>
        </w:tc>
        <w:tc>
          <w:tcPr>
            <w:tcW w:w="660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531666AE">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r>
              <w:rPr>
                <w:rFonts w:hint="eastAsia" w:ascii="宋体" w:hAnsi="宋体" w:eastAsia="宋体" w:cs="宋体"/>
                <w:color w:val="auto"/>
                <w:shd w:val="clear" w:color="auto" w:fill="auto"/>
              </w:rPr>
              <w:t>其他材料（如有）</w:t>
            </w:r>
            <w:bookmarkEnd w:id="2002"/>
          </w:p>
        </w:tc>
      </w:tr>
    </w:tbl>
    <w:p w14:paraId="5B8FD8D2">
      <w:pPr>
        <w:rPr>
          <w:color w:val="auto"/>
        </w:rPr>
        <w:sectPr>
          <w:footerReference r:id="rId33" w:type="default"/>
          <w:pgSz w:w="11906" w:h="16838"/>
          <w:pgMar w:top="1440" w:right="1800" w:bottom="1440" w:left="1800" w:header="851" w:footer="992" w:gutter="0"/>
          <w:pgNumType w:fmt="decimal"/>
          <w:cols w:space="425" w:num="1"/>
          <w:docGrid w:type="lines" w:linePitch="312" w:charSpace="0"/>
        </w:sectPr>
      </w:pPr>
    </w:p>
    <w:p w14:paraId="5CF18A4B">
      <w:pPr>
        <w:pStyle w:val="25"/>
        <w:jc w:val="center"/>
        <w:rPr>
          <w:rFonts w:hint="eastAsia"/>
          <w:color w:val="auto"/>
        </w:rPr>
      </w:pPr>
      <w:bookmarkStart w:id="2005" w:name="_Toc122603077"/>
      <w:bookmarkStart w:id="2006" w:name="_Toc24658"/>
      <w:r>
        <w:rPr>
          <w:rFonts w:hint="default"/>
          <w:color w:val="auto"/>
        </w:rPr>
        <w:t>四</w:t>
      </w:r>
      <w:r>
        <w:rPr>
          <w:rFonts w:hint="eastAsia"/>
          <w:color w:val="auto"/>
        </w:rPr>
        <w:t>、联合体协议书</w:t>
      </w:r>
      <w:bookmarkEnd w:id="2005"/>
      <w:bookmarkEnd w:id="2006"/>
    </w:p>
    <w:p w14:paraId="5776F3EC">
      <w:pPr>
        <w:spacing w:line="394" w:lineRule="exact"/>
        <w:jc w:val="center"/>
        <w:rPr>
          <w:rFonts w:hint="eastAsia" w:ascii="宋体" w:hAnsi="宋体"/>
          <w:b/>
          <w:bCs/>
          <w:color w:val="auto"/>
          <w:szCs w:val="21"/>
        </w:rPr>
      </w:pPr>
      <w:r>
        <w:rPr>
          <w:rFonts w:hint="eastAsia" w:ascii="宋体" w:hAnsi="宋体"/>
          <w:b/>
          <w:bCs/>
          <w:color w:val="auto"/>
          <w:szCs w:val="21"/>
        </w:rPr>
        <w:t>（如有）</w:t>
      </w:r>
    </w:p>
    <w:p w14:paraId="060CF0E4">
      <w:pPr>
        <w:spacing w:line="394" w:lineRule="exact"/>
        <w:rPr>
          <w:rFonts w:ascii="宋体" w:hAnsi="宋体"/>
          <w:color w:val="auto"/>
          <w:szCs w:val="21"/>
        </w:rPr>
      </w:pPr>
      <w:r>
        <w:rPr>
          <w:rFonts w:hint="eastAsia" w:ascii="宋体" w:hAnsi="宋体"/>
          <w:color w:val="auto"/>
          <w:szCs w:val="21"/>
        </w:rPr>
        <w:t>牵头人名称：</w:t>
      </w:r>
      <w:r>
        <w:rPr>
          <w:rFonts w:hint="eastAsia" w:ascii="宋体" w:hAnsi="宋体"/>
          <w:color w:val="auto"/>
          <w:szCs w:val="21"/>
          <w:u w:val="single"/>
        </w:rPr>
        <w:t xml:space="preserve">                                                  </w:t>
      </w:r>
    </w:p>
    <w:p w14:paraId="0DDC3774">
      <w:pPr>
        <w:spacing w:line="394" w:lineRule="exact"/>
        <w:rPr>
          <w:rFonts w:ascii="宋体" w:hAnsi="宋体"/>
          <w:color w:val="auto"/>
          <w:szCs w:val="21"/>
        </w:rPr>
      </w:pPr>
      <w:r>
        <w:rPr>
          <w:rFonts w:hint="eastAsia" w:ascii="宋体" w:hAnsi="宋体"/>
          <w:color w:val="auto"/>
          <w:szCs w:val="21"/>
        </w:rPr>
        <w:t>法定代表人：</w:t>
      </w:r>
      <w:r>
        <w:rPr>
          <w:rFonts w:hint="eastAsia" w:ascii="宋体" w:hAnsi="宋体"/>
          <w:color w:val="auto"/>
          <w:szCs w:val="21"/>
          <w:u w:val="single"/>
        </w:rPr>
        <w:t xml:space="preserve">                                                  </w:t>
      </w:r>
    </w:p>
    <w:p w14:paraId="566F572F">
      <w:pPr>
        <w:spacing w:line="394" w:lineRule="exact"/>
        <w:rPr>
          <w:rFonts w:ascii="宋体" w:hAnsi="宋体"/>
          <w:color w:val="auto"/>
          <w:szCs w:val="21"/>
          <w:u w:val="single"/>
        </w:rPr>
      </w:pPr>
      <w:r>
        <w:rPr>
          <w:rFonts w:hint="eastAsia" w:ascii="宋体" w:hAnsi="宋体"/>
          <w:color w:val="auto"/>
          <w:szCs w:val="21"/>
        </w:rPr>
        <w:t>法定住所：</w:t>
      </w:r>
      <w:r>
        <w:rPr>
          <w:rFonts w:hint="eastAsia" w:ascii="宋体" w:hAnsi="宋体"/>
          <w:color w:val="auto"/>
          <w:szCs w:val="21"/>
          <w:u w:val="single"/>
        </w:rPr>
        <w:t xml:space="preserve">                                                    </w:t>
      </w:r>
    </w:p>
    <w:p w14:paraId="6A166A58">
      <w:pPr>
        <w:spacing w:line="394" w:lineRule="exact"/>
        <w:rPr>
          <w:rFonts w:ascii="宋体" w:hAnsi="宋体"/>
          <w:color w:val="auto"/>
          <w:szCs w:val="21"/>
        </w:rPr>
      </w:pPr>
    </w:p>
    <w:p w14:paraId="77936A0D">
      <w:pPr>
        <w:spacing w:line="394" w:lineRule="exact"/>
        <w:rPr>
          <w:rFonts w:ascii="宋体" w:hAnsi="宋体"/>
          <w:color w:val="auto"/>
          <w:szCs w:val="21"/>
        </w:rPr>
      </w:pPr>
      <w:r>
        <w:rPr>
          <w:rFonts w:hint="eastAsia" w:ascii="宋体" w:hAnsi="宋体"/>
          <w:color w:val="auto"/>
          <w:szCs w:val="21"/>
        </w:rPr>
        <w:t>成员二名称：</w:t>
      </w:r>
      <w:r>
        <w:rPr>
          <w:rFonts w:hint="eastAsia" w:ascii="宋体" w:hAnsi="宋体"/>
          <w:color w:val="auto"/>
          <w:szCs w:val="21"/>
          <w:u w:val="single"/>
        </w:rPr>
        <w:t xml:space="preserve">                                                  </w:t>
      </w:r>
    </w:p>
    <w:p w14:paraId="39A7F630">
      <w:pPr>
        <w:spacing w:line="394" w:lineRule="exact"/>
        <w:rPr>
          <w:rFonts w:ascii="宋体" w:hAnsi="宋体"/>
          <w:color w:val="auto"/>
          <w:szCs w:val="21"/>
        </w:rPr>
      </w:pPr>
      <w:r>
        <w:rPr>
          <w:rFonts w:hint="eastAsia" w:ascii="宋体" w:hAnsi="宋体"/>
          <w:color w:val="auto"/>
          <w:szCs w:val="21"/>
        </w:rPr>
        <w:t>法定代表人：</w:t>
      </w:r>
      <w:r>
        <w:rPr>
          <w:rFonts w:hint="eastAsia" w:ascii="宋体" w:hAnsi="宋体"/>
          <w:color w:val="auto"/>
          <w:szCs w:val="21"/>
          <w:u w:val="single"/>
        </w:rPr>
        <w:t xml:space="preserve">                                                  </w:t>
      </w:r>
    </w:p>
    <w:p w14:paraId="333039E7">
      <w:pPr>
        <w:spacing w:line="394" w:lineRule="exact"/>
        <w:rPr>
          <w:rFonts w:ascii="宋体" w:hAnsi="宋体"/>
          <w:color w:val="auto"/>
          <w:szCs w:val="21"/>
          <w:u w:val="single"/>
        </w:rPr>
      </w:pPr>
      <w:r>
        <w:rPr>
          <w:rFonts w:hint="eastAsia" w:ascii="宋体" w:hAnsi="宋体"/>
          <w:color w:val="auto"/>
          <w:szCs w:val="21"/>
        </w:rPr>
        <w:t>法定住所：</w:t>
      </w:r>
      <w:r>
        <w:rPr>
          <w:rFonts w:hint="eastAsia" w:ascii="宋体" w:hAnsi="宋体"/>
          <w:color w:val="auto"/>
          <w:szCs w:val="21"/>
          <w:u w:val="single"/>
        </w:rPr>
        <w:t xml:space="preserve">                                                    </w:t>
      </w:r>
    </w:p>
    <w:p w14:paraId="5C05CE6D">
      <w:pPr>
        <w:spacing w:line="394" w:lineRule="exact"/>
        <w:ind w:firstLine="525" w:firstLineChars="250"/>
        <w:rPr>
          <w:rFonts w:ascii="宋体" w:hAnsi="宋体"/>
          <w:color w:val="auto"/>
          <w:szCs w:val="21"/>
        </w:rPr>
      </w:pPr>
      <w:r>
        <w:rPr>
          <w:rFonts w:hint="eastAsia" w:ascii="宋体" w:hAnsi="宋体"/>
          <w:color w:val="auto"/>
          <w:szCs w:val="21"/>
        </w:rPr>
        <w:t>……</w:t>
      </w:r>
    </w:p>
    <w:p w14:paraId="32F7321C">
      <w:pPr>
        <w:spacing w:line="394" w:lineRule="exact"/>
        <w:ind w:firstLine="420" w:firstLineChars="200"/>
        <w:rPr>
          <w:rFonts w:ascii="宋体" w:hAnsi="宋体"/>
          <w:color w:val="auto"/>
          <w:szCs w:val="21"/>
        </w:rPr>
      </w:pPr>
      <w:r>
        <w:rPr>
          <w:rFonts w:hint="eastAsia" w:ascii="宋体" w:hAnsi="宋体"/>
          <w:color w:val="auto"/>
          <w:szCs w:val="21"/>
        </w:rPr>
        <w:t>鉴于上述各成员单位经过友好协商，自愿组成</w:t>
      </w:r>
      <w:r>
        <w:rPr>
          <w:rFonts w:hint="eastAsia" w:ascii="宋体" w:hAnsi="宋体"/>
          <w:color w:val="auto"/>
          <w:szCs w:val="21"/>
          <w:u w:val="single"/>
        </w:rPr>
        <w:t xml:space="preserve">       </w:t>
      </w:r>
      <w:r>
        <w:rPr>
          <w:rFonts w:hint="eastAsia" w:ascii="宋体" w:hAnsi="宋体"/>
          <w:color w:val="auto"/>
          <w:szCs w:val="21"/>
        </w:rPr>
        <w:t>（联合体名称）联合体，共同参加</w:t>
      </w:r>
      <w:r>
        <w:rPr>
          <w:rFonts w:hint="eastAsia" w:ascii="宋体" w:hAnsi="宋体"/>
          <w:color w:val="auto"/>
          <w:szCs w:val="21"/>
          <w:u w:val="single"/>
        </w:rPr>
        <w:t xml:space="preserve">                  </w:t>
      </w:r>
      <w:r>
        <w:rPr>
          <w:rFonts w:hint="eastAsia" w:ascii="宋体" w:hAnsi="宋体"/>
          <w:color w:val="auto"/>
          <w:szCs w:val="21"/>
        </w:rPr>
        <w:t>（招标人名称）（以下简称招标人）</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color w:val="auto"/>
        </w:rPr>
        <w:t>（标段名称）</w:t>
      </w:r>
      <w:r>
        <w:rPr>
          <w:rFonts w:hint="eastAsia" w:ascii="宋体" w:hAnsi="宋体"/>
          <w:color w:val="auto"/>
          <w:szCs w:val="21"/>
        </w:rPr>
        <w:t>（以下简称本工程）的施工投标并争取赢得本工程施工承包合同（以下简称合同）。现就联合体投标事宜订立如下协议：</w:t>
      </w:r>
    </w:p>
    <w:p w14:paraId="7E763066">
      <w:pPr>
        <w:spacing w:line="394" w:lineRule="exact"/>
        <w:ind w:firstLine="420" w:firstLineChars="200"/>
        <w:rPr>
          <w:rFonts w:ascii="宋体" w:hAnsi="宋体"/>
          <w:color w:val="auto"/>
          <w:szCs w:val="21"/>
        </w:rPr>
      </w:pPr>
      <w:r>
        <w:rPr>
          <w:rFonts w:hint="eastAsia" w:ascii="宋体" w:hAnsi="宋体"/>
          <w:color w:val="auto"/>
          <w:szCs w:val="21"/>
          <w:lang w:eastAsia="zh-CN"/>
        </w:rPr>
        <w:t>1.</w:t>
      </w:r>
      <w:r>
        <w:rPr>
          <w:rFonts w:hint="eastAsia" w:ascii="宋体" w:hAnsi="宋体"/>
          <w:color w:val="auto"/>
          <w:szCs w:val="21"/>
          <w:u w:val="single"/>
        </w:rPr>
        <w:t xml:space="preserve">        </w:t>
      </w:r>
      <w:r>
        <w:rPr>
          <w:rFonts w:hint="eastAsia" w:ascii="宋体" w:hAnsi="宋体"/>
          <w:color w:val="auto"/>
          <w:szCs w:val="21"/>
        </w:rPr>
        <w:t>（某成员单位名称）为</w:t>
      </w:r>
      <w:r>
        <w:rPr>
          <w:rFonts w:hint="eastAsia" w:ascii="宋体" w:hAnsi="宋体"/>
          <w:color w:val="auto"/>
          <w:szCs w:val="21"/>
          <w:u w:val="single"/>
        </w:rPr>
        <w:t xml:space="preserve">              </w:t>
      </w:r>
      <w:r>
        <w:rPr>
          <w:rFonts w:hint="eastAsia" w:ascii="宋体" w:hAnsi="宋体"/>
          <w:color w:val="auto"/>
          <w:szCs w:val="21"/>
        </w:rPr>
        <w:t>（联合体名称）牵头人。</w:t>
      </w:r>
    </w:p>
    <w:p w14:paraId="1480EFB1">
      <w:pPr>
        <w:spacing w:line="394" w:lineRule="exact"/>
        <w:ind w:firstLine="420" w:firstLineChars="200"/>
        <w:rPr>
          <w:rFonts w:ascii="宋体" w:hAnsi="宋体"/>
          <w:color w:val="auto"/>
          <w:szCs w:val="21"/>
        </w:rPr>
      </w:pPr>
      <w:r>
        <w:rPr>
          <w:rFonts w:hint="eastAsia" w:ascii="宋体" w:hAnsi="宋体"/>
          <w:color w:val="auto"/>
          <w:szCs w:val="21"/>
          <w:lang w:eastAsia="zh-CN"/>
        </w:rPr>
        <w:t>2.</w:t>
      </w:r>
      <w:r>
        <w:rPr>
          <w:rFonts w:hint="eastAsia" w:ascii="宋体" w:hAnsi="宋体"/>
          <w:color w:val="auto"/>
          <w:szCs w:val="21"/>
        </w:rPr>
        <w:t>在本工程投标阶段，联合体牵头人合法代表联合体各成员负责本工程投标文件编制活动，代表联合体提交和接收相关的资料、信息及指示，并处理与投标和中标有关的一切事务；联合体中标后，联合体牵头人负责合同订立和合同实施阶段的主办、组织和协调工作。</w:t>
      </w:r>
    </w:p>
    <w:p w14:paraId="40082076">
      <w:pPr>
        <w:spacing w:line="394" w:lineRule="exact"/>
        <w:ind w:firstLine="420" w:firstLineChars="200"/>
        <w:rPr>
          <w:rFonts w:ascii="宋体" w:hAnsi="宋体"/>
          <w:color w:val="auto"/>
          <w:szCs w:val="21"/>
        </w:rPr>
      </w:pPr>
      <w:r>
        <w:rPr>
          <w:rFonts w:hint="eastAsia" w:ascii="宋体" w:hAnsi="宋体"/>
          <w:color w:val="auto"/>
          <w:szCs w:val="21"/>
          <w:lang w:eastAsia="zh-CN"/>
        </w:rPr>
        <w:t>3.</w:t>
      </w:r>
      <w:r>
        <w:rPr>
          <w:rFonts w:hint="eastAsia" w:ascii="宋体" w:hAnsi="宋体"/>
          <w:color w:val="auto"/>
          <w:szCs w:val="21"/>
        </w:rPr>
        <w:t>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62AEBCE2">
      <w:pPr>
        <w:spacing w:line="394" w:lineRule="exact"/>
        <w:ind w:firstLine="420" w:firstLineChars="200"/>
        <w:rPr>
          <w:rFonts w:ascii="宋体" w:hAnsi="宋体"/>
          <w:color w:val="auto"/>
          <w:szCs w:val="21"/>
          <w:u w:val="single"/>
        </w:rPr>
      </w:pPr>
      <w:r>
        <w:rPr>
          <w:rFonts w:hint="eastAsia" w:ascii="宋体" w:hAnsi="宋体"/>
          <w:color w:val="auto"/>
          <w:szCs w:val="21"/>
          <w:lang w:eastAsia="zh-CN"/>
        </w:rPr>
        <w:t>4.</w:t>
      </w:r>
      <w:r>
        <w:rPr>
          <w:rFonts w:hint="eastAsia" w:ascii="宋体" w:hAnsi="宋体"/>
          <w:color w:val="auto"/>
          <w:szCs w:val="21"/>
        </w:rPr>
        <w:t>联合体各成员单位内部的职责分工如下：</w:t>
      </w:r>
      <w:r>
        <w:rPr>
          <w:rFonts w:hint="eastAsia" w:ascii="宋体" w:hAnsi="宋体"/>
          <w:color w:val="auto"/>
          <w:szCs w:val="21"/>
          <w:u w:val="single"/>
        </w:rPr>
        <w:t xml:space="preserve">                                    </w:t>
      </w:r>
    </w:p>
    <w:p w14:paraId="6621CCDA">
      <w:pPr>
        <w:spacing w:line="394" w:lineRule="exact"/>
        <w:rPr>
          <w:rFonts w:ascii="宋体" w:hAnsi="宋体"/>
          <w:color w:val="auto"/>
          <w:szCs w:val="21"/>
        </w:rPr>
      </w:pPr>
      <w:r>
        <w:rPr>
          <w:rFonts w:hint="eastAsia" w:ascii="宋体" w:hAnsi="宋体"/>
          <w:color w:val="auto"/>
          <w:szCs w:val="21"/>
          <w:u w:val="single"/>
        </w:rPr>
        <w:t xml:space="preserve">                                                                          </w:t>
      </w:r>
      <w:r>
        <w:rPr>
          <w:rFonts w:hint="eastAsia" w:ascii="宋体" w:hAnsi="宋体"/>
          <w:color w:val="auto"/>
          <w:szCs w:val="21"/>
        </w:rPr>
        <w:t>。</w:t>
      </w:r>
    </w:p>
    <w:p w14:paraId="3B41EEB4">
      <w:pPr>
        <w:spacing w:line="394" w:lineRule="exact"/>
        <w:ind w:firstLine="420" w:firstLineChars="200"/>
        <w:rPr>
          <w:rFonts w:ascii="宋体" w:hAnsi="宋体"/>
          <w:color w:val="auto"/>
          <w:szCs w:val="21"/>
        </w:rPr>
      </w:pPr>
      <w:r>
        <w:rPr>
          <w:rFonts w:hint="eastAsia" w:ascii="宋体" w:hAnsi="宋体"/>
          <w:color w:val="auto"/>
          <w:szCs w:val="21"/>
          <w:lang w:eastAsia="zh-CN"/>
        </w:rPr>
        <w:t>5.</w:t>
      </w:r>
      <w:r>
        <w:rPr>
          <w:rFonts w:hint="eastAsia" w:ascii="宋体" w:hAnsi="宋体"/>
          <w:color w:val="auto"/>
          <w:szCs w:val="21"/>
        </w:rPr>
        <w:t>投标工作和联合体在中标后工程实施过程中的有关费用按各自承担的工作量分摊。</w:t>
      </w:r>
    </w:p>
    <w:p w14:paraId="6DCC8EE2">
      <w:pPr>
        <w:spacing w:line="394" w:lineRule="exact"/>
        <w:ind w:firstLine="420" w:firstLineChars="200"/>
        <w:rPr>
          <w:rFonts w:ascii="宋体" w:hAnsi="宋体"/>
          <w:color w:val="auto"/>
          <w:szCs w:val="21"/>
        </w:rPr>
      </w:pPr>
      <w:r>
        <w:rPr>
          <w:rFonts w:hint="eastAsia" w:ascii="宋体" w:hAnsi="宋体"/>
          <w:color w:val="auto"/>
          <w:szCs w:val="21"/>
          <w:lang w:eastAsia="zh-CN"/>
        </w:rPr>
        <w:t>6.</w:t>
      </w:r>
      <w:r>
        <w:rPr>
          <w:rFonts w:hint="eastAsia" w:ascii="宋体" w:hAnsi="宋体"/>
          <w:color w:val="auto"/>
          <w:szCs w:val="21"/>
        </w:rPr>
        <w:t>联合体中标后，本联合体协议是合同的附件，对联合体各成员单位有合同约束力。</w:t>
      </w:r>
    </w:p>
    <w:p w14:paraId="0C7C667D">
      <w:pPr>
        <w:spacing w:line="394" w:lineRule="exact"/>
        <w:ind w:firstLine="420" w:firstLineChars="200"/>
        <w:rPr>
          <w:rFonts w:ascii="宋体" w:hAnsi="宋体"/>
          <w:color w:val="auto"/>
          <w:szCs w:val="21"/>
        </w:rPr>
      </w:pPr>
      <w:r>
        <w:rPr>
          <w:rFonts w:hint="eastAsia" w:ascii="宋体" w:hAnsi="宋体"/>
          <w:color w:val="auto"/>
          <w:szCs w:val="21"/>
          <w:lang w:eastAsia="zh-CN"/>
        </w:rPr>
        <w:t>7.</w:t>
      </w:r>
      <w:r>
        <w:rPr>
          <w:rFonts w:hint="eastAsia" w:ascii="宋体" w:hAnsi="宋体"/>
          <w:color w:val="auto"/>
          <w:szCs w:val="21"/>
        </w:rPr>
        <w:t>本协议书自签署之日起生效，联合体未中标或者中标合同履行完毕后自动失效。</w:t>
      </w:r>
    </w:p>
    <w:p w14:paraId="7D91D71A">
      <w:pPr>
        <w:spacing w:line="394" w:lineRule="exact"/>
        <w:ind w:firstLine="420" w:firstLineChars="200"/>
        <w:rPr>
          <w:rFonts w:hint="eastAsia" w:ascii="宋体" w:hAnsi="宋体"/>
          <w:color w:val="auto"/>
          <w:szCs w:val="21"/>
        </w:rPr>
      </w:pPr>
      <w:r>
        <w:rPr>
          <w:rFonts w:hint="eastAsia" w:ascii="宋体" w:hAnsi="宋体"/>
          <w:color w:val="auto"/>
          <w:szCs w:val="21"/>
          <w:lang w:eastAsia="zh-CN"/>
        </w:rPr>
        <w:t>8.</w:t>
      </w:r>
      <w:r>
        <w:rPr>
          <w:rFonts w:hint="eastAsia" w:ascii="宋体" w:hAnsi="宋体"/>
          <w:color w:val="auto"/>
          <w:szCs w:val="21"/>
        </w:rPr>
        <w:t>本协议书一式</w:t>
      </w:r>
      <w:r>
        <w:rPr>
          <w:rFonts w:hint="eastAsia" w:ascii="宋体" w:hAnsi="宋体"/>
          <w:color w:val="auto"/>
          <w:szCs w:val="21"/>
          <w:u w:val="single"/>
        </w:rPr>
        <w:t xml:space="preserve">            </w:t>
      </w:r>
      <w:r>
        <w:rPr>
          <w:rFonts w:hint="eastAsia" w:ascii="宋体" w:hAnsi="宋体"/>
          <w:color w:val="auto"/>
          <w:szCs w:val="21"/>
        </w:rPr>
        <w:t>份，联合体成员和招标人各执一份。</w:t>
      </w:r>
    </w:p>
    <w:p w14:paraId="16A44911">
      <w:pPr>
        <w:spacing w:line="394" w:lineRule="exact"/>
        <w:ind w:firstLine="1785" w:firstLineChars="850"/>
        <w:rPr>
          <w:rFonts w:hint="eastAsia" w:ascii="宋体" w:hAnsi="宋体"/>
          <w:color w:val="auto"/>
          <w:szCs w:val="21"/>
        </w:rPr>
      </w:pPr>
    </w:p>
    <w:p w14:paraId="026AF066">
      <w:pPr>
        <w:spacing w:line="394" w:lineRule="exact"/>
        <w:ind w:left="1680" w:leftChars="0" w:firstLine="420" w:firstLineChars="0"/>
        <w:rPr>
          <w:rFonts w:hint="eastAsia" w:ascii="宋体" w:hAnsi="宋体"/>
          <w:color w:val="auto"/>
          <w:szCs w:val="21"/>
        </w:rPr>
      </w:pPr>
      <w:r>
        <w:rPr>
          <w:rFonts w:hint="eastAsia" w:ascii="宋体" w:hAnsi="宋体"/>
          <w:color w:val="auto"/>
          <w:szCs w:val="21"/>
        </w:rPr>
        <w:t>牵头人名称：</w:t>
      </w:r>
      <w:r>
        <w:rPr>
          <w:rFonts w:hint="eastAsia" w:ascii="宋体" w:hAnsi="宋体"/>
          <w:color w:val="auto"/>
          <w:szCs w:val="21"/>
          <w:u w:val="single"/>
        </w:rPr>
        <w:t xml:space="preserve">                                    </w:t>
      </w:r>
      <w:r>
        <w:rPr>
          <w:rFonts w:hint="eastAsia" w:ascii="宋体" w:hAnsi="宋体"/>
          <w:color w:val="auto"/>
          <w:szCs w:val="21"/>
        </w:rPr>
        <w:t>（盖单位章）</w:t>
      </w:r>
    </w:p>
    <w:p w14:paraId="5AFAE95F">
      <w:pPr>
        <w:ind w:left="1680" w:leftChars="0" w:firstLine="420" w:firstLineChars="0"/>
        <w:rPr>
          <w:rFonts w:hint="eastAsia" w:ascii="宋体" w:hAnsi="宋体"/>
          <w:color w:val="auto"/>
          <w:szCs w:val="21"/>
        </w:rPr>
      </w:pPr>
      <w:r>
        <w:rPr>
          <w:rFonts w:hint="eastAsia" w:ascii="宋体" w:hAnsi="宋体"/>
          <w:color w:val="auto"/>
          <w:szCs w:val="21"/>
        </w:rPr>
        <w:t>法定代表人或授权委托人：</w:t>
      </w:r>
      <w:r>
        <w:rPr>
          <w:rFonts w:hint="eastAsia" w:ascii="宋体" w:hAnsi="宋体"/>
          <w:color w:val="auto"/>
          <w:szCs w:val="21"/>
          <w:u w:val="single"/>
        </w:rPr>
        <w:t xml:space="preserve">                            </w:t>
      </w:r>
      <w:r>
        <w:rPr>
          <w:rFonts w:hint="eastAsia" w:ascii="宋体" w:hAnsi="宋体"/>
          <w:color w:val="auto"/>
          <w:szCs w:val="21"/>
        </w:rPr>
        <w:t>（签章）</w:t>
      </w:r>
    </w:p>
    <w:p w14:paraId="743E43EC">
      <w:pPr>
        <w:spacing w:line="394" w:lineRule="exact"/>
        <w:ind w:firstLine="1785" w:firstLineChars="850"/>
        <w:rPr>
          <w:rFonts w:hint="eastAsia" w:ascii="宋体" w:hAnsi="宋体"/>
          <w:color w:val="auto"/>
          <w:szCs w:val="21"/>
        </w:rPr>
      </w:pPr>
    </w:p>
    <w:p w14:paraId="4E1E499D">
      <w:pPr>
        <w:spacing w:line="394" w:lineRule="exact"/>
        <w:ind w:firstLine="2202" w:firstLineChars="1049"/>
        <w:rPr>
          <w:rFonts w:hint="eastAsia" w:ascii="宋体" w:hAnsi="宋体"/>
          <w:color w:val="auto"/>
          <w:szCs w:val="21"/>
        </w:rPr>
      </w:pPr>
      <w:r>
        <w:rPr>
          <w:rFonts w:hint="eastAsia" w:ascii="宋体" w:hAnsi="宋体"/>
          <w:color w:val="auto"/>
          <w:szCs w:val="21"/>
        </w:rPr>
        <w:t>成员二名称：</w:t>
      </w:r>
      <w:r>
        <w:rPr>
          <w:rFonts w:hint="eastAsia" w:ascii="宋体" w:hAnsi="宋体"/>
          <w:color w:val="auto"/>
          <w:szCs w:val="21"/>
          <w:u w:val="single"/>
        </w:rPr>
        <w:t xml:space="preserve">                                    </w:t>
      </w:r>
      <w:r>
        <w:rPr>
          <w:rFonts w:hint="eastAsia" w:ascii="宋体" w:hAnsi="宋体"/>
          <w:color w:val="auto"/>
          <w:szCs w:val="21"/>
        </w:rPr>
        <w:t>（盖单位章）</w:t>
      </w:r>
    </w:p>
    <w:p w14:paraId="4EA5A9C2">
      <w:pPr>
        <w:spacing w:line="394" w:lineRule="exact"/>
        <w:ind w:firstLine="2202" w:firstLineChars="1049"/>
        <w:rPr>
          <w:rFonts w:hint="eastAsia" w:ascii="宋体" w:hAnsi="宋体"/>
          <w:color w:val="auto"/>
          <w:szCs w:val="21"/>
        </w:rPr>
      </w:pPr>
      <w:r>
        <w:rPr>
          <w:rFonts w:hint="eastAsia" w:ascii="宋体" w:hAnsi="宋体"/>
          <w:color w:val="auto"/>
          <w:szCs w:val="21"/>
        </w:rPr>
        <w:t>法定代表人或授权委托人：</w:t>
      </w:r>
      <w:r>
        <w:rPr>
          <w:rFonts w:hint="eastAsia" w:ascii="宋体" w:hAnsi="宋体"/>
          <w:color w:val="auto"/>
          <w:szCs w:val="21"/>
          <w:u w:val="single"/>
        </w:rPr>
        <w:t xml:space="preserve">                            </w:t>
      </w:r>
      <w:r>
        <w:rPr>
          <w:rFonts w:hint="eastAsia" w:ascii="宋体" w:hAnsi="宋体"/>
          <w:color w:val="auto"/>
          <w:szCs w:val="21"/>
        </w:rPr>
        <w:t>（签章）</w:t>
      </w:r>
    </w:p>
    <w:p w14:paraId="60344A2D">
      <w:pPr>
        <w:spacing w:line="394" w:lineRule="exact"/>
        <w:ind w:left="2100" w:leftChars="0" w:firstLine="420" w:firstLineChars="0"/>
        <w:rPr>
          <w:rFonts w:hint="eastAsia" w:ascii="宋体" w:hAnsi="宋体"/>
          <w:color w:val="auto"/>
          <w:szCs w:val="21"/>
        </w:rPr>
      </w:pPr>
      <w:r>
        <w:rPr>
          <w:rFonts w:hint="eastAsia" w:ascii="宋体" w:hAnsi="宋体"/>
          <w:color w:val="auto"/>
          <w:szCs w:val="21"/>
        </w:rPr>
        <w:t>……</w:t>
      </w:r>
    </w:p>
    <w:p w14:paraId="373D0C0E">
      <w:pPr>
        <w:wordWrap w:val="0"/>
        <w:spacing w:line="394" w:lineRule="exact"/>
        <w:jc w:val="right"/>
        <w:rPr>
          <w:rFonts w:hint="eastAsia" w:ascii="宋体" w:hAnsi="宋体"/>
          <w:color w:val="auto"/>
          <w:szCs w:val="21"/>
        </w:rPr>
      </w:pP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 xml:space="preserve">日           </w:t>
      </w:r>
    </w:p>
    <w:p w14:paraId="13AE2934">
      <w:pPr>
        <w:spacing w:line="394" w:lineRule="exact"/>
        <w:rPr>
          <w:rFonts w:hint="eastAsia" w:ascii="黑体" w:hAnsi="宋体" w:eastAsia="黑体"/>
          <w:color w:val="auto"/>
          <w:szCs w:val="21"/>
        </w:rPr>
      </w:pPr>
    </w:p>
    <w:p w14:paraId="76BFC4FF">
      <w:pPr>
        <w:spacing w:line="400" w:lineRule="exact"/>
        <w:rPr>
          <w:rFonts w:ascii="宋体" w:hAnsi="宋体"/>
          <w:color w:val="auto"/>
          <w:szCs w:val="21"/>
        </w:rPr>
      </w:pPr>
      <w:r>
        <w:rPr>
          <w:rFonts w:hint="eastAsia" w:ascii="宋体" w:hAnsi="宋体"/>
          <w:color w:val="auto"/>
          <w:szCs w:val="21"/>
        </w:rPr>
        <w:t>备注：1.本协议书由委托代理人签字的，应附法定代表人签字的授权委托书。</w:t>
      </w:r>
    </w:p>
    <w:p w14:paraId="6933F179">
      <w:pPr>
        <w:spacing w:line="394" w:lineRule="exact"/>
        <w:ind w:left="840" w:leftChars="300" w:hanging="210" w:hangingChars="100"/>
        <w:rPr>
          <w:rFonts w:ascii="宋体" w:hAnsi="宋体"/>
          <w:bCs/>
          <w:color w:val="auto"/>
          <w:szCs w:val="21"/>
        </w:rPr>
      </w:pPr>
      <w:r>
        <w:rPr>
          <w:rFonts w:hint="eastAsia" w:ascii="宋体" w:hAnsi="宋体"/>
          <w:color w:val="auto"/>
          <w:szCs w:val="21"/>
        </w:rPr>
        <w:t>2.投标人未采用联合体投标的，</w:t>
      </w:r>
      <w:r>
        <w:rPr>
          <w:rFonts w:hint="eastAsia" w:ascii="宋体" w:hAnsi="宋体"/>
          <w:bCs/>
          <w:color w:val="auto"/>
          <w:szCs w:val="21"/>
        </w:rPr>
        <w:t>投标文件中不需联合体协议书，也无须盖单位章和签字。</w:t>
      </w:r>
    </w:p>
    <w:p w14:paraId="2DB1B5B7">
      <w:pPr>
        <w:spacing w:line="394" w:lineRule="exact"/>
        <w:ind w:left="840" w:leftChars="300" w:hanging="210" w:hangingChars="100"/>
        <w:rPr>
          <w:rFonts w:ascii="宋体" w:hAnsi="宋体"/>
          <w:color w:val="auto"/>
          <w:szCs w:val="21"/>
        </w:rPr>
      </w:pPr>
    </w:p>
    <w:p w14:paraId="3A7333F3">
      <w:pPr>
        <w:ind w:left="1680" w:leftChars="0" w:firstLine="420" w:firstLineChars="0"/>
        <w:rPr>
          <w:rFonts w:hint="eastAsia" w:ascii="宋体" w:hAnsi="宋体"/>
          <w:color w:val="auto"/>
          <w:szCs w:val="21"/>
        </w:rPr>
        <w:sectPr>
          <w:footerReference r:id="rId34" w:type="default"/>
          <w:pgSz w:w="11906" w:h="16838"/>
          <w:pgMar w:top="1440" w:right="1800" w:bottom="1440" w:left="1800" w:header="851" w:footer="992" w:gutter="0"/>
          <w:pgNumType w:fmt="decimal"/>
          <w:cols w:space="425" w:num="1"/>
          <w:docGrid w:type="lines" w:linePitch="312" w:charSpace="0"/>
        </w:sectPr>
      </w:pPr>
    </w:p>
    <w:p w14:paraId="1365AB10">
      <w:pPr>
        <w:pStyle w:val="25"/>
        <w:keepNext/>
        <w:keepLines/>
        <w:pageBreakBefore w:val="0"/>
        <w:widowControl w:val="0"/>
        <w:kinsoku/>
        <w:wordWrap/>
        <w:overflowPunct/>
        <w:topLinePunct w:val="0"/>
        <w:autoSpaceDE/>
        <w:autoSpaceDN/>
        <w:bidi w:val="0"/>
        <w:adjustRightInd/>
        <w:snapToGrid/>
        <w:spacing w:before="312" w:beforeLines="100"/>
        <w:jc w:val="center"/>
        <w:textAlignment w:val="auto"/>
        <w:rPr>
          <w:rFonts w:hint="eastAsia"/>
          <w:color w:val="auto"/>
        </w:rPr>
      </w:pPr>
      <w:bookmarkStart w:id="2007" w:name="_Toc18522"/>
      <w:bookmarkStart w:id="2008" w:name="_Toc122603078"/>
      <w:r>
        <w:rPr>
          <w:rFonts w:hint="default"/>
          <w:color w:val="auto"/>
        </w:rPr>
        <w:t>五</w:t>
      </w:r>
      <w:r>
        <w:rPr>
          <w:rFonts w:hint="eastAsia"/>
          <w:color w:val="auto"/>
        </w:rPr>
        <w:t>、拟分包计划表</w:t>
      </w:r>
      <w:bookmarkEnd w:id="2007"/>
      <w:bookmarkEnd w:id="2008"/>
    </w:p>
    <w:p w14:paraId="0D8DE8E1">
      <w:pPr>
        <w:spacing w:line="440" w:lineRule="exact"/>
        <w:ind w:right="420"/>
        <w:jc w:val="center"/>
        <w:rPr>
          <w:rFonts w:hint="eastAsia" w:ascii="黑体" w:hAnsi="宋体"/>
          <w:b/>
          <w:bCs/>
          <w:color w:val="auto"/>
          <w:szCs w:val="28"/>
        </w:rPr>
      </w:pPr>
      <w:r>
        <w:rPr>
          <w:rFonts w:hint="eastAsia" w:ascii="黑体" w:hAnsi="宋体"/>
          <w:b/>
          <w:bCs/>
          <w:color w:val="auto"/>
          <w:szCs w:val="28"/>
        </w:rPr>
        <w:t>（如有）</w:t>
      </w:r>
    </w:p>
    <w:p w14:paraId="47F1AC99">
      <w:pPr>
        <w:spacing w:line="440" w:lineRule="exact"/>
        <w:ind w:right="420"/>
        <w:jc w:val="center"/>
        <w:rPr>
          <w:rFonts w:hint="eastAsia" w:ascii="黑体" w:hAnsi="宋体"/>
          <w:b/>
          <w:bCs/>
          <w:color w:val="auto"/>
          <w:szCs w:val="28"/>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2"/>
        <w:gridCol w:w="1701"/>
        <w:gridCol w:w="829"/>
        <w:gridCol w:w="922"/>
        <w:gridCol w:w="1096"/>
        <w:gridCol w:w="1064"/>
        <w:gridCol w:w="1167"/>
        <w:gridCol w:w="961"/>
      </w:tblGrid>
      <w:tr w14:paraId="3F4C8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restart"/>
            <w:tcMar>
              <w:left w:w="108" w:type="dxa"/>
              <w:right w:w="108" w:type="dxa"/>
            </w:tcMar>
            <w:vAlign w:val="center"/>
          </w:tcPr>
          <w:p w14:paraId="1626E225">
            <w:pPr>
              <w:jc w:val="center"/>
              <w:rPr>
                <w:rFonts w:ascii="宋体" w:hAnsi="宋体"/>
                <w:color w:val="auto"/>
                <w:szCs w:val="21"/>
              </w:rPr>
            </w:pPr>
            <w:r>
              <w:rPr>
                <w:rFonts w:hint="eastAsia" w:ascii="宋体" w:hAnsi="宋体"/>
                <w:color w:val="auto"/>
                <w:szCs w:val="21"/>
              </w:rPr>
              <w:t>序</w:t>
            </w:r>
          </w:p>
          <w:p w14:paraId="4F5FDCB0">
            <w:pPr>
              <w:jc w:val="center"/>
              <w:rPr>
                <w:rFonts w:ascii="宋体" w:hAnsi="宋体"/>
                <w:color w:val="auto"/>
                <w:szCs w:val="21"/>
              </w:rPr>
            </w:pPr>
            <w:r>
              <w:rPr>
                <w:rFonts w:hint="eastAsia" w:ascii="宋体" w:hAnsi="宋体"/>
                <w:color w:val="auto"/>
                <w:szCs w:val="21"/>
              </w:rPr>
              <w:t>号</w:t>
            </w:r>
          </w:p>
        </w:tc>
        <w:tc>
          <w:tcPr>
            <w:tcW w:w="1701" w:type="dxa"/>
            <w:vMerge w:val="restart"/>
            <w:tcMar>
              <w:left w:w="108" w:type="dxa"/>
              <w:right w:w="108" w:type="dxa"/>
            </w:tcMar>
            <w:vAlign w:val="center"/>
          </w:tcPr>
          <w:p w14:paraId="6073FCF5">
            <w:pPr>
              <w:jc w:val="center"/>
              <w:rPr>
                <w:rFonts w:ascii="宋体" w:hAnsi="宋体"/>
                <w:color w:val="auto"/>
                <w:szCs w:val="21"/>
              </w:rPr>
            </w:pPr>
            <w:r>
              <w:rPr>
                <w:rFonts w:hint="eastAsia" w:ascii="宋体" w:hAnsi="宋体"/>
                <w:color w:val="auto"/>
                <w:szCs w:val="21"/>
              </w:rPr>
              <w:t>拟分包项目名称、范围及理由</w:t>
            </w:r>
          </w:p>
        </w:tc>
        <w:tc>
          <w:tcPr>
            <w:tcW w:w="5078" w:type="dxa"/>
            <w:gridSpan w:val="5"/>
            <w:tcMar>
              <w:left w:w="108" w:type="dxa"/>
              <w:right w:w="108" w:type="dxa"/>
            </w:tcMar>
            <w:vAlign w:val="center"/>
          </w:tcPr>
          <w:p w14:paraId="0F08474F">
            <w:pPr>
              <w:jc w:val="center"/>
              <w:rPr>
                <w:rFonts w:ascii="宋体" w:hAnsi="宋体"/>
                <w:color w:val="auto"/>
                <w:szCs w:val="21"/>
              </w:rPr>
            </w:pPr>
            <w:r>
              <w:rPr>
                <w:rFonts w:hint="eastAsia" w:ascii="宋体" w:hAnsi="宋体"/>
                <w:color w:val="auto"/>
                <w:szCs w:val="21"/>
              </w:rPr>
              <w:t>拟选分包人</w:t>
            </w:r>
          </w:p>
        </w:tc>
        <w:tc>
          <w:tcPr>
            <w:tcW w:w="961" w:type="dxa"/>
            <w:vMerge w:val="restart"/>
            <w:tcMar>
              <w:left w:w="108" w:type="dxa"/>
              <w:right w:w="108" w:type="dxa"/>
            </w:tcMar>
            <w:vAlign w:val="center"/>
          </w:tcPr>
          <w:p w14:paraId="12158022">
            <w:pPr>
              <w:jc w:val="center"/>
              <w:rPr>
                <w:rFonts w:ascii="宋体" w:hAnsi="宋体"/>
                <w:color w:val="auto"/>
                <w:szCs w:val="21"/>
              </w:rPr>
            </w:pPr>
            <w:r>
              <w:rPr>
                <w:rFonts w:hint="eastAsia" w:ascii="宋体" w:hAnsi="宋体"/>
                <w:color w:val="auto"/>
                <w:szCs w:val="21"/>
              </w:rPr>
              <w:t>备注</w:t>
            </w:r>
          </w:p>
        </w:tc>
      </w:tr>
      <w:tr w14:paraId="6FEB8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01CD6138">
            <w:pPr>
              <w:jc w:val="center"/>
              <w:rPr>
                <w:rFonts w:ascii="宋体" w:hAnsi="宋体"/>
                <w:color w:val="auto"/>
                <w:szCs w:val="21"/>
              </w:rPr>
            </w:pPr>
          </w:p>
        </w:tc>
        <w:tc>
          <w:tcPr>
            <w:tcW w:w="1701" w:type="dxa"/>
            <w:vMerge w:val="continue"/>
            <w:tcMar>
              <w:left w:w="108" w:type="dxa"/>
              <w:right w:w="108" w:type="dxa"/>
            </w:tcMar>
            <w:vAlign w:val="center"/>
          </w:tcPr>
          <w:p w14:paraId="1ED151DB">
            <w:pPr>
              <w:jc w:val="center"/>
              <w:rPr>
                <w:rFonts w:ascii="宋体" w:hAnsi="宋体"/>
                <w:color w:val="auto"/>
                <w:szCs w:val="21"/>
              </w:rPr>
            </w:pPr>
          </w:p>
        </w:tc>
        <w:tc>
          <w:tcPr>
            <w:tcW w:w="1751" w:type="dxa"/>
            <w:gridSpan w:val="2"/>
            <w:tcMar>
              <w:left w:w="108" w:type="dxa"/>
              <w:right w:w="108" w:type="dxa"/>
            </w:tcMar>
            <w:vAlign w:val="center"/>
          </w:tcPr>
          <w:p w14:paraId="2EA210C3">
            <w:pPr>
              <w:jc w:val="center"/>
              <w:rPr>
                <w:rFonts w:ascii="宋体" w:hAnsi="宋体"/>
                <w:color w:val="auto"/>
                <w:szCs w:val="21"/>
              </w:rPr>
            </w:pPr>
            <w:r>
              <w:rPr>
                <w:rFonts w:hint="eastAsia" w:ascii="宋体" w:hAnsi="宋体"/>
                <w:color w:val="auto"/>
                <w:szCs w:val="21"/>
              </w:rPr>
              <w:t>拟选分包人名称</w:t>
            </w:r>
          </w:p>
        </w:tc>
        <w:tc>
          <w:tcPr>
            <w:tcW w:w="1096" w:type="dxa"/>
            <w:tcMar>
              <w:left w:w="108" w:type="dxa"/>
              <w:right w:w="108" w:type="dxa"/>
            </w:tcMar>
            <w:vAlign w:val="center"/>
          </w:tcPr>
          <w:p w14:paraId="2CCC120D">
            <w:pPr>
              <w:jc w:val="center"/>
              <w:rPr>
                <w:rFonts w:ascii="宋体" w:hAnsi="宋体"/>
                <w:color w:val="auto"/>
                <w:szCs w:val="21"/>
              </w:rPr>
            </w:pPr>
            <w:r>
              <w:rPr>
                <w:rFonts w:hint="eastAsia" w:ascii="宋体" w:hAnsi="宋体"/>
                <w:color w:val="auto"/>
                <w:szCs w:val="21"/>
              </w:rPr>
              <w:t>注册地点</w:t>
            </w:r>
          </w:p>
        </w:tc>
        <w:tc>
          <w:tcPr>
            <w:tcW w:w="1064" w:type="dxa"/>
            <w:tcMar>
              <w:left w:w="108" w:type="dxa"/>
              <w:right w:w="108" w:type="dxa"/>
            </w:tcMar>
            <w:vAlign w:val="center"/>
          </w:tcPr>
          <w:p w14:paraId="53B8353D">
            <w:pPr>
              <w:jc w:val="center"/>
              <w:rPr>
                <w:rFonts w:ascii="宋体" w:hAnsi="宋体"/>
                <w:color w:val="auto"/>
                <w:szCs w:val="21"/>
              </w:rPr>
            </w:pPr>
            <w:r>
              <w:rPr>
                <w:rFonts w:hint="eastAsia" w:ascii="宋体" w:hAnsi="宋体"/>
                <w:color w:val="auto"/>
                <w:szCs w:val="21"/>
              </w:rPr>
              <w:t>企业资质</w:t>
            </w:r>
          </w:p>
        </w:tc>
        <w:tc>
          <w:tcPr>
            <w:tcW w:w="1167" w:type="dxa"/>
            <w:tcMar>
              <w:left w:w="108" w:type="dxa"/>
              <w:right w:w="108" w:type="dxa"/>
            </w:tcMar>
            <w:vAlign w:val="center"/>
          </w:tcPr>
          <w:p w14:paraId="799E617A">
            <w:pPr>
              <w:jc w:val="center"/>
              <w:rPr>
                <w:rFonts w:ascii="宋体" w:hAnsi="宋体"/>
                <w:color w:val="auto"/>
                <w:szCs w:val="21"/>
              </w:rPr>
            </w:pPr>
            <w:r>
              <w:rPr>
                <w:rFonts w:hint="eastAsia" w:ascii="宋体" w:hAnsi="宋体"/>
                <w:color w:val="auto"/>
                <w:szCs w:val="21"/>
              </w:rPr>
              <w:t>有关业绩</w:t>
            </w:r>
          </w:p>
        </w:tc>
        <w:tc>
          <w:tcPr>
            <w:tcW w:w="961" w:type="dxa"/>
            <w:vMerge w:val="continue"/>
            <w:tcMar>
              <w:left w:w="108" w:type="dxa"/>
              <w:right w:w="108" w:type="dxa"/>
            </w:tcMar>
            <w:vAlign w:val="center"/>
          </w:tcPr>
          <w:p w14:paraId="323B09E3">
            <w:pPr>
              <w:jc w:val="center"/>
              <w:rPr>
                <w:rFonts w:ascii="宋体" w:hAnsi="宋体"/>
                <w:color w:val="auto"/>
                <w:szCs w:val="21"/>
              </w:rPr>
            </w:pPr>
          </w:p>
        </w:tc>
      </w:tr>
      <w:tr w14:paraId="7AF94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restart"/>
            <w:tcMar>
              <w:left w:w="108" w:type="dxa"/>
              <w:right w:w="108" w:type="dxa"/>
            </w:tcMar>
            <w:vAlign w:val="center"/>
          </w:tcPr>
          <w:p w14:paraId="63AFDEC7">
            <w:pPr>
              <w:jc w:val="center"/>
              <w:rPr>
                <w:rFonts w:ascii="宋体" w:hAnsi="宋体"/>
                <w:color w:val="auto"/>
                <w:szCs w:val="21"/>
              </w:rPr>
            </w:pPr>
          </w:p>
        </w:tc>
        <w:tc>
          <w:tcPr>
            <w:tcW w:w="1701" w:type="dxa"/>
            <w:vMerge w:val="restart"/>
            <w:tcMar>
              <w:left w:w="108" w:type="dxa"/>
              <w:right w:w="108" w:type="dxa"/>
            </w:tcMar>
            <w:vAlign w:val="center"/>
          </w:tcPr>
          <w:p w14:paraId="7646E9FF">
            <w:pPr>
              <w:jc w:val="center"/>
              <w:rPr>
                <w:rFonts w:ascii="宋体" w:hAnsi="宋体"/>
                <w:color w:val="auto"/>
                <w:szCs w:val="21"/>
              </w:rPr>
            </w:pPr>
          </w:p>
        </w:tc>
        <w:tc>
          <w:tcPr>
            <w:tcW w:w="829" w:type="dxa"/>
            <w:tcMar>
              <w:left w:w="108" w:type="dxa"/>
              <w:right w:w="108" w:type="dxa"/>
            </w:tcMar>
            <w:vAlign w:val="center"/>
          </w:tcPr>
          <w:p w14:paraId="2E9220D6">
            <w:pPr>
              <w:jc w:val="center"/>
              <w:rPr>
                <w:rFonts w:ascii="黑体" w:hAnsi="宋体" w:eastAsia="黑体"/>
                <w:color w:val="auto"/>
                <w:szCs w:val="21"/>
              </w:rPr>
            </w:pPr>
            <w:r>
              <w:rPr>
                <w:rFonts w:hint="eastAsia" w:ascii="黑体" w:hAnsi="宋体" w:eastAsia="黑体"/>
                <w:color w:val="auto"/>
                <w:szCs w:val="21"/>
              </w:rPr>
              <w:t>1</w:t>
            </w:r>
          </w:p>
        </w:tc>
        <w:tc>
          <w:tcPr>
            <w:tcW w:w="922" w:type="dxa"/>
            <w:tcMar>
              <w:left w:w="108" w:type="dxa"/>
              <w:right w:w="108" w:type="dxa"/>
            </w:tcMar>
            <w:vAlign w:val="center"/>
          </w:tcPr>
          <w:p w14:paraId="3CEB54BE">
            <w:pPr>
              <w:jc w:val="center"/>
              <w:rPr>
                <w:rFonts w:ascii="宋体" w:hAnsi="宋体"/>
                <w:color w:val="auto"/>
                <w:szCs w:val="21"/>
              </w:rPr>
            </w:pPr>
          </w:p>
        </w:tc>
        <w:tc>
          <w:tcPr>
            <w:tcW w:w="1096" w:type="dxa"/>
            <w:tcMar>
              <w:left w:w="108" w:type="dxa"/>
              <w:right w:w="108" w:type="dxa"/>
            </w:tcMar>
            <w:vAlign w:val="center"/>
          </w:tcPr>
          <w:p w14:paraId="156DB849">
            <w:pPr>
              <w:jc w:val="center"/>
              <w:rPr>
                <w:rFonts w:ascii="宋体" w:hAnsi="宋体"/>
                <w:color w:val="auto"/>
                <w:szCs w:val="21"/>
              </w:rPr>
            </w:pPr>
          </w:p>
        </w:tc>
        <w:tc>
          <w:tcPr>
            <w:tcW w:w="1064" w:type="dxa"/>
            <w:tcMar>
              <w:left w:w="108" w:type="dxa"/>
              <w:right w:w="108" w:type="dxa"/>
            </w:tcMar>
            <w:vAlign w:val="center"/>
          </w:tcPr>
          <w:p w14:paraId="0DE6D99E">
            <w:pPr>
              <w:jc w:val="center"/>
              <w:rPr>
                <w:rFonts w:ascii="宋体" w:hAnsi="宋体"/>
                <w:color w:val="auto"/>
                <w:szCs w:val="21"/>
              </w:rPr>
            </w:pPr>
          </w:p>
        </w:tc>
        <w:tc>
          <w:tcPr>
            <w:tcW w:w="1167" w:type="dxa"/>
            <w:tcMar>
              <w:left w:w="108" w:type="dxa"/>
              <w:right w:w="108" w:type="dxa"/>
            </w:tcMar>
            <w:vAlign w:val="center"/>
          </w:tcPr>
          <w:p w14:paraId="321E0212">
            <w:pPr>
              <w:jc w:val="center"/>
              <w:rPr>
                <w:rFonts w:ascii="宋体" w:hAnsi="宋体"/>
                <w:color w:val="auto"/>
                <w:szCs w:val="21"/>
              </w:rPr>
            </w:pPr>
          </w:p>
        </w:tc>
        <w:tc>
          <w:tcPr>
            <w:tcW w:w="961" w:type="dxa"/>
            <w:tcMar>
              <w:left w:w="108" w:type="dxa"/>
              <w:right w:w="108" w:type="dxa"/>
            </w:tcMar>
            <w:vAlign w:val="center"/>
          </w:tcPr>
          <w:p w14:paraId="56DC55BF">
            <w:pPr>
              <w:jc w:val="center"/>
              <w:rPr>
                <w:rFonts w:ascii="宋体" w:hAnsi="宋体"/>
                <w:color w:val="auto"/>
                <w:szCs w:val="21"/>
              </w:rPr>
            </w:pPr>
          </w:p>
        </w:tc>
      </w:tr>
      <w:tr w14:paraId="45503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63003C62">
            <w:pPr>
              <w:jc w:val="center"/>
              <w:rPr>
                <w:rFonts w:ascii="宋体" w:hAnsi="宋体"/>
                <w:color w:val="auto"/>
                <w:szCs w:val="21"/>
              </w:rPr>
            </w:pPr>
          </w:p>
        </w:tc>
        <w:tc>
          <w:tcPr>
            <w:tcW w:w="1701" w:type="dxa"/>
            <w:vMerge w:val="continue"/>
            <w:tcMar>
              <w:left w:w="108" w:type="dxa"/>
              <w:right w:w="108" w:type="dxa"/>
            </w:tcMar>
            <w:vAlign w:val="center"/>
          </w:tcPr>
          <w:p w14:paraId="478D387B">
            <w:pPr>
              <w:jc w:val="center"/>
              <w:rPr>
                <w:rFonts w:ascii="宋体" w:hAnsi="宋体"/>
                <w:color w:val="auto"/>
                <w:szCs w:val="21"/>
              </w:rPr>
            </w:pPr>
          </w:p>
        </w:tc>
        <w:tc>
          <w:tcPr>
            <w:tcW w:w="829" w:type="dxa"/>
            <w:tcMar>
              <w:left w:w="108" w:type="dxa"/>
              <w:right w:w="108" w:type="dxa"/>
            </w:tcMar>
            <w:vAlign w:val="center"/>
          </w:tcPr>
          <w:p w14:paraId="736F2A23">
            <w:pPr>
              <w:jc w:val="center"/>
              <w:rPr>
                <w:rFonts w:ascii="黑体" w:hAnsi="宋体" w:eastAsia="黑体"/>
                <w:color w:val="auto"/>
                <w:szCs w:val="21"/>
              </w:rPr>
            </w:pPr>
            <w:r>
              <w:rPr>
                <w:rFonts w:hint="eastAsia" w:ascii="黑体" w:hAnsi="宋体" w:eastAsia="黑体"/>
                <w:color w:val="auto"/>
                <w:szCs w:val="21"/>
              </w:rPr>
              <w:t>2</w:t>
            </w:r>
          </w:p>
        </w:tc>
        <w:tc>
          <w:tcPr>
            <w:tcW w:w="922" w:type="dxa"/>
            <w:tcMar>
              <w:left w:w="108" w:type="dxa"/>
              <w:right w:w="108" w:type="dxa"/>
            </w:tcMar>
            <w:vAlign w:val="center"/>
          </w:tcPr>
          <w:p w14:paraId="0DC519D3">
            <w:pPr>
              <w:jc w:val="center"/>
              <w:rPr>
                <w:rFonts w:ascii="宋体" w:hAnsi="宋体"/>
                <w:color w:val="auto"/>
                <w:szCs w:val="21"/>
              </w:rPr>
            </w:pPr>
          </w:p>
        </w:tc>
        <w:tc>
          <w:tcPr>
            <w:tcW w:w="1096" w:type="dxa"/>
            <w:tcMar>
              <w:left w:w="108" w:type="dxa"/>
              <w:right w:w="108" w:type="dxa"/>
            </w:tcMar>
            <w:vAlign w:val="center"/>
          </w:tcPr>
          <w:p w14:paraId="1F272283">
            <w:pPr>
              <w:jc w:val="center"/>
              <w:rPr>
                <w:rFonts w:ascii="宋体" w:hAnsi="宋体"/>
                <w:color w:val="auto"/>
                <w:szCs w:val="21"/>
              </w:rPr>
            </w:pPr>
          </w:p>
        </w:tc>
        <w:tc>
          <w:tcPr>
            <w:tcW w:w="1064" w:type="dxa"/>
            <w:tcMar>
              <w:left w:w="108" w:type="dxa"/>
              <w:right w:w="108" w:type="dxa"/>
            </w:tcMar>
            <w:vAlign w:val="center"/>
          </w:tcPr>
          <w:p w14:paraId="693E19DE">
            <w:pPr>
              <w:jc w:val="center"/>
              <w:rPr>
                <w:rFonts w:ascii="宋体" w:hAnsi="宋体"/>
                <w:color w:val="auto"/>
                <w:szCs w:val="21"/>
              </w:rPr>
            </w:pPr>
          </w:p>
        </w:tc>
        <w:tc>
          <w:tcPr>
            <w:tcW w:w="1167" w:type="dxa"/>
            <w:tcMar>
              <w:left w:w="108" w:type="dxa"/>
              <w:right w:w="108" w:type="dxa"/>
            </w:tcMar>
            <w:vAlign w:val="center"/>
          </w:tcPr>
          <w:p w14:paraId="41AFEB9F">
            <w:pPr>
              <w:jc w:val="center"/>
              <w:rPr>
                <w:rFonts w:ascii="宋体" w:hAnsi="宋体"/>
                <w:color w:val="auto"/>
                <w:szCs w:val="21"/>
              </w:rPr>
            </w:pPr>
          </w:p>
        </w:tc>
        <w:tc>
          <w:tcPr>
            <w:tcW w:w="961" w:type="dxa"/>
            <w:tcMar>
              <w:left w:w="108" w:type="dxa"/>
              <w:right w:w="108" w:type="dxa"/>
            </w:tcMar>
            <w:vAlign w:val="center"/>
          </w:tcPr>
          <w:p w14:paraId="6EBBED1D">
            <w:pPr>
              <w:jc w:val="center"/>
              <w:rPr>
                <w:rFonts w:ascii="宋体" w:hAnsi="宋体"/>
                <w:color w:val="auto"/>
                <w:szCs w:val="21"/>
              </w:rPr>
            </w:pPr>
          </w:p>
        </w:tc>
      </w:tr>
      <w:tr w14:paraId="41009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66A39A73">
            <w:pPr>
              <w:jc w:val="center"/>
              <w:rPr>
                <w:rFonts w:ascii="宋体" w:hAnsi="宋体"/>
                <w:color w:val="auto"/>
                <w:szCs w:val="21"/>
              </w:rPr>
            </w:pPr>
          </w:p>
        </w:tc>
        <w:tc>
          <w:tcPr>
            <w:tcW w:w="1701" w:type="dxa"/>
            <w:vMerge w:val="continue"/>
            <w:tcMar>
              <w:left w:w="108" w:type="dxa"/>
              <w:right w:w="108" w:type="dxa"/>
            </w:tcMar>
            <w:vAlign w:val="center"/>
          </w:tcPr>
          <w:p w14:paraId="2CC06599">
            <w:pPr>
              <w:jc w:val="center"/>
              <w:rPr>
                <w:rFonts w:ascii="宋体" w:hAnsi="宋体"/>
                <w:color w:val="auto"/>
                <w:szCs w:val="21"/>
              </w:rPr>
            </w:pPr>
          </w:p>
        </w:tc>
        <w:tc>
          <w:tcPr>
            <w:tcW w:w="829" w:type="dxa"/>
            <w:tcMar>
              <w:left w:w="108" w:type="dxa"/>
              <w:right w:w="108" w:type="dxa"/>
            </w:tcMar>
            <w:vAlign w:val="center"/>
          </w:tcPr>
          <w:p w14:paraId="208AA514">
            <w:pPr>
              <w:jc w:val="center"/>
              <w:rPr>
                <w:rFonts w:ascii="黑体" w:hAnsi="宋体" w:eastAsia="黑体"/>
                <w:color w:val="auto"/>
                <w:szCs w:val="21"/>
              </w:rPr>
            </w:pPr>
            <w:r>
              <w:rPr>
                <w:rFonts w:hint="eastAsia" w:ascii="黑体" w:hAnsi="宋体" w:eastAsia="黑体"/>
                <w:color w:val="auto"/>
                <w:szCs w:val="21"/>
              </w:rPr>
              <w:t>3</w:t>
            </w:r>
          </w:p>
        </w:tc>
        <w:tc>
          <w:tcPr>
            <w:tcW w:w="922" w:type="dxa"/>
            <w:tcMar>
              <w:left w:w="108" w:type="dxa"/>
              <w:right w:w="108" w:type="dxa"/>
            </w:tcMar>
            <w:vAlign w:val="center"/>
          </w:tcPr>
          <w:p w14:paraId="253EF87B">
            <w:pPr>
              <w:jc w:val="center"/>
              <w:rPr>
                <w:rFonts w:ascii="宋体" w:hAnsi="宋体"/>
                <w:color w:val="auto"/>
                <w:szCs w:val="21"/>
              </w:rPr>
            </w:pPr>
          </w:p>
        </w:tc>
        <w:tc>
          <w:tcPr>
            <w:tcW w:w="1096" w:type="dxa"/>
            <w:tcMar>
              <w:left w:w="108" w:type="dxa"/>
              <w:right w:w="108" w:type="dxa"/>
            </w:tcMar>
            <w:vAlign w:val="center"/>
          </w:tcPr>
          <w:p w14:paraId="76278A1E">
            <w:pPr>
              <w:jc w:val="center"/>
              <w:rPr>
                <w:rFonts w:ascii="宋体" w:hAnsi="宋体"/>
                <w:color w:val="auto"/>
                <w:szCs w:val="21"/>
              </w:rPr>
            </w:pPr>
          </w:p>
        </w:tc>
        <w:tc>
          <w:tcPr>
            <w:tcW w:w="1064" w:type="dxa"/>
            <w:tcMar>
              <w:left w:w="108" w:type="dxa"/>
              <w:right w:w="108" w:type="dxa"/>
            </w:tcMar>
            <w:vAlign w:val="center"/>
          </w:tcPr>
          <w:p w14:paraId="792A0DEB">
            <w:pPr>
              <w:jc w:val="center"/>
              <w:rPr>
                <w:rFonts w:ascii="宋体" w:hAnsi="宋体"/>
                <w:color w:val="auto"/>
                <w:szCs w:val="21"/>
              </w:rPr>
            </w:pPr>
          </w:p>
        </w:tc>
        <w:tc>
          <w:tcPr>
            <w:tcW w:w="1167" w:type="dxa"/>
            <w:tcMar>
              <w:left w:w="108" w:type="dxa"/>
              <w:right w:w="108" w:type="dxa"/>
            </w:tcMar>
            <w:vAlign w:val="center"/>
          </w:tcPr>
          <w:p w14:paraId="25A95483">
            <w:pPr>
              <w:jc w:val="center"/>
              <w:rPr>
                <w:rFonts w:ascii="宋体" w:hAnsi="宋体"/>
                <w:color w:val="auto"/>
                <w:szCs w:val="21"/>
              </w:rPr>
            </w:pPr>
          </w:p>
        </w:tc>
        <w:tc>
          <w:tcPr>
            <w:tcW w:w="961" w:type="dxa"/>
            <w:tcMar>
              <w:left w:w="108" w:type="dxa"/>
              <w:right w:w="108" w:type="dxa"/>
            </w:tcMar>
            <w:vAlign w:val="center"/>
          </w:tcPr>
          <w:p w14:paraId="481DF8BE">
            <w:pPr>
              <w:jc w:val="center"/>
              <w:rPr>
                <w:rFonts w:ascii="宋体" w:hAnsi="宋体"/>
                <w:color w:val="auto"/>
                <w:szCs w:val="21"/>
              </w:rPr>
            </w:pPr>
          </w:p>
        </w:tc>
      </w:tr>
      <w:tr w14:paraId="0923E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restart"/>
            <w:tcMar>
              <w:left w:w="108" w:type="dxa"/>
              <w:right w:w="108" w:type="dxa"/>
            </w:tcMar>
            <w:vAlign w:val="center"/>
          </w:tcPr>
          <w:p w14:paraId="7FD011B2">
            <w:pPr>
              <w:jc w:val="center"/>
              <w:rPr>
                <w:rFonts w:ascii="宋体" w:hAnsi="宋体"/>
                <w:color w:val="auto"/>
                <w:szCs w:val="21"/>
              </w:rPr>
            </w:pPr>
          </w:p>
        </w:tc>
        <w:tc>
          <w:tcPr>
            <w:tcW w:w="1701" w:type="dxa"/>
            <w:vMerge w:val="restart"/>
            <w:tcMar>
              <w:left w:w="108" w:type="dxa"/>
              <w:right w:w="108" w:type="dxa"/>
            </w:tcMar>
            <w:vAlign w:val="center"/>
          </w:tcPr>
          <w:p w14:paraId="22FAA538">
            <w:pPr>
              <w:jc w:val="center"/>
              <w:rPr>
                <w:rFonts w:ascii="宋体" w:hAnsi="宋体"/>
                <w:color w:val="auto"/>
                <w:szCs w:val="21"/>
              </w:rPr>
            </w:pPr>
          </w:p>
        </w:tc>
        <w:tc>
          <w:tcPr>
            <w:tcW w:w="829" w:type="dxa"/>
            <w:tcMar>
              <w:left w:w="108" w:type="dxa"/>
              <w:right w:w="108" w:type="dxa"/>
            </w:tcMar>
            <w:vAlign w:val="center"/>
          </w:tcPr>
          <w:p w14:paraId="66B922EF">
            <w:pPr>
              <w:jc w:val="center"/>
              <w:rPr>
                <w:rFonts w:ascii="黑体" w:hAnsi="宋体" w:eastAsia="黑体"/>
                <w:color w:val="auto"/>
                <w:szCs w:val="21"/>
              </w:rPr>
            </w:pPr>
            <w:r>
              <w:rPr>
                <w:rFonts w:hint="eastAsia" w:ascii="黑体" w:hAnsi="宋体" w:eastAsia="黑体"/>
                <w:color w:val="auto"/>
                <w:szCs w:val="21"/>
              </w:rPr>
              <w:t>1</w:t>
            </w:r>
          </w:p>
        </w:tc>
        <w:tc>
          <w:tcPr>
            <w:tcW w:w="922" w:type="dxa"/>
            <w:tcMar>
              <w:left w:w="108" w:type="dxa"/>
              <w:right w:w="108" w:type="dxa"/>
            </w:tcMar>
            <w:vAlign w:val="center"/>
          </w:tcPr>
          <w:p w14:paraId="0C81EC27">
            <w:pPr>
              <w:jc w:val="center"/>
              <w:rPr>
                <w:rFonts w:ascii="宋体" w:hAnsi="宋体"/>
                <w:color w:val="auto"/>
                <w:szCs w:val="21"/>
              </w:rPr>
            </w:pPr>
          </w:p>
        </w:tc>
        <w:tc>
          <w:tcPr>
            <w:tcW w:w="1096" w:type="dxa"/>
            <w:tcMar>
              <w:left w:w="108" w:type="dxa"/>
              <w:right w:w="108" w:type="dxa"/>
            </w:tcMar>
            <w:vAlign w:val="center"/>
          </w:tcPr>
          <w:p w14:paraId="63C6F7FC">
            <w:pPr>
              <w:jc w:val="center"/>
              <w:rPr>
                <w:rFonts w:ascii="宋体" w:hAnsi="宋体"/>
                <w:color w:val="auto"/>
                <w:szCs w:val="21"/>
              </w:rPr>
            </w:pPr>
          </w:p>
        </w:tc>
        <w:tc>
          <w:tcPr>
            <w:tcW w:w="1064" w:type="dxa"/>
            <w:tcMar>
              <w:left w:w="108" w:type="dxa"/>
              <w:right w:w="108" w:type="dxa"/>
            </w:tcMar>
            <w:vAlign w:val="center"/>
          </w:tcPr>
          <w:p w14:paraId="002FDEEE">
            <w:pPr>
              <w:jc w:val="center"/>
              <w:rPr>
                <w:rFonts w:ascii="宋体" w:hAnsi="宋体"/>
                <w:color w:val="auto"/>
                <w:szCs w:val="21"/>
              </w:rPr>
            </w:pPr>
          </w:p>
        </w:tc>
        <w:tc>
          <w:tcPr>
            <w:tcW w:w="1167" w:type="dxa"/>
            <w:tcMar>
              <w:left w:w="108" w:type="dxa"/>
              <w:right w:w="108" w:type="dxa"/>
            </w:tcMar>
            <w:vAlign w:val="center"/>
          </w:tcPr>
          <w:p w14:paraId="6E2BBBC4">
            <w:pPr>
              <w:jc w:val="center"/>
              <w:rPr>
                <w:rFonts w:ascii="宋体" w:hAnsi="宋体"/>
                <w:color w:val="auto"/>
                <w:szCs w:val="21"/>
              </w:rPr>
            </w:pPr>
          </w:p>
        </w:tc>
        <w:tc>
          <w:tcPr>
            <w:tcW w:w="961" w:type="dxa"/>
            <w:tcMar>
              <w:left w:w="108" w:type="dxa"/>
              <w:right w:w="108" w:type="dxa"/>
            </w:tcMar>
            <w:vAlign w:val="center"/>
          </w:tcPr>
          <w:p w14:paraId="6C5FC3CA">
            <w:pPr>
              <w:jc w:val="center"/>
              <w:rPr>
                <w:rFonts w:ascii="宋体" w:hAnsi="宋体"/>
                <w:color w:val="auto"/>
                <w:szCs w:val="21"/>
              </w:rPr>
            </w:pPr>
          </w:p>
        </w:tc>
      </w:tr>
      <w:tr w14:paraId="274D9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09A5986B">
            <w:pPr>
              <w:jc w:val="center"/>
              <w:rPr>
                <w:rFonts w:ascii="宋体" w:hAnsi="宋体"/>
                <w:color w:val="auto"/>
                <w:szCs w:val="21"/>
              </w:rPr>
            </w:pPr>
          </w:p>
        </w:tc>
        <w:tc>
          <w:tcPr>
            <w:tcW w:w="1701" w:type="dxa"/>
            <w:vMerge w:val="continue"/>
            <w:tcMar>
              <w:left w:w="108" w:type="dxa"/>
              <w:right w:w="108" w:type="dxa"/>
            </w:tcMar>
            <w:vAlign w:val="center"/>
          </w:tcPr>
          <w:p w14:paraId="0E2F571A">
            <w:pPr>
              <w:jc w:val="center"/>
              <w:rPr>
                <w:rFonts w:ascii="宋体" w:hAnsi="宋体"/>
                <w:color w:val="auto"/>
                <w:szCs w:val="21"/>
              </w:rPr>
            </w:pPr>
          </w:p>
        </w:tc>
        <w:tc>
          <w:tcPr>
            <w:tcW w:w="829" w:type="dxa"/>
            <w:tcMar>
              <w:left w:w="108" w:type="dxa"/>
              <w:right w:w="108" w:type="dxa"/>
            </w:tcMar>
            <w:vAlign w:val="center"/>
          </w:tcPr>
          <w:p w14:paraId="364B057B">
            <w:pPr>
              <w:jc w:val="center"/>
              <w:rPr>
                <w:rFonts w:ascii="黑体" w:hAnsi="宋体" w:eastAsia="黑体"/>
                <w:color w:val="auto"/>
                <w:szCs w:val="21"/>
              </w:rPr>
            </w:pPr>
            <w:r>
              <w:rPr>
                <w:rFonts w:hint="eastAsia" w:ascii="黑体" w:hAnsi="宋体" w:eastAsia="黑体"/>
                <w:color w:val="auto"/>
                <w:szCs w:val="21"/>
              </w:rPr>
              <w:t>2</w:t>
            </w:r>
          </w:p>
        </w:tc>
        <w:tc>
          <w:tcPr>
            <w:tcW w:w="922" w:type="dxa"/>
            <w:tcMar>
              <w:left w:w="108" w:type="dxa"/>
              <w:right w:w="108" w:type="dxa"/>
            </w:tcMar>
            <w:vAlign w:val="center"/>
          </w:tcPr>
          <w:p w14:paraId="3883BE76">
            <w:pPr>
              <w:jc w:val="center"/>
              <w:rPr>
                <w:rFonts w:ascii="宋体" w:hAnsi="宋体"/>
                <w:color w:val="auto"/>
                <w:szCs w:val="21"/>
              </w:rPr>
            </w:pPr>
          </w:p>
        </w:tc>
        <w:tc>
          <w:tcPr>
            <w:tcW w:w="1096" w:type="dxa"/>
            <w:tcMar>
              <w:left w:w="108" w:type="dxa"/>
              <w:right w:w="108" w:type="dxa"/>
            </w:tcMar>
            <w:vAlign w:val="center"/>
          </w:tcPr>
          <w:p w14:paraId="480F4B2E">
            <w:pPr>
              <w:jc w:val="center"/>
              <w:rPr>
                <w:rFonts w:ascii="宋体" w:hAnsi="宋体"/>
                <w:color w:val="auto"/>
                <w:szCs w:val="21"/>
              </w:rPr>
            </w:pPr>
          </w:p>
        </w:tc>
        <w:tc>
          <w:tcPr>
            <w:tcW w:w="1064" w:type="dxa"/>
            <w:tcMar>
              <w:left w:w="108" w:type="dxa"/>
              <w:right w:w="108" w:type="dxa"/>
            </w:tcMar>
            <w:vAlign w:val="center"/>
          </w:tcPr>
          <w:p w14:paraId="34C696E4">
            <w:pPr>
              <w:jc w:val="center"/>
              <w:rPr>
                <w:rFonts w:ascii="宋体" w:hAnsi="宋体"/>
                <w:color w:val="auto"/>
                <w:szCs w:val="21"/>
              </w:rPr>
            </w:pPr>
          </w:p>
        </w:tc>
        <w:tc>
          <w:tcPr>
            <w:tcW w:w="1167" w:type="dxa"/>
            <w:tcMar>
              <w:left w:w="108" w:type="dxa"/>
              <w:right w:w="108" w:type="dxa"/>
            </w:tcMar>
            <w:vAlign w:val="center"/>
          </w:tcPr>
          <w:p w14:paraId="72275740">
            <w:pPr>
              <w:jc w:val="center"/>
              <w:rPr>
                <w:rFonts w:ascii="宋体" w:hAnsi="宋体"/>
                <w:color w:val="auto"/>
                <w:szCs w:val="21"/>
              </w:rPr>
            </w:pPr>
          </w:p>
        </w:tc>
        <w:tc>
          <w:tcPr>
            <w:tcW w:w="961" w:type="dxa"/>
            <w:tcMar>
              <w:left w:w="108" w:type="dxa"/>
              <w:right w:w="108" w:type="dxa"/>
            </w:tcMar>
            <w:vAlign w:val="center"/>
          </w:tcPr>
          <w:p w14:paraId="08AF7F95">
            <w:pPr>
              <w:jc w:val="center"/>
              <w:rPr>
                <w:rFonts w:ascii="宋体" w:hAnsi="宋体"/>
                <w:color w:val="auto"/>
                <w:szCs w:val="21"/>
              </w:rPr>
            </w:pPr>
          </w:p>
        </w:tc>
      </w:tr>
      <w:tr w14:paraId="51F6F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218ACE12">
            <w:pPr>
              <w:jc w:val="center"/>
              <w:rPr>
                <w:rFonts w:ascii="宋体" w:hAnsi="宋体"/>
                <w:color w:val="auto"/>
                <w:szCs w:val="21"/>
              </w:rPr>
            </w:pPr>
          </w:p>
        </w:tc>
        <w:tc>
          <w:tcPr>
            <w:tcW w:w="1701" w:type="dxa"/>
            <w:vMerge w:val="continue"/>
            <w:tcMar>
              <w:left w:w="108" w:type="dxa"/>
              <w:right w:w="108" w:type="dxa"/>
            </w:tcMar>
            <w:vAlign w:val="center"/>
          </w:tcPr>
          <w:p w14:paraId="58B092B5">
            <w:pPr>
              <w:jc w:val="center"/>
              <w:rPr>
                <w:rFonts w:ascii="宋体" w:hAnsi="宋体"/>
                <w:color w:val="auto"/>
                <w:szCs w:val="21"/>
              </w:rPr>
            </w:pPr>
          </w:p>
        </w:tc>
        <w:tc>
          <w:tcPr>
            <w:tcW w:w="829" w:type="dxa"/>
            <w:tcMar>
              <w:left w:w="108" w:type="dxa"/>
              <w:right w:w="108" w:type="dxa"/>
            </w:tcMar>
            <w:vAlign w:val="center"/>
          </w:tcPr>
          <w:p w14:paraId="6EA896D3">
            <w:pPr>
              <w:jc w:val="center"/>
              <w:rPr>
                <w:rFonts w:ascii="黑体" w:hAnsi="宋体" w:eastAsia="黑体"/>
                <w:color w:val="auto"/>
                <w:szCs w:val="21"/>
              </w:rPr>
            </w:pPr>
            <w:r>
              <w:rPr>
                <w:rFonts w:hint="eastAsia" w:ascii="黑体" w:hAnsi="宋体" w:eastAsia="黑体"/>
                <w:color w:val="auto"/>
                <w:szCs w:val="21"/>
              </w:rPr>
              <w:t>3</w:t>
            </w:r>
          </w:p>
        </w:tc>
        <w:tc>
          <w:tcPr>
            <w:tcW w:w="922" w:type="dxa"/>
            <w:tcMar>
              <w:left w:w="108" w:type="dxa"/>
              <w:right w:w="108" w:type="dxa"/>
            </w:tcMar>
            <w:vAlign w:val="center"/>
          </w:tcPr>
          <w:p w14:paraId="46E77928">
            <w:pPr>
              <w:jc w:val="center"/>
              <w:rPr>
                <w:rFonts w:ascii="宋体" w:hAnsi="宋体"/>
                <w:color w:val="auto"/>
                <w:szCs w:val="21"/>
              </w:rPr>
            </w:pPr>
          </w:p>
        </w:tc>
        <w:tc>
          <w:tcPr>
            <w:tcW w:w="1096" w:type="dxa"/>
            <w:tcMar>
              <w:left w:w="108" w:type="dxa"/>
              <w:right w:w="108" w:type="dxa"/>
            </w:tcMar>
            <w:vAlign w:val="center"/>
          </w:tcPr>
          <w:p w14:paraId="4577E014">
            <w:pPr>
              <w:jc w:val="center"/>
              <w:rPr>
                <w:rFonts w:ascii="宋体" w:hAnsi="宋体"/>
                <w:color w:val="auto"/>
                <w:szCs w:val="21"/>
              </w:rPr>
            </w:pPr>
          </w:p>
        </w:tc>
        <w:tc>
          <w:tcPr>
            <w:tcW w:w="1064" w:type="dxa"/>
            <w:tcMar>
              <w:left w:w="108" w:type="dxa"/>
              <w:right w:w="108" w:type="dxa"/>
            </w:tcMar>
            <w:vAlign w:val="center"/>
          </w:tcPr>
          <w:p w14:paraId="16AE914B">
            <w:pPr>
              <w:jc w:val="center"/>
              <w:rPr>
                <w:rFonts w:ascii="宋体" w:hAnsi="宋体"/>
                <w:color w:val="auto"/>
                <w:szCs w:val="21"/>
              </w:rPr>
            </w:pPr>
          </w:p>
        </w:tc>
        <w:tc>
          <w:tcPr>
            <w:tcW w:w="1167" w:type="dxa"/>
            <w:tcMar>
              <w:left w:w="108" w:type="dxa"/>
              <w:right w:w="108" w:type="dxa"/>
            </w:tcMar>
            <w:vAlign w:val="center"/>
          </w:tcPr>
          <w:p w14:paraId="0188E319">
            <w:pPr>
              <w:jc w:val="center"/>
              <w:rPr>
                <w:rFonts w:ascii="宋体" w:hAnsi="宋体"/>
                <w:color w:val="auto"/>
                <w:szCs w:val="21"/>
              </w:rPr>
            </w:pPr>
          </w:p>
        </w:tc>
        <w:tc>
          <w:tcPr>
            <w:tcW w:w="961" w:type="dxa"/>
            <w:tcMar>
              <w:left w:w="108" w:type="dxa"/>
              <w:right w:w="108" w:type="dxa"/>
            </w:tcMar>
            <w:vAlign w:val="center"/>
          </w:tcPr>
          <w:p w14:paraId="4AA3C304">
            <w:pPr>
              <w:jc w:val="center"/>
              <w:rPr>
                <w:rFonts w:ascii="宋体" w:hAnsi="宋体"/>
                <w:color w:val="auto"/>
                <w:szCs w:val="21"/>
              </w:rPr>
            </w:pPr>
          </w:p>
        </w:tc>
      </w:tr>
      <w:tr w14:paraId="58EC3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restart"/>
            <w:tcMar>
              <w:left w:w="108" w:type="dxa"/>
              <w:right w:w="108" w:type="dxa"/>
            </w:tcMar>
            <w:vAlign w:val="center"/>
          </w:tcPr>
          <w:p w14:paraId="3F2F1E8C">
            <w:pPr>
              <w:jc w:val="center"/>
              <w:rPr>
                <w:rFonts w:ascii="宋体" w:hAnsi="宋体"/>
                <w:color w:val="auto"/>
                <w:szCs w:val="21"/>
              </w:rPr>
            </w:pPr>
          </w:p>
        </w:tc>
        <w:tc>
          <w:tcPr>
            <w:tcW w:w="1701" w:type="dxa"/>
            <w:vMerge w:val="restart"/>
            <w:tcMar>
              <w:left w:w="108" w:type="dxa"/>
              <w:right w:w="108" w:type="dxa"/>
            </w:tcMar>
            <w:vAlign w:val="center"/>
          </w:tcPr>
          <w:p w14:paraId="1F848686">
            <w:pPr>
              <w:jc w:val="center"/>
              <w:rPr>
                <w:rFonts w:ascii="宋体" w:hAnsi="宋体"/>
                <w:color w:val="auto"/>
                <w:szCs w:val="21"/>
              </w:rPr>
            </w:pPr>
          </w:p>
        </w:tc>
        <w:tc>
          <w:tcPr>
            <w:tcW w:w="829" w:type="dxa"/>
            <w:tcMar>
              <w:left w:w="108" w:type="dxa"/>
              <w:right w:w="108" w:type="dxa"/>
            </w:tcMar>
            <w:vAlign w:val="center"/>
          </w:tcPr>
          <w:p w14:paraId="02907B55">
            <w:pPr>
              <w:jc w:val="center"/>
              <w:rPr>
                <w:rFonts w:ascii="黑体" w:hAnsi="宋体" w:eastAsia="黑体"/>
                <w:color w:val="auto"/>
                <w:szCs w:val="21"/>
              </w:rPr>
            </w:pPr>
            <w:r>
              <w:rPr>
                <w:rFonts w:hint="eastAsia" w:ascii="黑体" w:hAnsi="宋体" w:eastAsia="黑体"/>
                <w:color w:val="auto"/>
                <w:szCs w:val="21"/>
              </w:rPr>
              <w:t>1</w:t>
            </w:r>
          </w:p>
        </w:tc>
        <w:tc>
          <w:tcPr>
            <w:tcW w:w="922" w:type="dxa"/>
            <w:tcMar>
              <w:left w:w="108" w:type="dxa"/>
              <w:right w:w="108" w:type="dxa"/>
            </w:tcMar>
            <w:vAlign w:val="center"/>
          </w:tcPr>
          <w:p w14:paraId="521CEC10">
            <w:pPr>
              <w:jc w:val="center"/>
              <w:rPr>
                <w:rFonts w:ascii="宋体" w:hAnsi="宋体"/>
                <w:color w:val="auto"/>
                <w:szCs w:val="21"/>
              </w:rPr>
            </w:pPr>
          </w:p>
        </w:tc>
        <w:tc>
          <w:tcPr>
            <w:tcW w:w="1096" w:type="dxa"/>
            <w:tcMar>
              <w:left w:w="108" w:type="dxa"/>
              <w:right w:w="108" w:type="dxa"/>
            </w:tcMar>
            <w:vAlign w:val="center"/>
          </w:tcPr>
          <w:p w14:paraId="5A3F57ED">
            <w:pPr>
              <w:jc w:val="center"/>
              <w:rPr>
                <w:rFonts w:ascii="宋体" w:hAnsi="宋体"/>
                <w:color w:val="auto"/>
                <w:szCs w:val="21"/>
              </w:rPr>
            </w:pPr>
          </w:p>
        </w:tc>
        <w:tc>
          <w:tcPr>
            <w:tcW w:w="1064" w:type="dxa"/>
            <w:tcMar>
              <w:left w:w="108" w:type="dxa"/>
              <w:right w:w="108" w:type="dxa"/>
            </w:tcMar>
            <w:vAlign w:val="center"/>
          </w:tcPr>
          <w:p w14:paraId="5D031C4A">
            <w:pPr>
              <w:jc w:val="center"/>
              <w:rPr>
                <w:rFonts w:ascii="宋体" w:hAnsi="宋体"/>
                <w:color w:val="auto"/>
                <w:szCs w:val="21"/>
              </w:rPr>
            </w:pPr>
          </w:p>
        </w:tc>
        <w:tc>
          <w:tcPr>
            <w:tcW w:w="1167" w:type="dxa"/>
            <w:tcMar>
              <w:left w:w="108" w:type="dxa"/>
              <w:right w:w="108" w:type="dxa"/>
            </w:tcMar>
            <w:vAlign w:val="center"/>
          </w:tcPr>
          <w:p w14:paraId="651E7FB3">
            <w:pPr>
              <w:jc w:val="center"/>
              <w:rPr>
                <w:rFonts w:ascii="宋体" w:hAnsi="宋体"/>
                <w:color w:val="auto"/>
                <w:szCs w:val="21"/>
              </w:rPr>
            </w:pPr>
          </w:p>
        </w:tc>
        <w:tc>
          <w:tcPr>
            <w:tcW w:w="961" w:type="dxa"/>
            <w:tcMar>
              <w:left w:w="108" w:type="dxa"/>
              <w:right w:w="108" w:type="dxa"/>
            </w:tcMar>
            <w:vAlign w:val="center"/>
          </w:tcPr>
          <w:p w14:paraId="48A957E4">
            <w:pPr>
              <w:jc w:val="center"/>
              <w:rPr>
                <w:rFonts w:ascii="宋体" w:hAnsi="宋体"/>
                <w:color w:val="auto"/>
                <w:szCs w:val="21"/>
              </w:rPr>
            </w:pPr>
          </w:p>
        </w:tc>
      </w:tr>
      <w:tr w14:paraId="6228B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4A87BD8D">
            <w:pPr>
              <w:jc w:val="center"/>
              <w:rPr>
                <w:rFonts w:ascii="宋体" w:hAnsi="宋体"/>
                <w:color w:val="auto"/>
                <w:szCs w:val="21"/>
              </w:rPr>
            </w:pPr>
          </w:p>
        </w:tc>
        <w:tc>
          <w:tcPr>
            <w:tcW w:w="1701" w:type="dxa"/>
            <w:vMerge w:val="continue"/>
            <w:tcMar>
              <w:left w:w="108" w:type="dxa"/>
              <w:right w:w="108" w:type="dxa"/>
            </w:tcMar>
            <w:vAlign w:val="center"/>
          </w:tcPr>
          <w:p w14:paraId="77E11310">
            <w:pPr>
              <w:jc w:val="center"/>
              <w:rPr>
                <w:rFonts w:ascii="宋体" w:hAnsi="宋体"/>
                <w:color w:val="auto"/>
                <w:szCs w:val="21"/>
              </w:rPr>
            </w:pPr>
          </w:p>
        </w:tc>
        <w:tc>
          <w:tcPr>
            <w:tcW w:w="829" w:type="dxa"/>
            <w:tcMar>
              <w:left w:w="108" w:type="dxa"/>
              <w:right w:w="108" w:type="dxa"/>
            </w:tcMar>
            <w:vAlign w:val="center"/>
          </w:tcPr>
          <w:p w14:paraId="0EE670C9">
            <w:pPr>
              <w:jc w:val="center"/>
              <w:rPr>
                <w:rFonts w:ascii="黑体" w:hAnsi="宋体" w:eastAsia="黑体"/>
                <w:color w:val="auto"/>
                <w:szCs w:val="21"/>
              </w:rPr>
            </w:pPr>
            <w:r>
              <w:rPr>
                <w:rFonts w:hint="eastAsia" w:ascii="黑体" w:hAnsi="宋体" w:eastAsia="黑体"/>
                <w:color w:val="auto"/>
                <w:szCs w:val="21"/>
              </w:rPr>
              <w:t>2</w:t>
            </w:r>
          </w:p>
        </w:tc>
        <w:tc>
          <w:tcPr>
            <w:tcW w:w="922" w:type="dxa"/>
            <w:tcMar>
              <w:left w:w="108" w:type="dxa"/>
              <w:right w:w="108" w:type="dxa"/>
            </w:tcMar>
            <w:vAlign w:val="center"/>
          </w:tcPr>
          <w:p w14:paraId="37F460B3">
            <w:pPr>
              <w:jc w:val="center"/>
              <w:rPr>
                <w:rFonts w:ascii="宋体" w:hAnsi="宋体"/>
                <w:color w:val="auto"/>
                <w:szCs w:val="21"/>
              </w:rPr>
            </w:pPr>
          </w:p>
        </w:tc>
        <w:tc>
          <w:tcPr>
            <w:tcW w:w="1096" w:type="dxa"/>
            <w:tcMar>
              <w:left w:w="108" w:type="dxa"/>
              <w:right w:w="108" w:type="dxa"/>
            </w:tcMar>
            <w:vAlign w:val="center"/>
          </w:tcPr>
          <w:p w14:paraId="6204CD77">
            <w:pPr>
              <w:jc w:val="center"/>
              <w:rPr>
                <w:rFonts w:ascii="宋体" w:hAnsi="宋体"/>
                <w:color w:val="auto"/>
                <w:szCs w:val="21"/>
              </w:rPr>
            </w:pPr>
          </w:p>
        </w:tc>
        <w:tc>
          <w:tcPr>
            <w:tcW w:w="1064" w:type="dxa"/>
            <w:tcMar>
              <w:left w:w="108" w:type="dxa"/>
              <w:right w:w="108" w:type="dxa"/>
            </w:tcMar>
            <w:vAlign w:val="center"/>
          </w:tcPr>
          <w:p w14:paraId="4CDC2B8E">
            <w:pPr>
              <w:jc w:val="center"/>
              <w:rPr>
                <w:rFonts w:ascii="宋体" w:hAnsi="宋体"/>
                <w:color w:val="auto"/>
                <w:szCs w:val="21"/>
              </w:rPr>
            </w:pPr>
          </w:p>
        </w:tc>
        <w:tc>
          <w:tcPr>
            <w:tcW w:w="1167" w:type="dxa"/>
            <w:tcMar>
              <w:left w:w="108" w:type="dxa"/>
              <w:right w:w="108" w:type="dxa"/>
            </w:tcMar>
            <w:vAlign w:val="center"/>
          </w:tcPr>
          <w:p w14:paraId="0D7ABEFA">
            <w:pPr>
              <w:jc w:val="center"/>
              <w:rPr>
                <w:rFonts w:ascii="宋体" w:hAnsi="宋体"/>
                <w:color w:val="auto"/>
                <w:szCs w:val="21"/>
              </w:rPr>
            </w:pPr>
          </w:p>
        </w:tc>
        <w:tc>
          <w:tcPr>
            <w:tcW w:w="961" w:type="dxa"/>
            <w:tcMar>
              <w:left w:w="108" w:type="dxa"/>
              <w:right w:w="108" w:type="dxa"/>
            </w:tcMar>
            <w:vAlign w:val="center"/>
          </w:tcPr>
          <w:p w14:paraId="335F6746">
            <w:pPr>
              <w:jc w:val="center"/>
              <w:rPr>
                <w:rFonts w:ascii="宋体" w:hAnsi="宋体"/>
                <w:color w:val="auto"/>
                <w:szCs w:val="21"/>
              </w:rPr>
            </w:pPr>
          </w:p>
        </w:tc>
      </w:tr>
      <w:tr w14:paraId="161BF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13300F5F">
            <w:pPr>
              <w:jc w:val="center"/>
              <w:rPr>
                <w:rFonts w:ascii="宋体" w:hAnsi="宋体"/>
                <w:color w:val="auto"/>
                <w:szCs w:val="21"/>
              </w:rPr>
            </w:pPr>
          </w:p>
        </w:tc>
        <w:tc>
          <w:tcPr>
            <w:tcW w:w="1701" w:type="dxa"/>
            <w:vMerge w:val="continue"/>
            <w:tcMar>
              <w:left w:w="108" w:type="dxa"/>
              <w:right w:w="108" w:type="dxa"/>
            </w:tcMar>
            <w:vAlign w:val="center"/>
          </w:tcPr>
          <w:p w14:paraId="0A257D7B">
            <w:pPr>
              <w:jc w:val="center"/>
              <w:rPr>
                <w:rFonts w:ascii="宋体" w:hAnsi="宋体"/>
                <w:color w:val="auto"/>
                <w:szCs w:val="21"/>
              </w:rPr>
            </w:pPr>
          </w:p>
        </w:tc>
        <w:tc>
          <w:tcPr>
            <w:tcW w:w="829" w:type="dxa"/>
            <w:tcMar>
              <w:left w:w="108" w:type="dxa"/>
              <w:right w:w="108" w:type="dxa"/>
            </w:tcMar>
            <w:vAlign w:val="center"/>
          </w:tcPr>
          <w:p w14:paraId="69468C4B">
            <w:pPr>
              <w:jc w:val="center"/>
              <w:rPr>
                <w:rFonts w:ascii="黑体" w:hAnsi="宋体" w:eastAsia="黑体"/>
                <w:color w:val="auto"/>
                <w:szCs w:val="21"/>
              </w:rPr>
            </w:pPr>
            <w:r>
              <w:rPr>
                <w:rFonts w:hint="eastAsia" w:ascii="黑体" w:hAnsi="宋体" w:eastAsia="黑体"/>
                <w:color w:val="auto"/>
                <w:szCs w:val="21"/>
              </w:rPr>
              <w:t>3</w:t>
            </w:r>
          </w:p>
        </w:tc>
        <w:tc>
          <w:tcPr>
            <w:tcW w:w="922" w:type="dxa"/>
            <w:tcMar>
              <w:left w:w="108" w:type="dxa"/>
              <w:right w:w="108" w:type="dxa"/>
            </w:tcMar>
            <w:vAlign w:val="center"/>
          </w:tcPr>
          <w:p w14:paraId="1323B8DC">
            <w:pPr>
              <w:jc w:val="center"/>
              <w:rPr>
                <w:rFonts w:ascii="宋体" w:hAnsi="宋体"/>
                <w:color w:val="auto"/>
                <w:szCs w:val="21"/>
              </w:rPr>
            </w:pPr>
          </w:p>
        </w:tc>
        <w:tc>
          <w:tcPr>
            <w:tcW w:w="1096" w:type="dxa"/>
            <w:tcMar>
              <w:left w:w="108" w:type="dxa"/>
              <w:right w:w="108" w:type="dxa"/>
            </w:tcMar>
            <w:vAlign w:val="center"/>
          </w:tcPr>
          <w:p w14:paraId="4872CE44">
            <w:pPr>
              <w:jc w:val="center"/>
              <w:rPr>
                <w:rFonts w:ascii="宋体" w:hAnsi="宋体"/>
                <w:color w:val="auto"/>
                <w:szCs w:val="21"/>
              </w:rPr>
            </w:pPr>
          </w:p>
        </w:tc>
        <w:tc>
          <w:tcPr>
            <w:tcW w:w="1064" w:type="dxa"/>
            <w:tcMar>
              <w:left w:w="108" w:type="dxa"/>
              <w:right w:w="108" w:type="dxa"/>
            </w:tcMar>
            <w:vAlign w:val="center"/>
          </w:tcPr>
          <w:p w14:paraId="4B5A9CFD">
            <w:pPr>
              <w:jc w:val="center"/>
              <w:rPr>
                <w:rFonts w:ascii="宋体" w:hAnsi="宋体"/>
                <w:color w:val="auto"/>
                <w:szCs w:val="21"/>
              </w:rPr>
            </w:pPr>
          </w:p>
        </w:tc>
        <w:tc>
          <w:tcPr>
            <w:tcW w:w="1167" w:type="dxa"/>
            <w:tcMar>
              <w:left w:w="108" w:type="dxa"/>
              <w:right w:w="108" w:type="dxa"/>
            </w:tcMar>
            <w:vAlign w:val="center"/>
          </w:tcPr>
          <w:p w14:paraId="2FD653F4">
            <w:pPr>
              <w:jc w:val="center"/>
              <w:rPr>
                <w:rFonts w:ascii="宋体" w:hAnsi="宋体"/>
                <w:color w:val="auto"/>
                <w:szCs w:val="21"/>
              </w:rPr>
            </w:pPr>
          </w:p>
        </w:tc>
        <w:tc>
          <w:tcPr>
            <w:tcW w:w="961" w:type="dxa"/>
            <w:tcMar>
              <w:left w:w="108" w:type="dxa"/>
              <w:right w:w="108" w:type="dxa"/>
            </w:tcMar>
            <w:vAlign w:val="center"/>
          </w:tcPr>
          <w:p w14:paraId="31C556EA">
            <w:pPr>
              <w:jc w:val="center"/>
              <w:rPr>
                <w:rFonts w:ascii="宋体" w:hAnsi="宋体"/>
                <w:color w:val="auto"/>
                <w:szCs w:val="21"/>
              </w:rPr>
            </w:pPr>
          </w:p>
        </w:tc>
      </w:tr>
      <w:tr w14:paraId="01F23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restart"/>
            <w:tcMar>
              <w:left w:w="108" w:type="dxa"/>
              <w:right w:w="108" w:type="dxa"/>
            </w:tcMar>
            <w:vAlign w:val="center"/>
          </w:tcPr>
          <w:p w14:paraId="07366310">
            <w:pPr>
              <w:jc w:val="center"/>
              <w:rPr>
                <w:rFonts w:ascii="宋体" w:hAnsi="宋体"/>
                <w:color w:val="auto"/>
                <w:szCs w:val="21"/>
              </w:rPr>
            </w:pPr>
          </w:p>
        </w:tc>
        <w:tc>
          <w:tcPr>
            <w:tcW w:w="1701" w:type="dxa"/>
            <w:vMerge w:val="restart"/>
            <w:tcMar>
              <w:left w:w="108" w:type="dxa"/>
              <w:right w:w="108" w:type="dxa"/>
            </w:tcMar>
            <w:vAlign w:val="center"/>
          </w:tcPr>
          <w:p w14:paraId="76E8B07A">
            <w:pPr>
              <w:jc w:val="center"/>
              <w:rPr>
                <w:rFonts w:ascii="宋体" w:hAnsi="宋体"/>
                <w:color w:val="auto"/>
                <w:szCs w:val="21"/>
              </w:rPr>
            </w:pPr>
          </w:p>
        </w:tc>
        <w:tc>
          <w:tcPr>
            <w:tcW w:w="829" w:type="dxa"/>
            <w:tcMar>
              <w:left w:w="108" w:type="dxa"/>
              <w:right w:w="108" w:type="dxa"/>
            </w:tcMar>
            <w:vAlign w:val="center"/>
          </w:tcPr>
          <w:p w14:paraId="53B89B36">
            <w:pPr>
              <w:jc w:val="center"/>
              <w:rPr>
                <w:rFonts w:ascii="黑体" w:hAnsi="宋体" w:eastAsia="黑体"/>
                <w:color w:val="auto"/>
                <w:szCs w:val="21"/>
              </w:rPr>
            </w:pPr>
            <w:r>
              <w:rPr>
                <w:rFonts w:hint="eastAsia" w:ascii="黑体" w:hAnsi="宋体" w:eastAsia="黑体"/>
                <w:color w:val="auto"/>
                <w:szCs w:val="21"/>
              </w:rPr>
              <w:t>1</w:t>
            </w:r>
          </w:p>
        </w:tc>
        <w:tc>
          <w:tcPr>
            <w:tcW w:w="922" w:type="dxa"/>
            <w:tcMar>
              <w:left w:w="108" w:type="dxa"/>
              <w:right w:w="108" w:type="dxa"/>
            </w:tcMar>
            <w:vAlign w:val="center"/>
          </w:tcPr>
          <w:p w14:paraId="17948DCB">
            <w:pPr>
              <w:jc w:val="center"/>
              <w:rPr>
                <w:rFonts w:ascii="宋体" w:hAnsi="宋体"/>
                <w:color w:val="auto"/>
                <w:szCs w:val="21"/>
              </w:rPr>
            </w:pPr>
          </w:p>
        </w:tc>
        <w:tc>
          <w:tcPr>
            <w:tcW w:w="1096" w:type="dxa"/>
            <w:tcMar>
              <w:left w:w="108" w:type="dxa"/>
              <w:right w:w="108" w:type="dxa"/>
            </w:tcMar>
            <w:vAlign w:val="center"/>
          </w:tcPr>
          <w:p w14:paraId="70965F20">
            <w:pPr>
              <w:jc w:val="center"/>
              <w:rPr>
                <w:rFonts w:ascii="宋体" w:hAnsi="宋体"/>
                <w:color w:val="auto"/>
                <w:szCs w:val="21"/>
              </w:rPr>
            </w:pPr>
          </w:p>
        </w:tc>
        <w:tc>
          <w:tcPr>
            <w:tcW w:w="1064" w:type="dxa"/>
            <w:tcMar>
              <w:left w:w="108" w:type="dxa"/>
              <w:right w:w="108" w:type="dxa"/>
            </w:tcMar>
            <w:vAlign w:val="center"/>
          </w:tcPr>
          <w:p w14:paraId="14785F1C">
            <w:pPr>
              <w:jc w:val="center"/>
              <w:rPr>
                <w:rFonts w:ascii="宋体" w:hAnsi="宋体"/>
                <w:color w:val="auto"/>
                <w:szCs w:val="21"/>
              </w:rPr>
            </w:pPr>
          </w:p>
        </w:tc>
        <w:tc>
          <w:tcPr>
            <w:tcW w:w="1167" w:type="dxa"/>
            <w:tcMar>
              <w:left w:w="108" w:type="dxa"/>
              <w:right w:w="108" w:type="dxa"/>
            </w:tcMar>
            <w:vAlign w:val="center"/>
          </w:tcPr>
          <w:p w14:paraId="10CF2851">
            <w:pPr>
              <w:jc w:val="center"/>
              <w:rPr>
                <w:rFonts w:ascii="宋体" w:hAnsi="宋体"/>
                <w:color w:val="auto"/>
                <w:szCs w:val="21"/>
              </w:rPr>
            </w:pPr>
          </w:p>
        </w:tc>
        <w:tc>
          <w:tcPr>
            <w:tcW w:w="961" w:type="dxa"/>
            <w:tcMar>
              <w:left w:w="108" w:type="dxa"/>
              <w:right w:w="108" w:type="dxa"/>
            </w:tcMar>
            <w:vAlign w:val="center"/>
          </w:tcPr>
          <w:p w14:paraId="64467151">
            <w:pPr>
              <w:jc w:val="center"/>
              <w:rPr>
                <w:rFonts w:ascii="宋体" w:hAnsi="宋体"/>
                <w:color w:val="auto"/>
                <w:szCs w:val="21"/>
              </w:rPr>
            </w:pPr>
          </w:p>
        </w:tc>
      </w:tr>
      <w:tr w14:paraId="49749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706F2B6E">
            <w:pPr>
              <w:jc w:val="center"/>
              <w:rPr>
                <w:rFonts w:ascii="宋体" w:hAnsi="宋体"/>
                <w:color w:val="auto"/>
                <w:szCs w:val="21"/>
              </w:rPr>
            </w:pPr>
          </w:p>
        </w:tc>
        <w:tc>
          <w:tcPr>
            <w:tcW w:w="1701" w:type="dxa"/>
            <w:vMerge w:val="continue"/>
            <w:tcMar>
              <w:left w:w="108" w:type="dxa"/>
              <w:right w:w="108" w:type="dxa"/>
            </w:tcMar>
            <w:vAlign w:val="center"/>
          </w:tcPr>
          <w:p w14:paraId="7B5B1BCA">
            <w:pPr>
              <w:jc w:val="center"/>
              <w:rPr>
                <w:rFonts w:ascii="宋体" w:hAnsi="宋体"/>
                <w:color w:val="auto"/>
                <w:szCs w:val="21"/>
              </w:rPr>
            </w:pPr>
          </w:p>
        </w:tc>
        <w:tc>
          <w:tcPr>
            <w:tcW w:w="829" w:type="dxa"/>
            <w:tcMar>
              <w:left w:w="108" w:type="dxa"/>
              <w:right w:w="108" w:type="dxa"/>
            </w:tcMar>
            <w:vAlign w:val="center"/>
          </w:tcPr>
          <w:p w14:paraId="665759C5">
            <w:pPr>
              <w:jc w:val="center"/>
              <w:rPr>
                <w:rFonts w:ascii="黑体" w:hAnsi="宋体" w:eastAsia="黑体"/>
                <w:color w:val="auto"/>
                <w:szCs w:val="21"/>
              </w:rPr>
            </w:pPr>
            <w:r>
              <w:rPr>
                <w:rFonts w:hint="eastAsia" w:ascii="黑体" w:hAnsi="宋体" w:eastAsia="黑体"/>
                <w:color w:val="auto"/>
                <w:szCs w:val="21"/>
              </w:rPr>
              <w:t>2</w:t>
            </w:r>
          </w:p>
        </w:tc>
        <w:tc>
          <w:tcPr>
            <w:tcW w:w="922" w:type="dxa"/>
            <w:tcMar>
              <w:left w:w="108" w:type="dxa"/>
              <w:right w:w="108" w:type="dxa"/>
            </w:tcMar>
            <w:vAlign w:val="center"/>
          </w:tcPr>
          <w:p w14:paraId="297C9D01">
            <w:pPr>
              <w:jc w:val="center"/>
              <w:rPr>
                <w:rFonts w:ascii="宋体" w:hAnsi="宋体"/>
                <w:color w:val="auto"/>
                <w:szCs w:val="21"/>
              </w:rPr>
            </w:pPr>
          </w:p>
        </w:tc>
        <w:tc>
          <w:tcPr>
            <w:tcW w:w="1096" w:type="dxa"/>
            <w:tcMar>
              <w:left w:w="108" w:type="dxa"/>
              <w:right w:w="108" w:type="dxa"/>
            </w:tcMar>
            <w:vAlign w:val="center"/>
          </w:tcPr>
          <w:p w14:paraId="03C7C33F">
            <w:pPr>
              <w:jc w:val="center"/>
              <w:rPr>
                <w:rFonts w:ascii="宋体" w:hAnsi="宋体"/>
                <w:color w:val="auto"/>
                <w:szCs w:val="21"/>
              </w:rPr>
            </w:pPr>
          </w:p>
        </w:tc>
        <w:tc>
          <w:tcPr>
            <w:tcW w:w="1064" w:type="dxa"/>
            <w:tcMar>
              <w:left w:w="108" w:type="dxa"/>
              <w:right w:w="108" w:type="dxa"/>
            </w:tcMar>
            <w:vAlign w:val="center"/>
          </w:tcPr>
          <w:p w14:paraId="48519DB9">
            <w:pPr>
              <w:jc w:val="center"/>
              <w:rPr>
                <w:rFonts w:ascii="宋体" w:hAnsi="宋体"/>
                <w:color w:val="auto"/>
                <w:szCs w:val="21"/>
              </w:rPr>
            </w:pPr>
          </w:p>
        </w:tc>
        <w:tc>
          <w:tcPr>
            <w:tcW w:w="1167" w:type="dxa"/>
            <w:tcMar>
              <w:left w:w="108" w:type="dxa"/>
              <w:right w:w="108" w:type="dxa"/>
            </w:tcMar>
            <w:vAlign w:val="center"/>
          </w:tcPr>
          <w:p w14:paraId="034C5681">
            <w:pPr>
              <w:jc w:val="center"/>
              <w:rPr>
                <w:rFonts w:ascii="宋体" w:hAnsi="宋体"/>
                <w:color w:val="auto"/>
                <w:szCs w:val="21"/>
              </w:rPr>
            </w:pPr>
          </w:p>
        </w:tc>
        <w:tc>
          <w:tcPr>
            <w:tcW w:w="961" w:type="dxa"/>
            <w:tcMar>
              <w:left w:w="108" w:type="dxa"/>
              <w:right w:w="108" w:type="dxa"/>
            </w:tcMar>
            <w:vAlign w:val="center"/>
          </w:tcPr>
          <w:p w14:paraId="27CF1A96">
            <w:pPr>
              <w:jc w:val="center"/>
              <w:rPr>
                <w:rFonts w:ascii="宋体" w:hAnsi="宋体"/>
                <w:color w:val="auto"/>
                <w:szCs w:val="21"/>
              </w:rPr>
            </w:pPr>
          </w:p>
        </w:tc>
      </w:tr>
      <w:tr w14:paraId="4E5D2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0DEBAF50">
            <w:pPr>
              <w:jc w:val="center"/>
              <w:rPr>
                <w:rFonts w:ascii="宋体" w:hAnsi="宋体"/>
                <w:color w:val="auto"/>
                <w:szCs w:val="21"/>
              </w:rPr>
            </w:pPr>
          </w:p>
        </w:tc>
        <w:tc>
          <w:tcPr>
            <w:tcW w:w="1701" w:type="dxa"/>
            <w:vMerge w:val="continue"/>
            <w:tcMar>
              <w:left w:w="108" w:type="dxa"/>
              <w:right w:w="108" w:type="dxa"/>
            </w:tcMar>
            <w:vAlign w:val="center"/>
          </w:tcPr>
          <w:p w14:paraId="3B3DCE77">
            <w:pPr>
              <w:jc w:val="center"/>
              <w:rPr>
                <w:rFonts w:ascii="宋体" w:hAnsi="宋体"/>
                <w:color w:val="auto"/>
                <w:szCs w:val="21"/>
              </w:rPr>
            </w:pPr>
          </w:p>
        </w:tc>
        <w:tc>
          <w:tcPr>
            <w:tcW w:w="829" w:type="dxa"/>
            <w:tcMar>
              <w:left w:w="108" w:type="dxa"/>
              <w:right w:w="108" w:type="dxa"/>
            </w:tcMar>
            <w:vAlign w:val="center"/>
          </w:tcPr>
          <w:p w14:paraId="5010FC84">
            <w:pPr>
              <w:jc w:val="center"/>
              <w:rPr>
                <w:rFonts w:ascii="黑体" w:hAnsi="宋体" w:eastAsia="黑体"/>
                <w:color w:val="auto"/>
                <w:szCs w:val="21"/>
              </w:rPr>
            </w:pPr>
            <w:r>
              <w:rPr>
                <w:rFonts w:hint="eastAsia" w:ascii="黑体" w:hAnsi="宋体" w:eastAsia="黑体"/>
                <w:color w:val="auto"/>
                <w:szCs w:val="21"/>
              </w:rPr>
              <w:t>3</w:t>
            </w:r>
          </w:p>
        </w:tc>
        <w:tc>
          <w:tcPr>
            <w:tcW w:w="922" w:type="dxa"/>
            <w:tcMar>
              <w:left w:w="108" w:type="dxa"/>
              <w:right w:w="108" w:type="dxa"/>
            </w:tcMar>
            <w:vAlign w:val="center"/>
          </w:tcPr>
          <w:p w14:paraId="5C4B4987">
            <w:pPr>
              <w:jc w:val="center"/>
              <w:rPr>
                <w:rFonts w:ascii="宋体" w:hAnsi="宋体"/>
                <w:color w:val="auto"/>
                <w:szCs w:val="21"/>
              </w:rPr>
            </w:pPr>
          </w:p>
        </w:tc>
        <w:tc>
          <w:tcPr>
            <w:tcW w:w="1096" w:type="dxa"/>
            <w:tcMar>
              <w:left w:w="108" w:type="dxa"/>
              <w:right w:w="108" w:type="dxa"/>
            </w:tcMar>
            <w:vAlign w:val="center"/>
          </w:tcPr>
          <w:p w14:paraId="3288CEB2">
            <w:pPr>
              <w:jc w:val="center"/>
              <w:rPr>
                <w:rFonts w:ascii="宋体" w:hAnsi="宋体"/>
                <w:color w:val="auto"/>
                <w:szCs w:val="21"/>
              </w:rPr>
            </w:pPr>
          </w:p>
        </w:tc>
        <w:tc>
          <w:tcPr>
            <w:tcW w:w="1064" w:type="dxa"/>
            <w:tcMar>
              <w:left w:w="108" w:type="dxa"/>
              <w:right w:w="108" w:type="dxa"/>
            </w:tcMar>
            <w:vAlign w:val="center"/>
          </w:tcPr>
          <w:p w14:paraId="772B473C">
            <w:pPr>
              <w:jc w:val="center"/>
              <w:rPr>
                <w:rFonts w:ascii="宋体" w:hAnsi="宋体"/>
                <w:color w:val="auto"/>
                <w:szCs w:val="21"/>
              </w:rPr>
            </w:pPr>
          </w:p>
        </w:tc>
        <w:tc>
          <w:tcPr>
            <w:tcW w:w="1167" w:type="dxa"/>
            <w:tcMar>
              <w:left w:w="108" w:type="dxa"/>
              <w:right w:w="108" w:type="dxa"/>
            </w:tcMar>
            <w:vAlign w:val="center"/>
          </w:tcPr>
          <w:p w14:paraId="22ECEBB7">
            <w:pPr>
              <w:jc w:val="center"/>
              <w:rPr>
                <w:rFonts w:ascii="宋体" w:hAnsi="宋体"/>
                <w:color w:val="auto"/>
                <w:szCs w:val="21"/>
              </w:rPr>
            </w:pPr>
          </w:p>
        </w:tc>
        <w:tc>
          <w:tcPr>
            <w:tcW w:w="961" w:type="dxa"/>
            <w:tcMar>
              <w:left w:w="108" w:type="dxa"/>
              <w:right w:w="108" w:type="dxa"/>
            </w:tcMar>
            <w:vAlign w:val="center"/>
          </w:tcPr>
          <w:p w14:paraId="07D76562">
            <w:pPr>
              <w:jc w:val="center"/>
              <w:rPr>
                <w:rFonts w:ascii="宋体" w:hAnsi="宋体"/>
                <w:color w:val="auto"/>
                <w:szCs w:val="21"/>
              </w:rPr>
            </w:pPr>
          </w:p>
        </w:tc>
      </w:tr>
    </w:tbl>
    <w:p w14:paraId="307BDE1F">
      <w:pPr>
        <w:spacing w:line="440" w:lineRule="exact"/>
        <w:ind w:right="420"/>
        <w:rPr>
          <w:rFonts w:ascii="黑体" w:hAnsi="宋体" w:eastAsia="黑体"/>
          <w:color w:val="auto"/>
          <w:szCs w:val="21"/>
        </w:rPr>
      </w:pPr>
    </w:p>
    <w:p w14:paraId="54F6E34E">
      <w:pPr>
        <w:spacing w:line="440" w:lineRule="exact"/>
        <w:ind w:right="420"/>
        <w:rPr>
          <w:rFonts w:ascii="宋体" w:hAnsi="宋体"/>
          <w:color w:val="auto"/>
          <w:szCs w:val="21"/>
        </w:rPr>
      </w:pPr>
    </w:p>
    <w:p w14:paraId="215C68F7">
      <w:pPr>
        <w:wordWrap w:val="0"/>
        <w:spacing w:line="440" w:lineRule="exact"/>
        <w:ind w:right="420"/>
        <w:jc w:val="right"/>
        <w:rPr>
          <w:rFonts w:ascii="宋体" w:hAnsi="宋体"/>
          <w:color w:val="auto"/>
          <w:szCs w:val="21"/>
        </w:rPr>
      </w:pPr>
      <w:r>
        <w:rPr>
          <w:rFonts w:hint="eastAsia" w:ascii="宋体" w:hAnsi="宋体"/>
          <w:color w:val="auto"/>
          <w:szCs w:val="21"/>
        </w:rPr>
        <w:t xml:space="preserve">日 期： </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 xml:space="preserve">日  </w:t>
      </w:r>
    </w:p>
    <w:p w14:paraId="58731FB8">
      <w:pPr>
        <w:spacing w:line="440" w:lineRule="exact"/>
        <w:ind w:right="420"/>
        <w:jc w:val="right"/>
        <w:rPr>
          <w:rFonts w:ascii="宋体" w:hAnsi="宋体"/>
          <w:color w:val="auto"/>
          <w:szCs w:val="21"/>
        </w:rPr>
      </w:pPr>
    </w:p>
    <w:p w14:paraId="7A38545F">
      <w:pPr>
        <w:spacing w:line="440" w:lineRule="exact"/>
        <w:ind w:left="630" w:right="420" w:hanging="630" w:hangingChars="300"/>
        <w:rPr>
          <w:color w:val="auto"/>
        </w:rPr>
        <w:sectPr>
          <w:footerReference r:id="rId35" w:type="default"/>
          <w:pgSz w:w="11906" w:h="16838"/>
          <w:pgMar w:top="1440" w:right="1800" w:bottom="1440" w:left="1800" w:header="851" w:footer="992" w:gutter="0"/>
          <w:pgNumType w:fmt="decimal"/>
          <w:cols w:space="425" w:num="1"/>
          <w:docGrid w:type="lines" w:linePitch="312" w:charSpace="0"/>
        </w:sectPr>
      </w:pPr>
      <w:r>
        <w:rPr>
          <w:rFonts w:hint="eastAsia" w:ascii="宋体" w:hAnsi="宋体"/>
          <w:color w:val="auto"/>
          <w:szCs w:val="21"/>
        </w:rPr>
        <w:t>备注：本表所列分包仅限于承包人自行施工范围内的非主体、非关键工程。没有可不填写。</w:t>
      </w:r>
    </w:p>
    <w:p w14:paraId="5F49715E">
      <w:pPr>
        <w:keepNext w:val="0"/>
        <w:keepLines w:val="0"/>
        <w:widowControl/>
        <w:suppressLineNumbers w:val="0"/>
        <w:jc w:val="center"/>
        <w:rPr>
          <w:rFonts w:ascii="宋体" w:hAnsi="宋体" w:eastAsia="宋体" w:cs="宋体"/>
          <w:color w:val="auto"/>
          <w:kern w:val="0"/>
          <w:sz w:val="24"/>
          <w:lang w:bidi="ar"/>
        </w:rPr>
      </w:pPr>
    </w:p>
    <w:p w14:paraId="5341DDFB">
      <w:pPr>
        <w:keepNext w:val="0"/>
        <w:keepLines w:val="0"/>
        <w:widowControl/>
        <w:suppressLineNumbers w:val="0"/>
        <w:jc w:val="center"/>
        <w:rPr>
          <w:rFonts w:ascii="宋体" w:hAnsi="宋体" w:eastAsia="宋体" w:cs="宋体"/>
          <w:color w:val="auto"/>
          <w:kern w:val="0"/>
          <w:sz w:val="24"/>
          <w:lang w:bidi="ar"/>
        </w:rPr>
      </w:pPr>
    </w:p>
    <w:p w14:paraId="0B82BD1A">
      <w:pPr>
        <w:keepNext w:val="0"/>
        <w:keepLines w:val="0"/>
        <w:widowControl/>
        <w:suppressLineNumbers w:val="0"/>
        <w:jc w:val="center"/>
        <w:rPr>
          <w:rFonts w:ascii="宋体" w:hAnsi="宋体" w:eastAsia="宋体" w:cs="宋体"/>
          <w:color w:val="auto"/>
          <w:kern w:val="0"/>
          <w:sz w:val="24"/>
          <w:lang w:bidi="ar"/>
        </w:rPr>
      </w:pPr>
    </w:p>
    <w:p w14:paraId="234E3F22">
      <w:pPr>
        <w:keepNext w:val="0"/>
        <w:keepLines w:val="0"/>
        <w:widowControl/>
        <w:suppressLineNumbers w:val="0"/>
        <w:jc w:val="center"/>
        <w:rPr>
          <w:rFonts w:ascii="宋体" w:hAnsi="宋体" w:eastAsia="宋体" w:cs="宋体"/>
          <w:color w:val="auto"/>
          <w:kern w:val="0"/>
          <w:sz w:val="24"/>
          <w:lang w:bidi="ar"/>
        </w:rPr>
      </w:pPr>
    </w:p>
    <w:p w14:paraId="0F812EC1">
      <w:pPr>
        <w:keepNext w:val="0"/>
        <w:keepLines w:val="0"/>
        <w:widowControl/>
        <w:suppressLineNumbers w:val="0"/>
        <w:jc w:val="center"/>
        <w:rPr>
          <w:rFonts w:ascii="宋体" w:hAnsi="宋体" w:eastAsia="宋体" w:cs="宋体"/>
          <w:color w:val="auto"/>
          <w:kern w:val="0"/>
          <w:sz w:val="24"/>
          <w:lang w:bidi="ar"/>
        </w:rPr>
      </w:pPr>
    </w:p>
    <w:p w14:paraId="18F3A0E0">
      <w:pPr>
        <w:keepNext w:val="0"/>
        <w:keepLines w:val="0"/>
        <w:widowControl/>
        <w:suppressLineNumbers w:val="0"/>
        <w:jc w:val="center"/>
        <w:rPr>
          <w:rFonts w:ascii="宋体" w:hAnsi="宋体" w:eastAsia="宋体" w:cs="宋体"/>
          <w:color w:val="auto"/>
          <w:kern w:val="0"/>
          <w:sz w:val="24"/>
          <w:lang w:bidi="ar"/>
        </w:rPr>
      </w:pPr>
    </w:p>
    <w:p w14:paraId="78738994">
      <w:pPr>
        <w:keepNext w:val="0"/>
        <w:keepLines w:val="0"/>
        <w:widowControl/>
        <w:suppressLineNumbers w:val="0"/>
        <w:jc w:val="center"/>
        <w:rPr>
          <w:rFonts w:ascii="宋体" w:hAnsi="宋体" w:eastAsia="宋体" w:cs="宋体"/>
          <w:color w:val="auto"/>
          <w:kern w:val="0"/>
          <w:sz w:val="24"/>
          <w:lang w:bidi="ar"/>
        </w:rPr>
      </w:pPr>
    </w:p>
    <w:p w14:paraId="2A39E6B8">
      <w:pPr>
        <w:keepNext w:val="0"/>
        <w:keepLines w:val="0"/>
        <w:widowControl/>
        <w:suppressLineNumbers w:val="0"/>
        <w:jc w:val="center"/>
        <w:rPr>
          <w:rFonts w:ascii="宋体" w:hAnsi="宋体" w:eastAsia="宋体" w:cs="宋体"/>
          <w:color w:val="auto"/>
          <w:kern w:val="0"/>
          <w:sz w:val="24"/>
          <w:lang w:bidi="ar"/>
        </w:rPr>
      </w:pPr>
    </w:p>
    <w:p w14:paraId="660991F2">
      <w:pPr>
        <w:keepNext w:val="0"/>
        <w:keepLines w:val="0"/>
        <w:widowControl/>
        <w:suppressLineNumbers w:val="0"/>
        <w:jc w:val="center"/>
        <w:rPr>
          <w:rFonts w:ascii="宋体" w:hAnsi="宋体" w:eastAsia="宋体" w:cs="宋体"/>
          <w:color w:val="auto"/>
          <w:kern w:val="0"/>
          <w:sz w:val="24"/>
          <w:lang w:bidi="ar"/>
        </w:rPr>
      </w:pPr>
    </w:p>
    <w:p w14:paraId="5BAB8427">
      <w:pPr>
        <w:keepNext w:val="0"/>
        <w:keepLines w:val="0"/>
        <w:widowControl/>
        <w:suppressLineNumbers w:val="0"/>
        <w:jc w:val="center"/>
        <w:rPr>
          <w:rFonts w:ascii="宋体" w:hAnsi="宋体" w:eastAsia="宋体" w:cs="宋体"/>
          <w:color w:val="auto"/>
          <w:kern w:val="0"/>
          <w:sz w:val="24"/>
          <w:lang w:bidi="ar"/>
        </w:rPr>
      </w:pPr>
    </w:p>
    <w:p w14:paraId="586ECD86">
      <w:pPr>
        <w:keepNext w:val="0"/>
        <w:keepLines w:val="0"/>
        <w:widowControl/>
        <w:suppressLineNumbers w:val="0"/>
        <w:jc w:val="center"/>
        <w:rPr>
          <w:rFonts w:ascii="宋体" w:hAnsi="宋体" w:eastAsia="宋体" w:cs="宋体"/>
          <w:color w:val="auto"/>
          <w:kern w:val="0"/>
          <w:sz w:val="24"/>
          <w:lang w:bidi="ar"/>
        </w:rPr>
      </w:pPr>
    </w:p>
    <w:p w14:paraId="50128A5F">
      <w:pPr>
        <w:keepNext w:val="0"/>
        <w:keepLines w:val="0"/>
        <w:widowControl/>
        <w:suppressLineNumbers w:val="0"/>
        <w:jc w:val="center"/>
        <w:rPr>
          <w:rFonts w:ascii="宋体" w:hAnsi="宋体" w:eastAsia="宋体" w:cs="宋体"/>
          <w:color w:val="auto"/>
          <w:kern w:val="0"/>
          <w:sz w:val="24"/>
          <w:lang w:bidi="ar"/>
        </w:rPr>
      </w:pPr>
    </w:p>
    <w:p w14:paraId="5D0DD9D1">
      <w:pPr>
        <w:keepNext w:val="0"/>
        <w:keepLines w:val="0"/>
        <w:widowControl/>
        <w:suppressLineNumbers w:val="0"/>
        <w:jc w:val="center"/>
        <w:rPr>
          <w:rFonts w:ascii="宋体" w:hAnsi="宋体" w:eastAsia="宋体" w:cs="宋体"/>
          <w:color w:val="auto"/>
          <w:kern w:val="0"/>
          <w:sz w:val="24"/>
          <w:lang w:bidi="ar"/>
        </w:rPr>
      </w:pPr>
    </w:p>
    <w:p w14:paraId="0758AF92">
      <w:pPr>
        <w:keepNext w:val="0"/>
        <w:keepLines w:val="0"/>
        <w:widowControl/>
        <w:suppressLineNumbers w:val="0"/>
        <w:jc w:val="center"/>
        <w:rPr>
          <w:rFonts w:ascii="宋体" w:hAnsi="宋体" w:eastAsia="宋体" w:cs="宋体"/>
          <w:color w:val="auto"/>
          <w:kern w:val="0"/>
          <w:sz w:val="24"/>
          <w:lang w:bidi="ar"/>
        </w:rPr>
      </w:pPr>
    </w:p>
    <w:p w14:paraId="41CC711E">
      <w:pPr>
        <w:keepNext w:val="0"/>
        <w:keepLines w:val="0"/>
        <w:widowControl/>
        <w:suppressLineNumbers w:val="0"/>
        <w:jc w:val="center"/>
        <w:rPr>
          <w:rFonts w:ascii="宋体" w:hAnsi="宋体" w:eastAsia="宋体" w:cs="宋体"/>
          <w:color w:val="auto"/>
          <w:kern w:val="0"/>
          <w:sz w:val="24"/>
          <w:lang w:bidi="ar"/>
        </w:rPr>
      </w:pPr>
    </w:p>
    <w:p w14:paraId="7B837EA9">
      <w:pPr>
        <w:keepNext w:val="0"/>
        <w:keepLines w:val="0"/>
        <w:widowControl/>
        <w:suppressLineNumbers w:val="0"/>
        <w:jc w:val="center"/>
        <w:rPr>
          <w:rFonts w:ascii="宋体" w:hAnsi="宋体" w:eastAsia="宋体" w:cs="宋体"/>
          <w:color w:val="auto"/>
          <w:kern w:val="0"/>
          <w:sz w:val="24"/>
          <w:lang w:bidi="ar"/>
        </w:rPr>
      </w:pPr>
    </w:p>
    <w:p w14:paraId="3158FD74">
      <w:pPr>
        <w:keepNext w:val="0"/>
        <w:keepLines w:val="0"/>
        <w:widowControl/>
        <w:suppressLineNumbers w:val="0"/>
        <w:jc w:val="center"/>
        <w:rPr>
          <w:rFonts w:ascii="宋体" w:hAnsi="宋体" w:eastAsia="宋体" w:cs="宋体"/>
          <w:color w:val="auto"/>
          <w:kern w:val="0"/>
          <w:sz w:val="24"/>
          <w:lang w:bidi="ar"/>
        </w:rPr>
      </w:pPr>
    </w:p>
    <w:p w14:paraId="17448D9C">
      <w:pPr>
        <w:pStyle w:val="25"/>
        <w:jc w:val="center"/>
        <w:rPr>
          <w:rFonts w:hint="eastAsia"/>
          <w:color w:val="auto"/>
          <w:lang w:val="en-US" w:eastAsia="zh-CN"/>
        </w:rPr>
      </w:pPr>
      <w:bookmarkStart w:id="2009" w:name="_Toc23543"/>
      <w:r>
        <w:rPr>
          <w:rFonts w:hint="default"/>
          <w:color w:val="auto"/>
          <w:lang w:eastAsia="zh-CN"/>
        </w:rPr>
        <w:t>六</w:t>
      </w:r>
      <w:r>
        <w:rPr>
          <w:rFonts w:hint="eastAsia"/>
          <w:color w:val="auto"/>
          <w:lang w:val="en-US" w:eastAsia="zh-CN"/>
        </w:rPr>
        <w:t>、项目管理机构</w:t>
      </w:r>
      <w:bookmarkEnd w:id="2009"/>
    </w:p>
    <w:p w14:paraId="16CCAC3A">
      <w:pPr>
        <w:keepNext w:val="0"/>
        <w:keepLines w:val="0"/>
        <w:widowControl/>
        <w:suppressLineNumbers w:val="0"/>
        <w:jc w:val="center"/>
        <w:rPr>
          <w:rFonts w:hint="eastAsia" w:ascii="黑体" w:hAnsi="黑体" w:eastAsia="黑体" w:cs="黑体"/>
          <w:color w:val="auto"/>
          <w:kern w:val="0"/>
          <w:sz w:val="28"/>
          <w:szCs w:val="28"/>
          <w:lang w:bidi="ar"/>
        </w:rPr>
      </w:pPr>
    </w:p>
    <w:p w14:paraId="46B48545">
      <w:pPr>
        <w:rPr>
          <w:color w:val="auto"/>
        </w:rPr>
        <w:sectPr>
          <w:headerReference r:id="rId36" w:type="default"/>
          <w:footerReference r:id="rId37" w:type="default"/>
          <w:pgSz w:w="11906" w:h="16838"/>
          <w:pgMar w:top="1440" w:right="1800" w:bottom="1440" w:left="1800" w:header="851" w:footer="992" w:gutter="0"/>
          <w:pgNumType w:fmt="decimal"/>
          <w:cols w:space="425" w:num="1"/>
          <w:docGrid w:type="lines" w:linePitch="312" w:charSpace="0"/>
        </w:sectPr>
      </w:pPr>
    </w:p>
    <w:p w14:paraId="762485DE">
      <w:pPr>
        <w:pStyle w:val="27"/>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sz w:val="28"/>
          <w:szCs w:val="28"/>
        </w:rPr>
      </w:pPr>
      <w:bookmarkStart w:id="2010" w:name="_Toc122603080"/>
      <w:bookmarkStart w:id="2011" w:name="_Toc8303"/>
      <w:r>
        <w:rPr>
          <w:rFonts w:hint="eastAsia"/>
          <w:color w:val="auto"/>
          <w:sz w:val="28"/>
          <w:szCs w:val="28"/>
          <w:lang w:eastAsia="zh-CN"/>
        </w:rPr>
        <w:t>（</w:t>
      </w:r>
      <w:r>
        <w:rPr>
          <w:rFonts w:hint="default"/>
          <w:color w:val="auto"/>
          <w:sz w:val="28"/>
          <w:szCs w:val="28"/>
        </w:rPr>
        <w:t>一</w:t>
      </w:r>
      <w:r>
        <w:rPr>
          <w:rFonts w:hint="eastAsia"/>
          <w:color w:val="auto"/>
          <w:sz w:val="28"/>
          <w:szCs w:val="28"/>
          <w:lang w:eastAsia="zh-CN"/>
        </w:rPr>
        <w:t>）</w:t>
      </w:r>
      <w:r>
        <w:rPr>
          <w:rFonts w:hint="eastAsia"/>
          <w:color w:val="auto"/>
          <w:sz w:val="28"/>
          <w:szCs w:val="28"/>
        </w:rPr>
        <w:t>项目管理机构主要人员表</w:t>
      </w:r>
      <w:bookmarkEnd w:id="2010"/>
      <w:bookmarkEnd w:id="2011"/>
    </w:p>
    <w:tbl>
      <w:tblPr>
        <w:tblStyle w:val="1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63"/>
        <w:gridCol w:w="1229"/>
        <w:gridCol w:w="796"/>
        <w:gridCol w:w="514"/>
        <w:gridCol w:w="726"/>
        <w:gridCol w:w="726"/>
        <w:gridCol w:w="933"/>
        <w:gridCol w:w="1000"/>
        <w:gridCol w:w="369"/>
        <w:gridCol w:w="676"/>
        <w:gridCol w:w="590"/>
        <w:gridCol w:w="1135"/>
        <w:gridCol w:w="966"/>
        <w:gridCol w:w="967"/>
        <w:gridCol w:w="970"/>
        <w:gridCol w:w="1091"/>
        <w:gridCol w:w="909"/>
      </w:tblGrid>
      <w:tr w14:paraId="1908A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63" w:type="dxa"/>
            <w:vMerge w:val="restart"/>
            <w:noWrap w:val="0"/>
            <w:vAlign w:val="center"/>
          </w:tcPr>
          <w:p w14:paraId="7FB4C27C">
            <w:pPr>
              <w:keepNext w:val="0"/>
              <w:keepLines w:val="0"/>
              <w:widowControl w:val="0"/>
              <w:suppressLineNumbers w:val="0"/>
              <w:spacing w:before="0" w:beforeAutospacing="0" w:after="0" w:afterAutospacing="0"/>
              <w:ind w:left="0" w:leftChars="0" w:right="0" w:rightChars="0"/>
              <w:jc w:val="center"/>
              <w:rPr>
                <w:rFonts w:hint="default"/>
                <w:color w:val="auto"/>
                <w:szCs w:val="21"/>
              </w:rPr>
            </w:pPr>
            <w:r>
              <w:rPr>
                <w:rFonts w:hint="eastAsia" w:ascii="Times New Roman" w:hAnsi="Times New Roman" w:eastAsia="宋体" w:cs="宋体"/>
                <w:color w:val="auto"/>
                <w:kern w:val="2"/>
                <w:sz w:val="21"/>
                <w:szCs w:val="21"/>
                <w:lang w:val="en-US" w:eastAsia="zh-CN" w:bidi="ar"/>
              </w:rPr>
              <w:t>序号</w:t>
            </w:r>
          </w:p>
        </w:tc>
        <w:tc>
          <w:tcPr>
            <w:tcW w:w="1229" w:type="dxa"/>
            <w:vMerge w:val="restart"/>
            <w:noWrap w:val="0"/>
            <w:vAlign w:val="center"/>
          </w:tcPr>
          <w:p w14:paraId="4087ECAD">
            <w:pPr>
              <w:keepNext w:val="0"/>
              <w:keepLines w:val="0"/>
              <w:widowControl w:val="0"/>
              <w:suppressLineNumbers w:val="0"/>
              <w:spacing w:before="0" w:beforeAutospacing="0" w:after="0" w:afterAutospacing="0"/>
              <w:ind w:left="0" w:right="0"/>
              <w:jc w:val="center"/>
              <w:rPr>
                <w:rFonts w:hint="eastAsia" w:ascii="宋体" w:hAnsi="宋体" w:cs="宋体"/>
                <w:color w:val="auto"/>
                <w:szCs w:val="21"/>
              </w:rPr>
            </w:pPr>
            <w:r>
              <w:rPr>
                <w:rFonts w:hint="eastAsia" w:ascii="宋体" w:hAnsi="宋体" w:eastAsia="宋体" w:cs="宋体"/>
                <w:color w:val="auto"/>
                <w:kern w:val="2"/>
                <w:sz w:val="21"/>
                <w:szCs w:val="21"/>
                <w:lang w:val="en-US" w:eastAsia="zh-CN" w:bidi="ar"/>
              </w:rPr>
              <w:t>岗位</w:t>
            </w:r>
          </w:p>
          <w:p w14:paraId="79B0E346">
            <w:pPr>
              <w:keepNext w:val="0"/>
              <w:keepLines w:val="0"/>
              <w:widowControl w:val="0"/>
              <w:suppressLineNumbers w:val="0"/>
              <w:spacing w:before="0" w:beforeAutospacing="0" w:after="0" w:afterAutospacing="0"/>
              <w:ind w:left="0" w:leftChars="0" w:right="0" w:rightChars="0"/>
              <w:jc w:val="center"/>
              <w:rPr>
                <w:rFonts w:hint="default"/>
                <w:color w:val="auto"/>
                <w:szCs w:val="21"/>
              </w:rPr>
            </w:pPr>
            <w:r>
              <w:rPr>
                <w:rFonts w:hint="eastAsia" w:ascii="Times New Roman" w:hAnsi="Times New Roman" w:eastAsia="宋体" w:cs="宋体"/>
                <w:color w:val="auto"/>
                <w:kern w:val="2"/>
                <w:sz w:val="21"/>
                <w:szCs w:val="21"/>
                <w:lang w:val="en-US" w:eastAsia="zh-CN" w:bidi="ar"/>
              </w:rPr>
              <w:t>（职务）</w:t>
            </w:r>
          </w:p>
        </w:tc>
        <w:tc>
          <w:tcPr>
            <w:tcW w:w="796" w:type="dxa"/>
            <w:vMerge w:val="restart"/>
            <w:noWrap w:val="0"/>
            <w:vAlign w:val="center"/>
          </w:tcPr>
          <w:p w14:paraId="34436339">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r>
              <w:rPr>
                <w:rFonts w:hint="eastAsia" w:ascii="Times New Roman" w:hAnsi="Times New Roman" w:eastAsia="宋体" w:cs="宋体"/>
                <w:color w:val="auto"/>
                <w:kern w:val="2"/>
                <w:sz w:val="21"/>
                <w:szCs w:val="21"/>
                <w:lang w:val="en-US" w:eastAsia="zh-CN" w:bidi="ar"/>
              </w:rPr>
              <w:t>姓名</w:t>
            </w:r>
          </w:p>
        </w:tc>
        <w:tc>
          <w:tcPr>
            <w:tcW w:w="514" w:type="dxa"/>
            <w:vMerge w:val="restart"/>
            <w:noWrap w:val="0"/>
            <w:vAlign w:val="center"/>
          </w:tcPr>
          <w:p w14:paraId="5E02CDF0">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r>
              <w:rPr>
                <w:rFonts w:hint="eastAsia" w:ascii="Times New Roman" w:hAnsi="Times New Roman" w:eastAsia="宋体" w:cs="宋体"/>
                <w:color w:val="auto"/>
                <w:kern w:val="2"/>
                <w:sz w:val="21"/>
                <w:szCs w:val="21"/>
                <w:lang w:val="en-US" w:eastAsia="zh-CN" w:bidi="ar"/>
              </w:rPr>
              <w:t>性别</w:t>
            </w:r>
          </w:p>
        </w:tc>
        <w:tc>
          <w:tcPr>
            <w:tcW w:w="726" w:type="dxa"/>
            <w:vMerge w:val="restart"/>
            <w:noWrap w:val="0"/>
            <w:vAlign w:val="center"/>
          </w:tcPr>
          <w:p w14:paraId="31A3522F">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r>
              <w:rPr>
                <w:rFonts w:hint="eastAsia" w:ascii="Times New Roman" w:hAnsi="Times New Roman" w:eastAsia="宋体" w:cs="宋体"/>
                <w:color w:val="auto"/>
                <w:kern w:val="2"/>
                <w:sz w:val="21"/>
                <w:szCs w:val="21"/>
                <w:lang w:val="en-US" w:eastAsia="zh-CN" w:bidi="ar"/>
              </w:rPr>
              <w:t>年龄</w:t>
            </w:r>
          </w:p>
        </w:tc>
        <w:tc>
          <w:tcPr>
            <w:tcW w:w="726" w:type="dxa"/>
            <w:vMerge w:val="restart"/>
            <w:noWrap w:val="0"/>
            <w:vAlign w:val="center"/>
          </w:tcPr>
          <w:p w14:paraId="7F8F0D01">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r>
              <w:rPr>
                <w:rFonts w:hint="eastAsia" w:ascii="Times New Roman" w:hAnsi="Times New Roman" w:eastAsia="宋体" w:cs="宋体"/>
                <w:color w:val="auto"/>
                <w:kern w:val="2"/>
                <w:sz w:val="21"/>
                <w:szCs w:val="21"/>
                <w:lang w:val="en-US" w:eastAsia="zh-CN" w:bidi="ar"/>
              </w:rPr>
              <w:t>学历</w:t>
            </w:r>
          </w:p>
        </w:tc>
        <w:tc>
          <w:tcPr>
            <w:tcW w:w="933" w:type="dxa"/>
            <w:vMerge w:val="restart"/>
            <w:noWrap w:val="0"/>
            <w:vAlign w:val="center"/>
          </w:tcPr>
          <w:p w14:paraId="6E1B9237">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r>
              <w:rPr>
                <w:rFonts w:hint="eastAsia" w:ascii="Times New Roman" w:hAnsi="Times New Roman" w:eastAsia="宋体" w:cs="宋体"/>
                <w:color w:val="auto"/>
                <w:kern w:val="2"/>
                <w:sz w:val="21"/>
                <w:szCs w:val="21"/>
                <w:lang w:val="en-US" w:eastAsia="zh-CN" w:bidi="ar"/>
              </w:rPr>
              <w:t>所学专业</w:t>
            </w:r>
          </w:p>
        </w:tc>
        <w:tc>
          <w:tcPr>
            <w:tcW w:w="1000" w:type="dxa"/>
            <w:vMerge w:val="restart"/>
            <w:noWrap w:val="0"/>
            <w:vAlign w:val="center"/>
          </w:tcPr>
          <w:p w14:paraId="7CB8B7A9">
            <w:pPr>
              <w:keepNext w:val="0"/>
              <w:keepLines w:val="0"/>
              <w:widowControl w:val="0"/>
              <w:suppressLineNumbers w:val="0"/>
              <w:spacing w:before="0" w:beforeAutospacing="0" w:after="0" w:afterAutospacing="0"/>
              <w:ind w:left="0" w:leftChars="0" w:right="0" w:rightChars="0"/>
              <w:jc w:val="center"/>
              <w:rPr>
                <w:rFonts w:hint="eastAsia"/>
                <w:color w:val="auto"/>
                <w:szCs w:val="21"/>
              </w:rPr>
            </w:pPr>
            <w:r>
              <w:rPr>
                <w:rFonts w:hint="eastAsia" w:ascii="Times New Roman" w:hAnsi="Times New Roman" w:eastAsia="宋体" w:cs="宋体"/>
                <w:color w:val="auto"/>
                <w:kern w:val="2"/>
                <w:sz w:val="21"/>
                <w:szCs w:val="21"/>
                <w:lang w:val="en-US" w:eastAsia="zh-CN" w:bidi="ar"/>
              </w:rPr>
              <w:t>专业工作年限</w:t>
            </w:r>
          </w:p>
        </w:tc>
        <w:tc>
          <w:tcPr>
            <w:tcW w:w="1635" w:type="dxa"/>
            <w:gridSpan w:val="3"/>
            <w:noWrap w:val="0"/>
            <w:vAlign w:val="center"/>
          </w:tcPr>
          <w:p w14:paraId="57B1DB0E">
            <w:pPr>
              <w:keepNext w:val="0"/>
              <w:keepLines w:val="0"/>
              <w:widowControl w:val="0"/>
              <w:suppressLineNumbers w:val="0"/>
              <w:spacing w:before="0" w:beforeAutospacing="0" w:after="0" w:afterAutospacing="0"/>
              <w:ind w:left="0" w:leftChars="0" w:right="0" w:rightChars="0"/>
              <w:jc w:val="center"/>
              <w:rPr>
                <w:rFonts w:hint="default"/>
                <w:color w:val="auto"/>
                <w:szCs w:val="21"/>
              </w:rPr>
            </w:pPr>
            <w:r>
              <w:rPr>
                <w:rFonts w:hint="eastAsia" w:ascii="Times New Roman" w:hAnsi="Times New Roman" w:eastAsia="宋体" w:cs="宋体"/>
                <w:color w:val="auto"/>
                <w:kern w:val="2"/>
                <w:sz w:val="21"/>
                <w:szCs w:val="21"/>
                <w:lang w:val="en-US" w:eastAsia="zh-CN" w:bidi="ar"/>
              </w:rPr>
              <w:t>专业技术职称</w:t>
            </w:r>
          </w:p>
        </w:tc>
        <w:tc>
          <w:tcPr>
            <w:tcW w:w="4038" w:type="dxa"/>
            <w:gridSpan w:val="4"/>
            <w:noWrap w:val="0"/>
            <w:vAlign w:val="center"/>
          </w:tcPr>
          <w:p w14:paraId="43F633A5">
            <w:pPr>
              <w:keepNext w:val="0"/>
              <w:keepLines w:val="0"/>
              <w:widowControl w:val="0"/>
              <w:suppressLineNumbers w:val="0"/>
              <w:spacing w:before="0" w:beforeAutospacing="0" w:after="0" w:afterAutospacing="0" w:line="420" w:lineRule="exact"/>
              <w:ind w:left="0" w:leftChars="0" w:right="0" w:rightChars="0"/>
              <w:jc w:val="center"/>
              <w:rPr>
                <w:rFonts w:hint="default"/>
                <w:color w:val="auto"/>
                <w:szCs w:val="21"/>
              </w:rPr>
            </w:pPr>
            <w:r>
              <w:rPr>
                <w:rFonts w:hint="eastAsia" w:ascii="宋体" w:hAnsi="宋体" w:eastAsia="宋体" w:cs="宋体"/>
                <w:color w:val="auto"/>
                <w:kern w:val="2"/>
                <w:sz w:val="21"/>
                <w:szCs w:val="21"/>
                <w:lang w:val="en-US" w:eastAsia="zh-CN" w:bidi="ar"/>
              </w:rPr>
              <w:t>执业或职业资格证明</w:t>
            </w:r>
          </w:p>
        </w:tc>
        <w:tc>
          <w:tcPr>
            <w:tcW w:w="1091" w:type="dxa"/>
            <w:vMerge w:val="restart"/>
            <w:noWrap w:val="0"/>
            <w:vAlign w:val="center"/>
          </w:tcPr>
          <w:p w14:paraId="7A3D2A23">
            <w:pPr>
              <w:keepNext w:val="0"/>
              <w:keepLines w:val="0"/>
              <w:widowControl w:val="0"/>
              <w:suppressLineNumbers w:val="0"/>
              <w:spacing w:before="0" w:beforeAutospacing="0" w:after="0" w:afterAutospacing="0" w:line="420" w:lineRule="exact"/>
              <w:ind w:left="0" w:leftChars="0" w:right="0" w:rightChars="0"/>
              <w:jc w:val="center"/>
              <w:rPr>
                <w:rFonts w:hint="default"/>
                <w:color w:val="auto"/>
                <w:szCs w:val="21"/>
              </w:rPr>
            </w:pPr>
            <w:r>
              <w:rPr>
                <w:rFonts w:hint="eastAsia" w:ascii="宋体" w:hAnsi="宋体" w:eastAsia="宋体" w:cs="宋体"/>
                <w:color w:val="auto"/>
                <w:kern w:val="2"/>
                <w:sz w:val="21"/>
                <w:szCs w:val="21"/>
                <w:lang w:val="en-US" w:eastAsia="zh-CN" w:bidi="ar"/>
              </w:rPr>
              <w:t>社会保险</w:t>
            </w:r>
          </w:p>
        </w:tc>
        <w:tc>
          <w:tcPr>
            <w:tcW w:w="909" w:type="dxa"/>
            <w:vMerge w:val="restart"/>
            <w:noWrap w:val="0"/>
            <w:vAlign w:val="center"/>
          </w:tcPr>
          <w:p w14:paraId="4E219DFD">
            <w:pPr>
              <w:keepNext w:val="0"/>
              <w:keepLines w:val="0"/>
              <w:widowControl w:val="0"/>
              <w:suppressLineNumbers w:val="0"/>
              <w:spacing w:before="0" w:beforeAutospacing="0" w:after="0" w:afterAutospacing="0" w:line="420" w:lineRule="exact"/>
              <w:ind w:left="0" w:right="0"/>
              <w:jc w:val="center"/>
              <w:rPr>
                <w:rFonts w:hint="default"/>
                <w:color w:val="auto"/>
                <w:szCs w:val="21"/>
              </w:rPr>
            </w:pPr>
            <w:r>
              <w:rPr>
                <w:rFonts w:hint="eastAsia" w:ascii="Times New Roman" w:hAnsi="Times New Roman" w:eastAsia="宋体" w:cs="宋体"/>
                <w:color w:val="auto"/>
                <w:kern w:val="2"/>
                <w:sz w:val="21"/>
                <w:szCs w:val="21"/>
                <w:lang w:val="en-US" w:eastAsia="zh-CN" w:bidi="ar"/>
              </w:rPr>
              <w:t>执业或</w:t>
            </w:r>
          </w:p>
          <w:p w14:paraId="5899F480">
            <w:pPr>
              <w:keepNext w:val="0"/>
              <w:keepLines w:val="0"/>
              <w:widowControl w:val="0"/>
              <w:suppressLineNumbers w:val="0"/>
              <w:spacing w:before="0" w:beforeAutospacing="0" w:after="0" w:afterAutospacing="0" w:line="420" w:lineRule="exact"/>
              <w:ind w:left="0" w:leftChars="0" w:right="0" w:rightChars="0"/>
              <w:jc w:val="center"/>
              <w:rPr>
                <w:rFonts w:hint="default"/>
                <w:color w:val="auto"/>
                <w:szCs w:val="21"/>
                <w:vertAlign w:val="superscript"/>
              </w:rPr>
            </w:pPr>
            <w:r>
              <w:rPr>
                <w:rFonts w:hint="eastAsia" w:ascii="Times New Roman" w:hAnsi="Times New Roman" w:eastAsia="宋体" w:cs="宋体"/>
                <w:color w:val="auto"/>
                <w:kern w:val="2"/>
                <w:sz w:val="21"/>
                <w:szCs w:val="21"/>
                <w:lang w:val="en-US" w:eastAsia="zh-CN" w:bidi="ar"/>
              </w:rPr>
              <w:t>职业单位</w:t>
            </w:r>
          </w:p>
        </w:tc>
      </w:tr>
      <w:tr w14:paraId="4AA5C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63" w:type="dxa"/>
            <w:vMerge w:val="continue"/>
            <w:noWrap w:val="0"/>
            <w:vAlign w:val="center"/>
          </w:tcPr>
          <w:p w14:paraId="628628BD">
            <w:pPr>
              <w:keepNext w:val="0"/>
              <w:keepLines w:val="0"/>
              <w:suppressLineNumbers w:val="0"/>
              <w:spacing w:before="0" w:beforeAutospacing="0" w:after="0" w:afterAutospacing="0"/>
              <w:ind w:left="0" w:right="0"/>
              <w:rPr>
                <w:rFonts w:hint="default"/>
                <w:color w:val="auto"/>
                <w:szCs w:val="21"/>
              </w:rPr>
            </w:pPr>
          </w:p>
        </w:tc>
        <w:tc>
          <w:tcPr>
            <w:tcW w:w="1229" w:type="dxa"/>
            <w:vMerge w:val="continue"/>
            <w:noWrap w:val="0"/>
            <w:vAlign w:val="center"/>
          </w:tcPr>
          <w:p w14:paraId="5880030C">
            <w:pPr>
              <w:keepNext w:val="0"/>
              <w:keepLines w:val="0"/>
              <w:suppressLineNumbers w:val="0"/>
              <w:spacing w:before="0" w:beforeAutospacing="0" w:after="0" w:afterAutospacing="0"/>
              <w:ind w:left="0" w:right="0"/>
              <w:rPr>
                <w:rFonts w:hint="default"/>
                <w:color w:val="auto"/>
                <w:szCs w:val="21"/>
              </w:rPr>
            </w:pPr>
          </w:p>
        </w:tc>
        <w:tc>
          <w:tcPr>
            <w:tcW w:w="796" w:type="dxa"/>
            <w:vMerge w:val="continue"/>
            <w:noWrap w:val="0"/>
            <w:vAlign w:val="center"/>
          </w:tcPr>
          <w:p w14:paraId="56D73CBB">
            <w:pPr>
              <w:keepNext w:val="0"/>
              <w:keepLines w:val="0"/>
              <w:suppressLineNumbers w:val="0"/>
              <w:spacing w:before="0" w:beforeAutospacing="0" w:after="0" w:afterAutospacing="0"/>
              <w:ind w:left="0" w:right="0"/>
              <w:rPr>
                <w:rFonts w:hint="default"/>
                <w:color w:val="auto"/>
                <w:szCs w:val="21"/>
              </w:rPr>
            </w:pPr>
          </w:p>
        </w:tc>
        <w:tc>
          <w:tcPr>
            <w:tcW w:w="514" w:type="dxa"/>
            <w:vMerge w:val="continue"/>
            <w:noWrap w:val="0"/>
            <w:vAlign w:val="center"/>
          </w:tcPr>
          <w:p w14:paraId="5D510D28">
            <w:pPr>
              <w:keepNext w:val="0"/>
              <w:keepLines w:val="0"/>
              <w:suppressLineNumbers w:val="0"/>
              <w:spacing w:before="0" w:beforeAutospacing="0" w:after="0" w:afterAutospacing="0"/>
              <w:ind w:left="0" w:right="0"/>
              <w:rPr>
                <w:rFonts w:hint="default"/>
                <w:color w:val="auto"/>
                <w:szCs w:val="21"/>
              </w:rPr>
            </w:pPr>
          </w:p>
        </w:tc>
        <w:tc>
          <w:tcPr>
            <w:tcW w:w="726" w:type="dxa"/>
            <w:vMerge w:val="continue"/>
            <w:noWrap w:val="0"/>
            <w:vAlign w:val="center"/>
          </w:tcPr>
          <w:p w14:paraId="65F26ADE">
            <w:pPr>
              <w:keepNext w:val="0"/>
              <w:keepLines w:val="0"/>
              <w:suppressLineNumbers w:val="0"/>
              <w:spacing w:before="0" w:beforeAutospacing="0" w:after="0" w:afterAutospacing="0"/>
              <w:ind w:left="0" w:right="0"/>
              <w:rPr>
                <w:rFonts w:hint="default"/>
                <w:color w:val="auto"/>
                <w:szCs w:val="21"/>
              </w:rPr>
            </w:pPr>
          </w:p>
        </w:tc>
        <w:tc>
          <w:tcPr>
            <w:tcW w:w="726" w:type="dxa"/>
            <w:vMerge w:val="continue"/>
            <w:noWrap w:val="0"/>
            <w:vAlign w:val="center"/>
          </w:tcPr>
          <w:p w14:paraId="32733C3C">
            <w:pPr>
              <w:keepNext w:val="0"/>
              <w:keepLines w:val="0"/>
              <w:suppressLineNumbers w:val="0"/>
              <w:spacing w:before="0" w:beforeAutospacing="0" w:after="0" w:afterAutospacing="0"/>
              <w:ind w:left="0" w:right="0"/>
              <w:rPr>
                <w:rFonts w:hint="default"/>
                <w:color w:val="auto"/>
                <w:szCs w:val="21"/>
              </w:rPr>
            </w:pPr>
          </w:p>
        </w:tc>
        <w:tc>
          <w:tcPr>
            <w:tcW w:w="933" w:type="dxa"/>
            <w:vMerge w:val="continue"/>
            <w:noWrap w:val="0"/>
            <w:vAlign w:val="center"/>
          </w:tcPr>
          <w:p w14:paraId="64605B8A">
            <w:pPr>
              <w:keepNext w:val="0"/>
              <w:keepLines w:val="0"/>
              <w:suppressLineNumbers w:val="0"/>
              <w:spacing w:before="0" w:beforeAutospacing="0" w:after="0" w:afterAutospacing="0"/>
              <w:ind w:left="0" w:right="0"/>
              <w:rPr>
                <w:rFonts w:hint="default"/>
                <w:color w:val="auto"/>
                <w:szCs w:val="21"/>
              </w:rPr>
            </w:pPr>
          </w:p>
        </w:tc>
        <w:tc>
          <w:tcPr>
            <w:tcW w:w="1000" w:type="dxa"/>
            <w:vMerge w:val="continue"/>
            <w:noWrap w:val="0"/>
            <w:vAlign w:val="center"/>
          </w:tcPr>
          <w:p w14:paraId="2AB59877">
            <w:pPr>
              <w:keepNext w:val="0"/>
              <w:keepLines w:val="0"/>
              <w:suppressLineNumbers w:val="0"/>
              <w:spacing w:before="0" w:beforeAutospacing="0" w:after="0" w:afterAutospacing="0"/>
              <w:ind w:left="0" w:right="0"/>
              <w:rPr>
                <w:rFonts w:hint="default"/>
                <w:color w:val="auto"/>
                <w:szCs w:val="21"/>
              </w:rPr>
            </w:pPr>
          </w:p>
        </w:tc>
        <w:tc>
          <w:tcPr>
            <w:tcW w:w="369" w:type="dxa"/>
            <w:noWrap w:val="0"/>
            <w:vAlign w:val="center"/>
          </w:tcPr>
          <w:p w14:paraId="50BD4BFF">
            <w:pPr>
              <w:keepNext w:val="0"/>
              <w:keepLines w:val="0"/>
              <w:widowControl w:val="0"/>
              <w:suppressLineNumbers w:val="0"/>
              <w:spacing w:before="0" w:beforeAutospacing="0" w:after="0" w:afterAutospacing="0"/>
              <w:ind w:left="0" w:leftChars="0" w:right="0" w:rightChars="0"/>
              <w:jc w:val="center"/>
              <w:rPr>
                <w:rFonts w:hint="default"/>
                <w:color w:val="auto"/>
                <w:szCs w:val="21"/>
              </w:rPr>
            </w:pPr>
            <w:r>
              <w:rPr>
                <w:rFonts w:hint="eastAsia" w:ascii="Times New Roman" w:hAnsi="Times New Roman" w:eastAsia="宋体" w:cs="宋体"/>
                <w:color w:val="auto"/>
                <w:kern w:val="2"/>
                <w:sz w:val="21"/>
                <w:szCs w:val="21"/>
                <w:lang w:val="en-US" w:eastAsia="zh-CN" w:bidi="ar"/>
              </w:rPr>
              <w:t>级别</w:t>
            </w:r>
          </w:p>
        </w:tc>
        <w:tc>
          <w:tcPr>
            <w:tcW w:w="676" w:type="dxa"/>
            <w:noWrap w:val="0"/>
            <w:vAlign w:val="center"/>
          </w:tcPr>
          <w:p w14:paraId="6C5086DB">
            <w:pPr>
              <w:keepNext w:val="0"/>
              <w:keepLines w:val="0"/>
              <w:widowControl w:val="0"/>
              <w:suppressLineNumbers w:val="0"/>
              <w:spacing w:before="0" w:beforeAutospacing="0" w:after="0" w:afterAutospacing="0"/>
              <w:ind w:left="0" w:leftChars="0" w:right="0" w:rightChars="0"/>
              <w:jc w:val="center"/>
              <w:rPr>
                <w:rFonts w:hint="default"/>
                <w:color w:val="auto"/>
                <w:szCs w:val="21"/>
              </w:rPr>
            </w:pPr>
            <w:r>
              <w:rPr>
                <w:rFonts w:hint="eastAsia" w:ascii="Times New Roman" w:hAnsi="Times New Roman" w:eastAsia="宋体" w:cs="宋体"/>
                <w:color w:val="auto"/>
                <w:kern w:val="2"/>
                <w:sz w:val="21"/>
                <w:szCs w:val="21"/>
                <w:lang w:val="en-US" w:eastAsia="zh-CN" w:bidi="ar"/>
              </w:rPr>
              <w:t>职称专业</w:t>
            </w:r>
          </w:p>
        </w:tc>
        <w:tc>
          <w:tcPr>
            <w:tcW w:w="590" w:type="dxa"/>
            <w:noWrap w:val="0"/>
            <w:vAlign w:val="center"/>
          </w:tcPr>
          <w:p w14:paraId="3B8B372D">
            <w:pPr>
              <w:keepNext w:val="0"/>
              <w:keepLines w:val="0"/>
              <w:widowControl w:val="0"/>
              <w:suppressLineNumbers w:val="0"/>
              <w:spacing w:before="0" w:beforeAutospacing="0" w:after="0" w:afterAutospacing="0"/>
              <w:ind w:left="0" w:leftChars="0" w:right="0" w:rightChars="0"/>
              <w:jc w:val="center"/>
              <w:rPr>
                <w:rFonts w:hint="default"/>
                <w:color w:val="auto"/>
              </w:rPr>
            </w:pPr>
            <w:r>
              <w:rPr>
                <w:rFonts w:hint="eastAsia" w:ascii="Times New Roman" w:hAnsi="Times New Roman" w:eastAsia="宋体" w:cs="宋体"/>
                <w:color w:val="auto"/>
                <w:kern w:val="2"/>
                <w:sz w:val="21"/>
                <w:szCs w:val="21"/>
                <w:lang w:val="en-US" w:eastAsia="zh-CN" w:bidi="ar"/>
              </w:rPr>
              <w:t>职称专业类别</w:t>
            </w:r>
          </w:p>
        </w:tc>
        <w:tc>
          <w:tcPr>
            <w:tcW w:w="1135" w:type="dxa"/>
            <w:noWrap w:val="0"/>
            <w:vAlign w:val="center"/>
          </w:tcPr>
          <w:p w14:paraId="3604501D">
            <w:pPr>
              <w:keepNext w:val="0"/>
              <w:keepLines w:val="0"/>
              <w:widowControl w:val="0"/>
              <w:suppressLineNumbers w:val="0"/>
              <w:spacing w:before="0" w:beforeAutospacing="0" w:after="0" w:afterAutospacing="0"/>
              <w:ind w:left="0" w:leftChars="0" w:right="0" w:rightChars="0"/>
              <w:jc w:val="center"/>
              <w:rPr>
                <w:rFonts w:hint="eastAsia" w:ascii="宋体" w:hAnsi="宋体"/>
                <w:color w:val="auto"/>
                <w:szCs w:val="21"/>
              </w:rPr>
            </w:pPr>
            <w:r>
              <w:rPr>
                <w:rFonts w:hint="eastAsia" w:ascii="宋体" w:hAnsi="宋体" w:eastAsia="宋体" w:cs="宋体"/>
                <w:color w:val="auto"/>
                <w:kern w:val="2"/>
                <w:sz w:val="21"/>
                <w:szCs w:val="21"/>
                <w:lang w:val="en-US" w:eastAsia="zh-CN" w:bidi="ar"/>
              </w:rPr>
              <w:t>证书名称</w:t>
            </w:r>
          </w:p>
        </w:tc>
        <w:tc>
          <w:tcPr>
            <w:tcW w:w="966" w:type="dxa"/>
            <w:noWrap w:val="0"/>
            <w:vAlign w:val="center"/>
          </w:tcPr>
          <w:p w14:paraId="627386A1">
            <w:pPr>
              <w:keepNext w:val="0"/>
              <w:keepLines w:val="0"/>
              <w:widowControl w:val="0"/>
              <w:suppressLineNumbers w:val="0"/>
              <w:spacing w:before="0" w:beforeAutospacing="0" w:after="0" w:afterAutospacing="0"/>
              <w:ind w:left="0" w:leftChars="0" w:right="0" w:rightChars="0"/>
              <w:jc w:val="center"/>
              <w:rPr>
                <w:rFonts w:hint="eastAsia" w:ascii="宋体" w:hAnsi="宋体"/>
                <w:color w:val="auto"/>
                <w:szCs w:val="21"/>
              </w:rPr>
            </w:pPr>
            <w:r>
              <w:rPr>
                <w:rFonts w:hint="eastAsia" w:ascii="宋体" w:hAnsi="宋体" w:eastAsia="宋体" w:cs="宋体"/>
                <w:color w:val="auto"/>
                <w:kern w:val="2"/>
                <w:sz w:val="21"/>
                <w:szCs w:val="21"/>
                <w:lang w:val="en-US" w:eastAsia="zh-CN" w:bidi="ar"/>
              </w:rPr>
              <w:t>级别</w:t>
            </w:r>
          </w:p>
        </w:tc>
        <w:tc>
          <w:tcPr>
            <w:tcW w:w="967" w:type="dxa"/>
            <w:noWrap w:val="0"/>
            <w:vAlign w:val="center"/>
          </w:tcPr>
          <w:p w14:paraId="565BB055">
            <w:pPr>
              <w:keepNext w:val="0"/>
              <w:keepLines w:val="0"/>
              <w:widowControl w:val="0"/>
              <w:suppressLineNumbers w:val="0"/>
              <w:spacing w:before="0" w:beforeAutospacing="0" w:after="0" w:afterAutospacing="0"/>
              <w:ind w:left="0" w:leftChars="0" w:right="0" w:rightChars="0"/>
              <w:jc w:val="center"/>
              <w:rPr>
                <w:rFonts w:hint="eastAsia" w:ascii="宋体" w:hAnsi="宋体"/>
                <w:color w:val="auto"/>
                <w:szCs w:val="21"/>
              </w:rPr>
            </w:pPr>
            <w:r>
              <w:rPr>
                <w:rFonts w:hint="eastAsia" w:ascii="宋体" w:hAnsi="宋体" w:eastAsia="宋体" w:cs="宋体"/>
                <w:color w:val="auto"/>
                <w:kern w:val="2"/>
                <w:sz w:val="21"/>
                <w:szCs w:val="21"/>
                <w:lang w:val="en-US" w:eastAsia="zh-CN" w:bidi="ar"/>
              </w:rPr>
              <w:t>证号</w:t>
            </w:r>
          </w:p>
        </w:tc>
        <w:tc>
          <w:tcPr>
            <w:tcW w:w="970" w:type="dxa"/>
            <w:noWrap w:val="0"/>
            <w:vAlign w:val="center"/>
          </w:tcPr>
          <w:p w14:paraId="12C137C7">
            <w:pPr>
              <w:keepNext w:val="0"/>
              <w:keepLines w:val="0"/>
              <w:widowControl w:val="0"/>
              <w:suppressLineNumbers w:val="0"/>
              <w:spacing w:before="0" w:beforeAutospacing="0" w:after="0" w:afterAutospacing="0"/>
              <w:ind w:left="0" w:leftChars="0" w:right="0" w:rightChars="0"/>
              <w:jc w:val="center"/>
              <w:rPr>
                <w:rFonts w:hint="eastAsia" w:ascii="宋体" w:hAnsi="宋体"/>
                <w:color w:val="auto"/>
                <w:szCs w:val="21"/>
              </w:rPr>
            </w:pPr>
            <w:r>
              <w:rPr>
                <w:rFonts w:hint="eastAsia" w:ascii="宋体" w:hAnsi="宋体" w:eastAsia="宋体" w:cs="宋体"/>
                <w:color w:val="auto"/>
                <w:kern w:val="2"/>
                <w:sz w:val="21"/>
                <w:szCs w:val="21"/>
                <w:lang w:val="en-US" w:eastAsia="zh-CN" w:bidi="ar"/>
              </w:rPr>
              <w:t>专业</w:t>
            </w:r>
          </w:p>
        </w:tc>
        <w:tc>
          <w:tcPr>
            <w:tcW w:w="1091" w:type="dxa"/>
            <w:vMerge w:val="continue"/>
            <w:noWrap w:val="0"/>
            <w:vAlign w:val="center"/>
          </w:tcPr>
          <w:p w14:paraId="1C4D047F">
            <w:pPr>
              <w:keepNext w:val="0"/>
              <w:keepLines w:val="0"/>
              <w:suppressLineNumbers w:val="0"/>
              <w:spacing w:before="0" w:beforeAutospacing="0" w:after="0" w:afterAutospacing="0"/>
              <w:ind w:left="0" w:right="0"/>
              <w:rPr>
                <w:rFonts w:hint="default"/>
                <w:color w:val="auto"/>
                <w:szCs w:val="21"/>
              </w:rPr>
            </w:pPr>
          </w:p>
        </w:tc>
        <w:tc>
          <w:tcPr>
            <w:tcW w:w="909" w:type="dxa"/>
            <w:vMerge w:val="continue"/>
            <w:noWrap w:val="0"/>
            <w:vAlign w:val="center"/>
          </w:tcPr>
          <w:p w14:paraId="1FD0340F">
            <w:pPr>
              <w:keepNext w:val="0"/>
              <w:keepLines w:val="0"/>
              <w:suppressLineNumbers w:val="0"/>
              <w:spacing w:before="0" w:beforeAutospacing="0" w:after="0" w:afterAutospacing="0"/>
              <w:ind w:left="0" w:right="0"/>
              <w:rPr>
                <w:rFonts w:hint="default"/>
                <w:color w:val="auto"/>
                <w:szCs w:val="21"/>
              </w:rPr>
            </w:pPr>
          </w:p>
        </w:tc>
      </w:tr>
      <w:tr w14:paraId="624E9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5FE2ECA2">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rPr>
            </w:pPr>
            <w:r>
              <w:rPr>
                <w:rFonts w:hint="default" w:ascii="Times New Roman" w:hAnsi="Times New Roman" w:eastAsia="宋体" w:cs="Times New Roman"/>
                <w:color w:val="auto"/>
                <w:kern w:val="2"/>
                <w:sz w:val="21"/>
                <w:szCs w:val="21"/>
                <w:lang w:val="en-US" w:eastAsia="zh-CN" w:bidi="ar"/>
              </w:rPr>
              <w:t>1</w:t>
            </w:r>
          </w:p>
        </w:tc>
        <w:tc>
          <w:tcPr>
            <w:tcW w:w="1229" w:type="dxa"/>
            <w:noWrap w:val="0"/>
            <w:vAlign w:val="center"/>
          </w:tcPr>
          <w:p w14:paraId="7C79B4C1">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796" w:type="dxa"/>
            <w:noWrap w:val="0"/>
            <w:vAlign w:val="center"/>
          </w:tcPr>
          <w:p w14:paraId="028FD36C">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514" w:type="dxa"/>
            <w:noWrap w:val="0"/>
            <w:vAlign w:val="center"/>
          </w:tcPr>
          <w:p w14:paraId="34441E11">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726" w:type="dxa"/>
            <w:noWrap w:val="0"/>
            <w:vAlign w:val="center"/>
          </w:tcPr>
          <w:p w14:paraId="7CACCA0C">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726" w:type="dxa"/>
            <w:noWrap w:val="0"/>
            <w:vAlign w:val="center"/>
          </w:tcPr>
          <w:p w14:paraId="7DDCE296">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933" w:type="dxa"/>
            <w:noWrap w:val="0"/>
            <w:vAlign w:val="center"/>
          </w:tcPr>
          <w:p w14:paraId="602025A2">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1000" w:type="dxa"/>
            <w:noWrap w:val="0"/>
            <w:vAlign w:val="center"/>
          </w:tcPr>
          <w:p w14:paraId="6E828F60">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369" w:type="dxa"/>
            <w:noWrap w:val="0"/>
            <w:vAlign w:val="center"/>
          </w:tcPr>
          <w:p w14:paraId="1AAC2318">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676" w:type="dxa"/>
            <w:noWrap w:val="0"/>
            <w:vAlign w:val="center"/>
          </w:tcPr>
          <w:p w14:paraId="638A760F">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590" w:type="dxa"/>
            <w:noWrap w:val="0"/>
            <w:vAlign w:val="center"/>
          </w:tcPr>
          <w:p w14:paraId="6399BD8F">
            <w:pPr>
              <w:keepNext w:val="0"/>
              <w:keepLines w:val="0"/>
              <w:widowControl w:val="0"/>
              <w:suppressLineNumbers w:val="0"/>
              <w:spacing w:before="0" w:beforeAutospacing="0" w:after="0" w:afterAutospacing="0"/>
              <w:ind w:left="0" w:leftChars="0" w:right="0" w:rightChars="0"/>
              <w:jc w:val="center"/>
              <w:rPr>
                <w:rFonts w:hint="default"/>
                <w:color w:val="auto"/>
              </w:rPr>
            </w:pPr>
          </w:p>
        </w:tc>
        <w:tc>
          <w:tcPr>
            <w:tcW w:w="1135" w:type="dxa"/>
            <w:noWrap w:val="0"/>
            <w:vAlign w:val="center"/>
          </w:tcPr>
          <w:p w14:paraId="3F015EBA">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66" w:type="dxa"/>
            <w:noWrap w:val="0"/>
            <w:vAlign w:val="center"/>
          </w:tcPr>
          <w:p w14:paraId="5CCD9EDA">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67" w:type="dxa"/>
            <w:noWrap w:val="0"/>
            <w:vAlign w:val="center"/>
          </w:tcPr>
          <w:p w14:paraId="6897F1AA">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70" w:type="dxa"/>
            <w:noWrap w:val="0"/>
            <w:vAlign w:val="center"/>
          </w:tcPr>
          <w:p w14:paraId="3076FD2B">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1091" w:type="dxa"/>
            <w:noWrap w:val="0"/>
            <w:vAlign w:val="center"/>
          </w:tcPr>
          <w:p w14:paraId="357B69E1">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09" w:type="dxa"/>
            <w:noWrap w:val="0"/>
            <w:vAlign w:val="center"/>
          </w:tcPr>
          <w:p w14:paraId="3688EB4F">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r>
      <w:tr w14:paraId="35D3F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2636B031">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rPr>
            </w:pPr>
            <w:r>
              <w:rPr>
                <w:rFonts w:hint="default" w:ascii="Times New Roman" w:hAnsi="Times New Roman" w:eastAsia="宋体" w:cs="Times New Roman"/>
                <w:color w:val="auto"/>
                <w:kern w:val="2"/>
                <w:sz w:val="21"/>
                <w:szCs w:val="21"/>
                <w:lang w:val="en-US" w:eastAsia="zh-CN" w:bidi="ar"/>
              </w:rPr>
              <w:t>2</w:t>
            </w:r>
          </w:p>
        </w:tc>
        <w:tc>
          <w:tcPr>
            <w:tcW w:w="1229" w:type="dxa"/>
            <w:noWrap w:val="0"/>
            <w:vAlign w:val="center"/>
          </w:tcPr>
          <w:p w14:paraId="647FA266">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796" w:type="dxa"/>
            <w:noWrap w:val="0"/>
            <w:vAlign w:val="center"/>
          </w:tcPr>
          <w:p w14:paraId="352BEDBF">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514" w:type="dxa"/>
            <w:noWrap w:val="0"/>
            <w:vAlign w:val="center"/>
          </w:tcPr>
          <w:p w14:paraId="6C2F7079">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726" w:type="dxa"/>
            <w:noWrap w:val="0"/>
            <w:vAlign w:val="center"/>
          </w:tcPr>
          <w:p w14:paraId="6E459C3E">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726" w:type="dxa"/>
            <w:noWrap w:val="0"/>
            <w:vAlign w:val="center"/>
          </w:tcPr>
          <w:p w14:paraId="2EFC7BED">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933" w:type="dxa"/>
            <w:noWrap w:val="0"/>
            <w:vAlign w:val="center"/>
          </w:tcPr>
          <w:p w14:paraId="50C5B569">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1000" w:type="dxa"/>
            <w:noWrap w:val="0"/>
            <w:vAlign w:val="center"/>
          </w:tcPr>
          <w:p w14:paraId="1C069E81">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369" w:type="dxa"/>
            <w:noWrap w:val="0"/>
            <w:vAlign w:val="center"/>
          </w:tcPr>
          <w:p w14:paraId="786B772D">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676" w:type="dxa"/>
            <w:noWrap w:val="0"/>
            <w:vAlign w:val="center"/>
          </w:tcPr>
          <w:p w14:paraId="00DFD5F8">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590" w:type="dxa"/>
            <w:noWrap w:val="0"/>
            <w:vAlign w:val="center"/>
          </w:tcPr>
          <w:p w14:paraId="7B7394F2">
            <w:pPr>
              <w:keepNext w:val="0"/>
              <w:keepLines w:val="0"/>
              <w:widowControl w:val="0"/>
              <w:suppressLineNumbers w:val="0"/>
              <w:spacing w:before="0" w:beforeAutospacing="0" w:after="0" w:afterAutospacing="0"/>
              <w:ind w:left="0" w:leftChars="0" w:right="0" w:rightChars="0"/>
              <w:jc w:val="center"/>
              <w:rPr>
                <w:rFonts w:hint="default"/>
                <w:color w:val="auto"/>
              </w:rPr>
            </w:pPr>
          </w:p>
        </w:tc>
        <w:tc>
          <w:tcPr>
            <w:tcW w:w="1135" w:type="dxa"/>
            <w:noWrap w:val="0"/>
            <w:vAlign w:val="center"/>
          </w:tcPr>
          <w:p w14:paraId="70D23F90">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66" w:type="dxa"/>
            <w:noWrap w:val="0"/>
            <w:vAlign w:val="center"/>
          </w:tcPr>
          <w:p w14:paraId="4DF6C886">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67" w:type="dxa"/>
            <w:noWrap w:val="0"/>
            <w:vAlign w:val="center"/>
          </w:tcPr>
          <w:p w14:paraId="4D72C8BE">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70" w:type="dxa"/>
            <w:noWrap w:val="0"/>
            <w:vAlign w:val="center"/>
          </w:tcPr>
          <w:p w14:paraId="17CE987F">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1091" w:type="dxa"/>
            <w:noWrap w:val="0"/>
            <w:vAlign w:val="center"/>
          </w:tcPr>
          <w:p w14:paraId="52DEE403">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09" w:type="dxa"/>
            <w:noWrap w:val="0"/>
            <w:vAlign w:val="center"/>
          </w:tcPr>
          <w:p w14:paraId="26C8CE45">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r>
      <w:tr w14:paraId="0FF71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2500B2BB">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rPr>
            </w:pPr>
            <w:r>
              <w:rPr>
                <w:rFonts w:hint="default" w:ascii="Times New Roman" w:hAnsi="Times New Roman" w:eastAsia="宋体" w:cs="Times New Roman"/>
                <w:color w:val="auto"/>
                <w:kern w:val="2"/>
                <w:sz w:val="21"/>
                <w:szCs w:val="21"/>
                <w:lang w:val="en-US" w:eastAsia="zh-CN" w:bidi="ar"/>
              </w:rPr>
              <w:t>3</w:t>
            </w:r>
          </w:p>
        </w:tc>
        <w:tc>
          <w:tcPr>
            <w:tcW w:w="1229" w:type="dxa"/>
            <w:noWrap w:val="0"/>
            <w:vAlign w:val="center"/>
          </w:tcPr>
          <w:p w14:paraId="28A0B946">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796" w:type="dxa"/>
            <w:noWrap w:val="0"/>
            <w:vAlign w:val="center"/>
          </w:tcPr>
          <w:p w14:paraId="73C603C4">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514" w:type="dxa"/>
            <w:noWrap w:val="0"/>
            <w:vAlign w:val="center"/>
          </w:tcPr>
          <w:p w14:paraId="10E486C8">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726" w:type="dxa"/>
            <w:noWrap w:val="0"/>
            <w:vAlign w:val="center"/>
          </w:tcPr>
          <w:p w14:paraId="16CF8E2C">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726" w:type="dxa"/>
            <w:noWrap w:val="0"/>
            <w:vAlign w:val="center"/>
          </w:tcPr>
          <w:p w14:paraId="482F880D">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933" w:type="dxa"/>
            <w:noWrap w:val="0"/>
            <w:vAlign w:val="center"/>
          </w:tcPr>
          <w:p w14:paraId="37155782">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1000" w:type="dxa"/>
            <w:noWrap w:val="0"/>
            <w:vAlign w:val="center"/>
          </w:tcPr>
          <w:p w14:paraId="061D1900">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369" w:type="dxa"/>
            <w:noWrap w:val="0"/>
            <w:vAlign w:val="center"/>
          </w:tcPr>
          <w:p w14:paraId="5CC69B8A">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676" w:type="dxa"/>
            <w:noWrap w:val="0"/>
            <w:vAlign w:val="center"/>
          </w:tcPr>
          <w:p w14:paraId="4F560D10">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590" w:type="dxa"/>
            <w:noWrap w:val="0"/>
            <w:vAlign w:val="center"/>
          </w:tcPr>
          <w:p w14:paraId="5AF59483">
            <w:pPr>
              <w:keepNext w:val="0"/>
              <w:keepLines w:val="0"/>
              <w:widowControl w:val="0"/>
              <w:suppressLineNumbers w:val="0"/>
              <w:spacing w:before="0" w:beforeAutospacing="0" w:after="0" w:afterAutospacing="0"/>
              <w:ind w:left="0" w:leftChars="0" w:right="0" w:rightChars="0"/>
              <w:jc w:val="center"/>
              <w:rPr>
                <w:rFonts w:hint="default"/>
                <w:color w:val="auto"/>
              </w:rPr>
            </w:pPr>
          </w:p>
        </w:tc>
        <w:tc>
          <w:tcPr>
            <w:tcW w:w="1135" w:type="dxa"/>
            <w:noWrap w:val="0"/>
            <w:vAlign w:val="center"/>
          </w:tcPr>
          <w:p w14:paraId="6D0866D3">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66" w:type="dxa"/>
            <w:noWrap w:val="0"/>
            <w:vAlign w:val="center"/>
          </w:tcPr>
          <w:p w14:paraId="3A733299">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67" w:type="dxa"/>
            <w:noWrap w:val="0"/>
            <w:vAlign w:val="center"/>
          </w:tcPr>
          <w:p w14:paraId="5DE7906F">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70" w:type="dxa"/>
            <w:noWrap w:val="0"/>
            <w:vAlign w:val="center"/>
          </w:tcPr>
          <w:p w14:paraId="77270D02">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1091" w:type="dxa"/>
            <w:noWrap w:val="0"/>
            <w:vAlign w:val="center"/>
          </w:tcPr>
          <w:p w14:paraId="531ECF98">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09" w:type="dxa"/>
            <w:noWrap w:val="0"/>
            <w:vAlign w:val="center"/>
          </w:tcPr>
          <w:p w14:paraId="1638B782">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r>
      <w:tr w14:paraId="05AC0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637A7F3C">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rPr>
            </w:pPr>
            <w:r>
              <w:rPr>
                <w:rFonts w:hint="default" w:ascii="Times New Roman" w:hAnsi="Times New Roman" w:eastAsia="宋体" w:cs="Times New Roman"/>
                <w:color w:val="auto"/>
                <w:kern w:val="2"/>
                <w:sz w:val="21"/>
                <w:szCs w:val="21"/>
                <w:lang w:val="en-US" w:eastAsia="zh-CN" w:bidi="ar"/>
              </w:rPr>
              <w:t>4</w:t>
            </w:r>
          </w:p>
        </w:tc>
        <w:tc>
          <w:tcPr>
            <w:tcW w:w="1229" w:type="dxa"/>
            <w:noWrap w:val="0"/>
            <w:vAlign w:val="center"/>
          </w:tcPr>
          <w:p w14:paraId="47877479">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796" w:type="dxa"/>
            <w:noWrap w:val="0"/>
            <w:vAlign w:val="center"/>
          </w:tcPr>
          <w:p w14:paraId="2DFA95DF">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514" w:type="dxa"/>
            <w:noWrap w:val="0"/>
            <w:vAlign w:val="center"/>
          </w:tcPr>
          <w:p w14:paraId="1D899DD4">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726" w:type="dxa"/>
            <w:noWrap w:val="0"/>
            <w:vAlign w:val="center"/>
          </w:tcPr>
          <w:p w14:paraId="0805D19F">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726" w:type="dxa"/>
            <w:noWrap w:val="0"/>
            <w:vAlign w:val="center"/>
          </w:tcPr>
          <w:p w14:paraId="2EF5D187">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933" w:type="dxa"/>
            <w:noWrap w:val="0"/>
            <w:vAlign w:val="center"/>
          </w:tcPr>
          <w:p w14:paraId="424C3723">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1000" w:type="dxa"/>
            <w:noWrap w:val="0"/>
            <w:vAlign w:val="center"/>
          </w:tcPr>
          <w:p w14:paraId="550EC64D">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369" w:type="dxa"/>
            <w:noWrap w:val="0"/>
            <w:vAlign w:val="center"/>
          </w:tcPr>
          <w:p w14:paraId="19464E6F">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676" w:type="dxa"/>
            <w:noWrap w:val="0"/>
            <w:vAlign w:val="center"/>
          </w:tcPr>
          <w:p w14:paraId="4B0B00E2">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590" w:type="dxa"/>
            <w:noWrap w:val="0"/>
            <w:vAlign w:val="center"/>
          </w:tcPr>
          <w:p w14:paraId="779F356D">
            <w:pPr>
              <w:keepNext w:val="0"/>
              <w:keepLines w:val="0"/>
              <w:widowControl w:val="0"/>
              <w:suppressLineNumbers w:val="0"/>
              <w:spacing w:before="0" w:beforeAutospacing="0" w:after="0" w:afterAutospacing="0"/>
              <w:ind w:left="0" w:leftChars="0" w:right="0" w:rightChars="0"/>
              <w:jc w:val="center"/>
              <w:rPr>
                <w:rFonts w:hint="default"/>
                <w:color w:val="auto"/>
              </w:rPr>
            </w:pPr>
          </w:p>
        </w:tc>
        <w:tc>
          <w:tcPr>
            <w:tcW w:w="1135" w:type="dxa"/>
            <w:noWrap w:val="0"/>
            <w:vAlign w:val="center"/>
          </w:tcPr>
          <w:p w14:paraId="2B9FE32A">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66" w:type="dxa"/>
            <w:noWrap w:val="0"/>
            <w:vAlign w:val="center"/>
          </w:tcPr>
          <w:p w14:paraId="2F74434A">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67" w:type="dxa"/>
            <w:noWrap w:val="0"/>
            <w:vAlign w:val="center"/>
          </w:tcPr>
          <w:p w14:paraId="7B002BC9">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70" w:type="dxa"/>
            <w:noWrap w:val="0"/>
            <w:vAlign w:val="center"/>
          </w:tcPr>
          <w:p w14:paraId="0CAB06BF">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1091" w:type="dxa"/>
            <w:noWrap w:val="0"/>
            <w:vAlign w:val="center"/>
          </w:tcPr>
          <w:p w14:paraId="2691D811">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09" w:type="dxa"/>
            <w:noWrap w:val="0"/>
            <w:vAlign w:val="center"/>
          </w:tcPr>
          <w:p w14:paraId="7441589F">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r>
      <w:tr w14:paraId="58502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600118FE">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rPr>
            </w:pPr>
            <w:r>
              <w:rPr>
                <w:rFonts w:hint="default" w:ascii="Times New Roman" w:hAnsi="Times New Roman" w:eastAsia="宋体" w:cs="Times New Roman"/>
                <w:color w:val="auto"/>
                <w:kern w:val="2"/>
                <w:sz w:val="21"/>
                <w:szCs w:val="21"/>
                <w:lang w:val="en-US" w:eastAsia="zh-CN" w:bidi="ar"/>
              </w:rPr>
              <w:t>5</w:t>
            </w:r>
          </w:p>
        </w:tc>
        <w:tc>
          <w:tcPr>
            <w:tcW w:w="1229" w:type="dxa"/>
            <w:noWrap w:val="0"/>
            <w:vAlign w:val="center"/>
          </w:tcPr>
          <w:p w14:paraId="113DF955">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796" w:type="dxa"/>
            <w:noWrap w:val="0"/>
            <w:vAlign w:val="center"/>
          </w:tcPr>
          <w:p w14:paraId="5B263009">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514" w:type="dxa"/>
            <w:noWrap w:val="0"/>
            <w:vAlign w:val="center"/>
          </w:tcPr>
          <w:p w14:paraId="3014BB63">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726" w:type="dxa"/>
            <w:noWrap w:val="0"/>
            <w:vAlign w:val="center"/>
          </w:tcPr>
          <w:p w14:paraId="490B310E">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726" w:type="dxa"/>
            <w:noWrap w:val="0"/>
            <w:vAlign w:val="center"/>
          </w:tcPr>
          <w:p w14:paraId="65B83BA6">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933" w:type="dxa"/>
            <w:noWrap w:val="0"/>
            <w:vAlign w:val="center"/>
          </w:tcPr>
          <w:p w14:paraId="2D4BA594">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1000" w:type="dxa"/>
            <w:noWrap w:val="0"/>
            <w:vAlign w:val="center"/>
          </w:tcPr>
          <w:p w14:paraId="44E27A9D">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369" w:type="dxa"/>
            <w:noWrap w:val="0"/>
            <w:vAlign w:val="center"/>
          </w:tcPr>
          <w:p w14:paraId="2228EE50">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676" w:type="dxa"/>
            <w:noWrap w:val="0"/>
            <w:vAlign w:val="center"/>
          </w:tcPr>
          <w:p w14:paraId="37B86FCC">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590" w:type="dxa"/>
            <w:noWrap w:val="0"/>
            <w:vAlign w:val="center"/>
          </w:tcPr>
          <w:p w14:paraId="539C77C4">
            <w:pPr>
              <w:keepNext w:val="0"/>
              <w:keepLines w:val="0"/>
              <w:widowControl w:val="0"/>
              <w:suppressLineNumbers w:val="0"/>
              <w:spacing w:before="0" w:beforeAutospacing="0" w:after="0" w:afterAutospacing="0"/>
              <w:ind w:left="0" w:leftChars="0" w:right="0" w:rightChars="0"/>
              <w:jc w:val="center"/>
              <w:rPr>
                <w:rFonts w:hint="default"/>
                <w:color w:val="auto"/>
              </w:rPr>
            </w:pPr>
          </w:p>
        </w:tc>
        <w:tc>
          <w:tcPr>
            <w:tcW w:w="1135" w:type="dxa"/>
            <w:noWrap w:val="0"/>
            <w:vAlign w:val="center"/>
          </w:tcPr>
          <w:p w14:paraId="4D8BEF81">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66" w:type="dxa"/>
            <w:noWrap w:val="0"/>
            <w:vAlign w:val="center"/>
          </w:tcPr>
          <w:p w14:paraId="54DA1520">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67" w:type="dxa"/>
            <w:noWrap w:val="0"/>
            <w:vAlign w:val="center"/>
          </w:tcPr>
          <w:p w14:paraId="7BD798CD">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70" w:type="dxa"/>
            <w:noWrap w:val="0"/>
            <w:vAlign w:val="center"/>
          </w:tcPr>
          <w:p w14:paraId="1A4B21ED">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1091" w:type="dxa"/>
            <w:noWrap w:val="0"/>
            <w:vAlign w:val="center"/>
          </w:tcPr>
          <w:p w14:paraId="01823A60">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09" w:type="dxa"/>
            <w:noWrap w:val="0"/>
            <w:vAlign w:val="center"/>
          </w:tcPr>
          <w:p w14:paraId="5F0813DC">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r>
      <w:tr w14:paraId="17933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60548227">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rPr>
            </w:pPr>
            <w:r>
              <w:rPr>
                <w:rFonts w:hint="default" w:ascii="Times New Roman" w:hAnsi="Times New Roman" w:eastAsia="宋体" w:cs="Times New Roman"/>
                <w:color w:val="auto"/>
                <w:kern w:val="2"/>
                <w:sz w:val="21"/>
                <w:szCs w:val="21"/>
                <w:lang w:val="en-US" w:eastAsia="zh-CN" w:bidi="ar"/>
              </w:rPr>
              <w:t>6</w:t>
            </w:r>
          </w:p>
        </w:tc>
        <w:tc>
          <w:tcPr>
            <w:tcW w:w="1229" w:type="dxa"/>
            <w:noWrap w:val="0"/>
            <w:vAlign w:val="center"/>
          </w:tcPr>
          <w:p w14:paraId="5099B7FC">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796" w:type="dxa"/>
            <w:noWrap w:val="0"/>
            <w:vAlign w:val="center"/>
          </w:tcPr>
          <w:p w14:paraId="6134CF59">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514" w:type="dxa"/>
            <w:noWrap w:val="0"/>
            <w:vAlign w:val="center"/>
          </w:tcPr>
          <w:p w14:paraId="2157EC51">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726" w:type="dxa"/>
            <w:noWrap w:val="0"/>
            <w:vAlign w:val="center"/>
          </w:tcPr>
          <w:p w14:paraId="006F557D">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726" w:type="dxa"/>
            <w:noWrap w:val="0"/>
            <w:vAlign w:val="center"/>
          </w:tcPr>
          <w:p w14:paraId="36786425">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933" w:type="dxa"/>
            <w:noWrap w:val="0"/>
            <w:vAlign w:val="center"/>
          </w:tcPr>
          <w:p w14:paraId="7AAD1C32">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1000" w:type="dxa"/>
            <w:noWrap w:val="0"/>
            <w:vAlign w:val="center"/>
          </w:tcPr>
          <w:p w14:paraId="4363AD77">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369" w:type="dxa"/>
            <w:noWrap w:val="0"/>
            <w:vAlign w:val="center"/>
          </w:tcPr>
          <w:p w14:paraId="042C7394">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676" w:type="dxa"/>
            <w:noWrap w:val="0"/>
            <w:vAlign w:val="center"/>
          </w:tcPr>
          <w:p w14:paraId="536EFEAA">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590" w:type="dxa"/>
            <w:noWrap w:val="0"/>
            <w:vAlign w:val="center"/>
          </w:tcPr>
          <w:p w14:paraId="6558484E">
            <w:pPr>
              <w:keepNext w:val="0"/>
              <w:keepLines w:val="0"/>
              <w:widowControl w:val="0"/>
              <w:suppressLineNumbers w:val="0"/>
              <w:spacing w:before="0" w:beforeAutospacing="0" w:after="0" w:afterAutospacing="0"/>
              <w:ind w:left="0" w:leftChars="0" w:right="0" w:rightChars="0"/>
              <w:jc w:val="center"/>
              <w:rPr>
                <w:rFonts w:hint="default"/>
                <w:color w:val="auto"/>
              </w:rPr>
            </w:pPr>
          </w:p>
        </w:tc>
        <w:tc>
          <w:tcPr>
            <w:tcW w:w="1135" w:type="dxa"/>
            <w:noWrap w:val="0"/>
            <w:vAlign w:val="center"/>
          </w:tcPr>
          <w:p w14:paraId="6C1422D4">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66" w:type="dxa"/>
            <w:noWrap w:val="0"/>
            <w:vAlign w:val="center"/>
          </w:tcPr>
          <w:p w14:paraId="46061064">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67" w:type="dxa"/>
            <w:noWrap w:val="0"/>
            <w:vAlign w:val="center"/>
          </w:tcPr>
          <w:p w14:paraId="0064684E">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70" w:type="dxa"/>
            <w:noWrap w:val="0"/>
            <w:vAlign w:val="center"/>
          </w:tcPr>
          <w:p w14:paraId="73ED5CD1">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1091" w:type="dxa"/>
            <w:noWrap w:val="0"/>
            <w:vAlign w:val="center"/>
          </w:tcPr>
          <w:p w14:paraId="19D6F105">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09" w:type="dxa"/>
            <w:noWrap w:val="0"/>
            <w:vAlign w:val="center"/>
          </w:tcPr>
          <w:p w14:paraId="7B7AEE12">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r>
      <w:tr w14:paraId="40993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5A3EE83D">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rPr>
            </w:pPr>
            <w:r>
              <w:rPr>
                <w:rFonts w:hint="default" w:ascii="Times New Roman" w:hAnsi="Times New Roman" w:eastAsia="宋体" w:cs="Times New Roman"/>
                <w:color w:val="auto"/>
                <w:kern w:val="2"/>
                <w:sz w:val="21"/>
                <w:szCs w:val="21"/>
                <w:lang w:val="en-US" w:eastAsia="zh-CN" w:bidi="ar"/>
              </w:rPr>
              <w:t>7</w:t>
            </w:r>
          </w:p>
        </w:tc>
        <w:tc>
          <w:tcPr>
            <w:tcW w:w="1229" w:type="dxa"/>
            <w:noWrap w:val="0"/>
            <w:vAlign w:val="center"/>
          </w:tcPr>
          <w:p w14:paraId="6FEBC31B">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796" w:type="dxa"/>
            <w:noWrap w:val="0"/>
            <w:vAlign w:val="center"/>
          </w:tcPr>
          <w:p w14:paraId="707E7AE5">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514" w:type="dxa"/>
            <w:noWrap w:val="0"/>
            <w:vAlign w:val="center"/>
          </w:tcPr>
          <w:p w14:paraId="12A758AF">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726" w:type="dxa"/>
            <w:noWrap w:val="0"/>
            <w:vAlign w:val="center"/>
          </w:tcPr>
          <w:p w14:paraId="10D591E1">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726" w:type="dxa"/>
            <w:noWrap w:val="0"/>
            <w:vAlign w:val="center"/>
          </w:tcPr>
          <w:p w14:paraId="6693EA3F">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933" w:type="dxa"/>
            <w:noWrap w:val="0"/>
            <w:vAlign w:val="center"/>
          </w:tcPr>
          <w:p w14:paraId="14F9071F">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1000" w:type="dxa"/>
            <w:noWrap w:val="0"/>
            <w:vAlign w:val="center"/>
          </w:tcPr>
          <w:p w14:paraId="291B28C9">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369" w:type="dxa"/>
            <w:noWrap w:val="0"/>
            <w:vAlign w:val="center"/>
          </w:tcPr>
          <w:p w14:paraId="7123EAD5">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676" w:type="dxa"/>
            <w:noWrap w:val="0"/>
            <w:vAlign w:val="center"/>
          </w:tcPr>
          <w:p w14:paraId="7811AF85">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590" w:type="dxa"/>
            <w:noWrap w:val="0"/>
            <w:vAlign w:val="center"/>
          </w:tcPr>
          <w:p w14:paraId="17FC425E">
            <w:pPr>
              <w:keepNext w:val="0"/>
              <w:keepLines w:val="0"/>
              <w:widowControl w:val="0"/>
              <w:suppressLineNumbers w:val="0"/>
              <w:spacing w:before="0" w:beforeAutospacing="0" w:after="0" w:afterAutospacing="0"/>
              <w:ind w:left="0" w:leftChars="0" w:right="0" w:rightChars="0"/>
              <w:jc w:val="center"/>
              <w:rPr>
                <w:rFonts w:hint="default"/>
                <w:color w:val="auto"/>
              </w:rPr>
            </w:pPr>
          </w:p>
        </w:tc>
        <w:tc>
          <w:tcPr>
            <w:tcW w:w="1135" w:type="dxa"/>
            <w:noWrap w:val="0"/>
            <w:vAlign w:val="center"/>
          </w:tcPr>
          <w:p w14:paraId="14130A39">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66" w:type="dxa"/>
            <w:noWrap w:val="0"/>
            <w:vAlign w:val="center"/>
          </w:tcPr>
          <w:p w14:paraId="4AE42141">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67" w:type="dxa"/>
            <w:noWrap w:val="0"/>
            <w:vAlign w:val="center"/>
          </w:tcPr>
          <w:p w14:paraId="5E5D915B">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70" w:type="dxa"/>
            <w:noWrap w:val="0"/>
            <w:vAlign w:val="center"/>
          </w:tcPr>
          <w:p w14:paraId="17B176CD">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1091" w:type="dxa"/>
            <w:noWrap w:val="0"/>
            <w:vAlign w:val="center"/>
          </w:tcPr>
          <w:p w14:paraId="372D597D">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09" w:type="dxa"/>
            <w:noWrap w:val="0"/>
            <w:vAlign w:val="center"/>
          </w:tcPr>
          <w:p w14:paraId="0E0A5937">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r>
      <w:tr w14:paraId="0296B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4BA2F872">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rPr>
            </w:pPr>
            <w:r>
              <w:rPr>
                <w:rFonts w:hint="default" w:ascii="Times New Roman" w:hAnsi="Times New Roman" w:eastAsia="宋体" w:cs="Times New Roman"/>
                <w:color w:val="auto"/>
                <w:kern w:val="2"/>
                <w:sz w:val="21"/>
                <w:szCs w:val="21"/>
                <w:lang w:val="en-US" w:eastAsia="zh-CN" w:bidi="ar"/>
              </w:rPr>
              <w:t>8</w:t>
            </w:r>
          </w:p>
        </w:tc>
        <w:tc>
          <w:tcPr>
            <w:tcW w:w="1229" w:type="dxa"/>
            <w:noWrap w:val="0"/>
            <w:vAlign w:val="center"/>
          </w:tcPr>
          <w:p w14:paraId="7B9ED6A4">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796" w:type="dxa"/>
            <w:noWrap w:val="0"/>
            <w:vAlign w:val="center"/>
          </w:tcPr>
          <w:p w14:paraId="4F611522">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514" w:type="dxa"/>
            <w:noWrap w:val="0"/>
            <w:vAlign w:val="center"/>
          </w:tcPr>
          <w:p w14:paraId="38BF4664">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726" w:type="dxa"/>
            <w:noWrap w:val="0"/>
            <w:vAlign w:val="center"/>
          </w:tcPr>
          <w:p w14:paraId="4D7F9640">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726" w:type="dxa"/>
            <w:noWrap w:val="0"/>
            <w:vAlign w:val="center"/>
          </w:tcPr>
          <w:p w14:paraId="15FC9572">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933" w:type="dxa"/>
            <w:noWrap w:val="0"/>
            <w:vAlign w:val="center"/>
          </w:tcPr>
          <w:p w14:paraId="7B0B1D83">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1000" w:type="dxa"/>
            <w:noWrap w:val="0"/>
            <w:vAlign w:val="center"/>
          </w:tcPr>
          <w:p w14:paraId="53C8AA9F">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369" w:type="dxa"/>
            <w:noWrap w:val="0"/>
            <w:vAlign w:val="center"/>
          </w:tcPr>
          <w:p w14:paraId="6B10F647">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676" w:type="dxa"/>
            <w:noWrap w:val="0"/>
            <w:vAlign w:val="center"/>
          </w:tcPr>
          <w:p w14:paraId="5291C424">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590" w:type="dxa"/>
            <w:noWrap w:val="0"/>
            <w:vAlign w:val="center"/>
          </w:tcPr>
          <w:p w14:paraId="4E36475A">
            <w:pPr>
              <w:keepNext w:val="0"/>
              <w:keepLines w:val="0"/>
              <w:widowControl w:val="0"/>
              <w:suppressLineNumbers w:val="0"/>
              <w:spacing w:before="0" w:beforeAutospacing="0" w:after="0" w:afterAutospacing="0"/>
              <w:ind w:left="0" w:leftChars="0" w:right="0" w:rightChars="0"/>
              <w:jc w:val="center"/>
              <w:rPr>
                <w:rFonts w:hint="default"/>
                <w:color w:val="auto"/>
              </w:rPr>
            </w:pPr>
          </w:p>
        </w:tc>
        <w:tc>
          <w:tcPr>
            <w:tcW w:w="1135" w:type="dxa"/>
            <w:noWrap w:val="0"/>
            <w:vAlign w:val="center"/>
          </w:tcPr>
          <w:p w14:paraId="557C0D0B">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66" w:type="dxa"/>
            <w:noWrap w:val="0"/>
            <w:vAlign w:val="center"/>
          </w:tcPr>
          <w:p w14:paraId="07A3A00B">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67" w:type="dxa"/>
            <w:noWrap w:val="0"/>
            <w:vAlign w:val="center"/>
          </w:tcPr>
          <w:p w14:paraId="3B3F61AA">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70" w:type="dxa"/>
            <w:noWrap w:val="0"/>
            <w:vAlign w:val="center"/>
          </w:tcPr>
          <w:p w14:paraId="67CC9111">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1091" w:type="dxa"/>
            <w:noWrap w:val="0"/>
            <w:vAlign w:val="center"/>
          </w:tcPr>
          <w:p w14:paraId="498A023A">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09" w:type="dxa"/>
            <w:noWrap w:val="0"/>
            <w:vAlign w:val="center"/>
          </w:tcPr>
          <w:p w14:paraId="164C1142">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r>
      <w:tr w14:paraId="2A9EF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697CB013">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rPr>
            </w:pPr>
            <w:r>
              <w:rPr>
                <w:rFonts w:hint="default" w:ascii="Times New Roman" w:hAnsi="Times New Roman" w:eastAsia="宋体" w:cs="Times New Roman"/>
                <w:color w:val="auto"/>
                <w:kern w:val="2"/>
                <w:sz w:val="21"/>
                <w:szCs w:val="21"/>
                <w:lang w:val="en-US" w:eastAsia="zh-CN" w:bidi="ar"/>
              </w:rPr>
              <w:t>9</w:t>
            </w:r>
          </w:p>
        </w:tc>
        <w:tc>
          <w:tcPr>
            <w:tcW w:w="1229" w:type="dxa"/>
            <w:noWrap w:val="0"/>
            <w:vAlign w:val="center"/>
          </w:tcPr>
          <w:p w14:paraId="67358BE7">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796" w:type="dxa"/>
            <w:noWrap w:val="0"/>
            <w:vAlign w:val="center"/>
          </w:tcPr>
          <w:p w14:paraId="55A16A04">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514" w:type="dxa"/>
            <w:noWrap w:val="0"/>
            <w:vAlign w:val="center"/>
          </w:tcPr>
          <w:p w14:paraId="1646AD8B">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726" w:type="dxa"/>
            <w:noWrap w:val="0"/>
            <w:vAlign w:val="center"/>
          </w:tcPr>
          <w:p w14:paraId="5CD4A90A">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726" w:type="dxa"/>
            <w:noWrap w:val="0"/>
            <w:vAlign w:val="center"/>
          </w:tcPr>
          <w:p w14:paraId="37A5BD2D">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933" w:type="dxa"/>
            <w:noWrap w:val="0"/>
            <w:vAlign w:val="center"/>
          </w:tcPr>
          <w:p w14:paraId="5D7F2C2F">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1000" w:type="dxa"/>
            <w:noWrap w:val="0"/>
            <w:vAlign w:val="center"/>
          </w:tcPr>
          <w:p w14:paraId="1753DAC3">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369" w:type="dxa"/>
            <w:noWrap w:val="0"/>
            <w:vAlign w:val="center"/>
          </w:tcPr>
          <w:p w14:paraId="51D087BA">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676" w:type="dxa"/>
            <w:noWrap w:val="0"/>
            <w:vAlign w:val="center"/>
          </w:tcPr>
          <w:p w14:paraId="56C606AF">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590" w:type="dxa"/>
            <w:noWrap w:val="0"/>
            <w:vAlign w:val="center"/>
          </w:tcPr>
          <w:p w14:paraId="1EFCC069">
            <w:pPr>
              <w:keepNext w:val="0"/>
              <w:keepLines w:val="0"/>
              <w:widowControl w:val="0"/>
              <w:suppressLineNumbers w:val="0"/>
              <w:spacing w:before="0" w:beforeAutospacing="0" w:after="0" w:afterAutospacing="0"/>
              <w:ind w:left="0" w:leftChars="0" w:right="0" w:rightChars="0"/>
              <w:jc w:val="center"/>
              <w:rPr>
                <w:rFonts w:hint="default"/>
                <w:color w:val="auto"/>
              </w:rPr>
            </w:pPr>
          </w:p>
        </w:tc>
        <w:tc>
          <w:tcPr>
            <w:tcW w:w="1135" w:type="dxa"/>
            <w:noWrap w:val="0"/>
            <w:vAlign w:val="center"/>
          </w:tcPr>
          <w:p w14:paraId="395C6F41">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66" w:type="dxa"/>
            <w:noWrap w:val="0"/>
            <w:vAlign w:val="center"/>
          </w:tcPr>
          <w:p w14:paraId="26E4FF1E">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67" w:type="dxa"/>
            <w:noWrap w:val="0"/>
            <w:vAlign w:val="center"/>
          </w:tcPr>
          <w:p w14:paraId="588FD8EE">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70" w:type="dxa"/>
            <w:noWrap w:val="0"/>
            <w:vAlign w:val="center"/>
          </w:tcPr>
          <w:p w14:paraId="3440D755">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1091" w:type="dxa"/>
            <w:noWrap w:val="0"/>
            <w:vAlign w:val="center"/>
          </w:tcPr>
          <w:p w14:paraId="3463E860">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09" w:type="dxa"/>
            <w:noWrap w:val="0"/>
            <w:vAlign w:val="center"/>
          </w:tcPr>
          <w:p w14:paraId="6926870E">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r>
      <w:tr w14:paraId="5CFF0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6AB0A348">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rPr>
            </w:pPr>
            <w:r>
              <w:rPr>
                <w:rFonts w:hint="eastAsia" w:ascii="宋体" w:hAnsi="宋体" w:eastAsia="宋体" w:cs="宋体"/>
                <w:color w:val="auto"/>
                <w:kern w:val="2"/>
                <w:sz w:val="21"/>
                <w:szCs w:val="21"/>
                <w:lang w:val="en-US" w:eastAsia="zh-CN" w:bidi="ar"/>
              </w:rPr>
              <w:t>…</w:t>
            </w:r>
          </w:p>
        </w:tc>
        <w:tc>
          <w:tcPr>
            <w:tcW w:w="1229" w:type="dxa"/>
            <w:noWrap w:val="0"/>
            <w:vAlign w:val="center"/>
          </w:tcPr>
          <w:p w14:paraId="634BEDC9">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796" w:type="dxa"/>
            <w:noWrap w:val="0"/>
            <w:vAlign w:val="center"/>
          </w:tcPr>
          <w:p w14:paraId="76E6FA43">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514" w:type="dxa"/>
            <w:noWrap w:val="0"/>
            <w:vAlign w:val="center"/>
          </w:tcPr>
          <w:p w14:paraId="516DD675">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726" w:type="dxa"/>
            <w:noWrap w:val="0"/>
            <w:vAlign w:val="center"/>
          </w:tcPr>
          <w:p w14:paraId="567D9A17">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726" w:type="dxa"/>
            <w:noWrap w:val="0"/>
            <w:vAlign w:val="center"/>
          </w:tcPr>
          <w:p w14:paraId="28BAB4E7">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933" w:type="dxa"/>
            <w:noWrap w:val="0"/>
            <w:vAlign w:val="center"/>
          </w:tcPr>
          <w:p w14:paraId="2FB3B986">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1000" w:type="dxa"/>
            <w:noWrap w:val="0"/>
            <w:vAlign w:val="center"/>
          </w:tcPr>
          <w:p w14:paraId="4D0FE6CC">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369" w:type="dxa"/>
            <w:noWrap w:val="0"/>
            <w:vAlign w:val="center"/>
          </w:tcPr>
          <w:p w14:paraId="76FF8B84">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676" w:type="dxa"/>
            <w:noWrap w:val="0"/>
            <w:vAlign w:val="center"/>
          </w:tcPr>
          <w:p w14:paraId="70E194CD">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590" w:type="dxa"/>
            <w:noWrap w:val="0"/>
            <w:vAlign w:val="center"/>
          </w:tcPr>
          <w:p w14:paraId="617605F5">
            <w:pPr>
              <w:keepNext w:val="0"/>
              <w:keepLines w:val="0"/>
              <w:widowControl w:val="0"/>
              <w:suppressLineNumbers w:val="0"/>
              <w:spacing w:before="0" w:beforeAutospacing="0" w:after="0" w:afterAutospacing="0"/>
              <w:ind w:left="0" w:leftChars="0" w:right="0" w:rightChars="0"/>
              <w:jc w:val="center"/>
              <w:rPr>
                <w:rFonts w:hint="default"/>
                <w:color w:val="auto"/>
              </w:rPr>
            </w:pPr>
          </w:p>
        </w:tc>
        <w:tc>
          <w:tcPr>
            <w:tcW w:w="1135" w:type="dxa"/>
            <w:noWrap w:val="0"/>
            <w:vAlign w:val="center"/>
          </w:tcPr>
          <w:p w14:paraId="1AA4A76F">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66" w:type="dxa"/>
            <w:noWrap w:val="0"/>
            <w:vAlign w:val="center"/>
          </w:tcPr>
          <w:p w14:paraId="16035E9F">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67" w:type="dxa"/>
            <w:noWrap w:val="0"/>
            <w:vAlign w:val="center"/>
          </w:tcPr>
          <w:p w14:paraId="0F91D03E">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70" w:type="dxa"/>
            <w:noWrap w:val="0"/>
            <w:vAlign w:val="center"/>
          </w:tcPr>
          <w:p w14:paraId="0B15B454">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1091" w:type="dxa"/>
            <w:noWrap w:val="0"/>
            <w:vAlign w:val="center"/>
          </w:tcPr>
          <w:p w14:paraId="6BFEE8C1">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09" w:type="dxa"/>
            <w:noWrap w:val="0"/>
            <w:vAlign w:val="center"/>
          </w:tcPr>
          <w:p w14:paraId="58CACA31">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r>
    </w:tbl>
    <w:p w14:paraId="2F7E25F9">
      <w:pPr>
        <w:spacing w:line="400" w:lineRule="atLeast"/>
        <w:ind w:left="630" w:hanging="630" w:hangingChars="300"/>
        <w:rPr>
          <w:rFonts w:ascii="宋体" w:hAnsi="宋体"/>
          <w:color w:val="auto"/>
          <w:szCs w:val="21"/>
        </w:rPr>
      </w:pPr>
      <w:r>
        <w:rPr>
          <w:rFonts w:hint="eastAsia"/>
          <w:color w:val="auto"/>
        </w:rPr>
        <w:t>备注</w:t>
      </w:r>
      <w:r>
        <w:rPr>
          <w:color w:val="auto"/>
        </w:rPr>
        <w:t>：</w:t>
      </w:r>
      <w:r>
        <w:rPr>
          <w:rFonts w:hint="eastAsia" w:ascii="宋体" w:hAnsi="宋体"/>
          <w:color w:val="auto"/>
          <w:szCs w:val="21"/>
        </w:rPr>
        <w:t>1.执业、职业单位</w:t>
      </w:r>
      <w:r>
        <w:rPr>
          <w:rFonts w:hint="eastAsia" w:ascii="宋体" w:hAnsi="宋体" w:cs="宋体"/>
          <w:color w:val="auto"/>
          <w:szCs w:val="21"/>
          <w:lang w:bidi="ar"/>
        </w:rPr>
        <w:t>是指</w:t>
      </w:r>
      <w:r>
        <w:rPr>
          <w:rFonts w:hint="eastAsia" w:ascii="宋体" w:hAnsi="宋体"/>
          <w:color w:val="auto"/>
          <w:szCs w:val="21"/>
        </w:rPr>
        <w:t>拟投入的项目管理机构人员目前是否在投标人处注册执业或岗位登记</w:t>
      </w:r>
      <w:r>
        <w:rPr>
          <w:rFonts w:ascii="宋体" w:hAnsi="宋体"/>
          <w:color w:val="auto"/>
          <w:szCs w:val="21"/>
        </w:rPr>
        <w:t>。</w:t>
      </w:r>
    </w:p>
    <w:p w14:paraId="47D2BEBE">
      <w:pPr>
        <w:spacing w:line="420" w:lineRule="exact"/>
        <w:ind w:left="945" w:leftChars="300" w:hanging="315" w:hangingChars="150"/>
        <w:rPr>
          <w:rFonts w:ascii="宋体" w:hAnsi="宋体"/>
          <w:color w:val="auto"/>
          <w:szCs w:val="21"/>
        </w:rPr>
      </w:pPr>
      <w:r>
        <w:rPr>
          <w:rFonts w:ascii="宋体" w:hAnsi="宋体"/>
          <w:color w:val="auto"/>
          <w:szCs w:val="21"/>
        </w:rPr>
        <w:t>2</w:t>
      </w:r>
      <w:r>
        <w:rPr>
          <w:rFonts w:hint="eastAsia" w:ascii="宋体" w:hAnsi="宋体"/>
          <w:color w:val="auto"/>
          <w:szCs w:val="21"/>
        </w:rPr>
        <w:t>.附项目管理机构主要人员</w:t>
      </w:r>
      <w:r>
        <w:rPr>
          <w:rFonts w:ascii="宋体" w:hAnsi="宋体"/>
          <w:color w:val="auto"/>
          <w:szCs w:val="21"/>
        </w:rPr>
        <w:t>社会保险证明</w:t>
      </w:r>
      <w:r>
        <w:rPr>
          <w:rFonts w:hint="eastAsia" w:ascii="宋体" w:hAnsi="宋体"/>
          <w:color w:val="auto"/>
          <w:szCs w:val="21"/>
        </w:rPr>
        <w:t>。</w:t>
      </w:r>
      <w:r>
        <w:rPr>
          <w:rFonts w:ascii="宋体" w:hAnsi="宋体"/>
          <w:color w:val="auto"/>
          <w:szCs w:val="21"/>
        </w:rPr>
        <w:t>社会保险证明中缴费单位应与</w:t>
      </w:r>
      <w:r>
        <w:rPr>
          <w:rFonts w:hint="eastAsia" w:ascii="宋体" w:hAnsi="宋体"/>
          <w:color w:val="auto"/>
          <w:szCs w:val="21"/>
        </w:rPr>
        <w:t>投标</w:t>
      </w:r>
      <w:r>
        <w:rPr>
          <w:rFonts w:ascii="宋体" w:hAnsi="宋体"/>
          <w:color w:val="auto"/>
          <w:szCs w:val="21"/>
        </w:rPr>
        <w:t>单位</w:t>
      </w:r>
      <w:r>
        <w:rPr>
          <w:rFonts w:hint="eastAsia" w:ascii="宋体" w:hAnsi="宋体"/>
          <w:color w:val="auto"/>
          <w:szCs w:val="21"/>
          <w:lang w:eastAsia="zh-CN"/>
        </w:rPr>
        <w:t>（</w:t>
      </w:r>
      <w:r>
        <w:rPr>
          <w:rFonts w:hint="eastAsia" w:ascii="宋体" w:hAnsi="宋体"/>
          <w:color w:val="auto"/>
          <w:szCs w:val="21"/>
          <w:lang w:val="en-US" w:eastAsia="zh-CN"/>
        </w:rPr>
        <w:t>或其分公司</w:t>
      </w:r>
      <w:r>
        <w:rPr>
          <w:rFonts w:hint="eastAsia" w:ascii="宋体" w:hAnsi="宋体"/>
          <w:color w:val="auto"/>
          <w:szCs w:val="21"/>
          <w:lang w:eastAsia="zh-CN"/>
        </w:rPr>
        <w:t>）</w:t>
      </w:r>
      <w:r>
        <w:rPr>
          <w:rFonts w:ascii="宋体" w:hAnsi="宋体"/>
          <w:color w:val="auto"/>
          <w:szCs w:val="21"/>
        </w:rPr>
        <w:t>一致</w:t>
      </w:r>
      <w:r>
        <w:rPr>
          <w:rFonts w:hint="eastAsia" w:ascii="宋体" w:hAnsi="宋体"/>
          <w:color w:val="auto"/>
          <w:szCs w:val="21"/>
        </w:rPr>
        <w:t>。</w:t>
      </w:r>
    </w:p>
    <w:p w14:paraId="7BD3A16C">
      <w:pPr>
        <w:rPr>
          <w:color w:val="auto"/>
        </w:rPr>
        <w:sectPr>
          <w:footerReference r:id="rId38" w:type="default"/>
          <w:pgSz w:w="16838" w:h="11906" w:orient="landscape"/>
          <w:pgMar w:top="1800" w:right="1440" w:bottom="1800" w:left="1440" w:header="851" w:footer="992" w:gutter="0"/>
          <w:pgNumType w:fmt="decimal"/>
          <w:cols w:space="425" w:num="1"/>
          <w:docGrid w:type="lines" w:linePitch="312" w:charSpace="0"/>
        </w:sectPr>
      </w:pPr>
    </w:p>
    <w:p w14:paraId="67722E0E">
      <w:pPr>
        <w:pStyle w:val="27"/>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ascii="宋体" w:hAnsi="宋体"/>
          <w:color w:val="auto"/>
          <w:szCs w:val="21"/>
        </w:rPr>
      </w:pPr>
      <w:bookmarkStart w:id="2012" w:name="_Toc28108"/>
      <w:bookmarkStart w:id="2013" w:name="_Toc122603081"/>
      <w:r>
        <w:rPr>
          <w:rFonts w:hint="eastAsia"/>
          <w:color w:val="auto"/>
          <w:sz w:val="28"/>
          <w:szCs w:val="28"/>
          <w:lang w:eastAsia="zh-CN"/>
        </w:rPr>
        <w:t>（</w:t>
      </w:r>
      <w:r>
        <w:rPr>
          <w:rFonts w:hint="default"/>
          <w:color w:val="auto"/>
          <w:sz w:val="28"/>
          <w:szCs w:val="28"/>
        </w:rPr>
        <w:t>二</w:t>
      </w:r>
      <w:r>
        <w:rPr>
          <w:rFonts w:hint="eastAsia"/>
          <w:color w:val="auto"/>
          <w:sz w:val="28"/>
          <w:szCs w:val="28"/>
          <w:lang w:eastAsia="zh-CN"/>
        </w:rPr>
        <w:t>）</w:t>
      </w:r>
      <w:r>
        <w:rPr>
          <w:rFonts w:hint="eastAsia"/>
          <w:color w:val="auto"/>
          <w:sz w:val="28"/>
          <w:szCs w:val="28"/>
        </w:rPr>
        <w:t>项目经理简历表</w:t>
      </w:r>
      <w:bookmarkEnd w:id="2012"/>
      <w:bookmarkEnd w:id="2013"/>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3"/>
        <w:gridCol w:w="901"/>
        <w:gridCol w:w="1089"/>
        <w:gridCol w:w="1221"/>
        <w:gridCol w:w="2018"/>
        <w:gridCol w:w="2052"/>
      </w:tblGrid>
      <w:tr w14:paraId="19576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vAlign w:val="center"/>
          </w:tcPr>
          <w:p w14:paraId="053959CE">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姓  名</w:t>
            </w:r>
          </w:p>
        </w:tc>
        <w:tc>
          <w:tcPr>
            <w:tcW w:w="902" w:type="dxa"/>
            <w:vAlign w:val="center"/>
          </w:tcPr>
          <w:p w14:paraId="7961CA3B">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1090" w:type="dxa"/>
            <w:vAlign w:val="center"/>
          </w:tcPr>
          <w:p w14:paraId="3B14A1CF">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年  龄</w:t>
            </w:r>
          </w:p>
        </w:tc>
        <w:tc>
          <w:tcPr>
            <w:tcW w:w="1222" w:type="dxa"/>
            <w:vAlign w:val="center"/>
          </w:tcPr>
          <w:p w14:paraId="0787D52E">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2019" w:type="dxa"/>
            <w:vAlign w:val="center"/>
          </w:tcPr>
          <w:p w14:paraId="551B503C">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学历</w:t>
            </w:r>
          </w:p>
        </w:tc>
        <w:tc>
          <w:tcPr>
            <w:tcW w:w="2053" w:type="dxa"/>
            <w:vAlign w:val="center"/>
          </w:tcPr>
          <w:p w14:paraId="47A7C4E9">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7A34C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vAlign w:val="center"/>
          </w:tcPr>
          <w:p w14:paraId="27B65BF3">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职  称</w:t>
            </w:r>
          </w:p>
        </w:tc>
        <w:tc>
          <w:tcPr>
            <w:tcW w:w="902" w:type="dxa"/>
            <w:vAlign w:val="center"/>
          </w:tcPr>
          <w:p w14:paraId="338F8D9B">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1090" w:type="dxa"/>
            <w:vAlign w:val="center"/>
          </w:tcPr>
          <w:p w14:paraId="0289DF71">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职  务</w:t>
            </w:r>
          </w:p>
        </w:tc>
        <w:tc>
          <w:tcPr>
            <w:tcW w:w="1222" w:type="dxa"/>
            <w:vAlign w:val="center"/>
          </w:tcPr>
          <w:p w14:paraId="25E4E4BF">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2019" w:type="dxa"/>
            <w:vAlign w:val="center"/>
          </w:tcPr>
          <w:p w14:paraId="2F876A9E">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拟在本工程任职</w:t>
            </w:r>
          </w:p>
        </w:tc>
        <w:tc>
          <w:tcPr>
            <w:tcW w:w="2053" w:type="dxa"/>
            <w:vAlign w:val="center"/>
          </w:tcPr>
          <w:p w14:paraId="6DAAAA3F">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项目经理</w:t>
            </w:r>
          </w:p>
        </w:tc>
      </w:tr>
      <w:tr w14:paraId="2EA6F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26" w:type="dxa"/>
            <w:gridSpan w:val="3"/>
            <w:vAlign w:val="center"/>
          </w:tcPr>
          <w:p w14:paraId="5438E686">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注册建造师执业资格等级</w:t>
            </w:r>
          </w:p>
        </w:tc>
        <w:tc>
          <w:tcPr>
            <w:tcW w:w="1222" w:type="dxa"/>
            <w:vAlign w:val="center"/>
          </w:tcPr>
          <w:p w14:paraId="1CCF294F">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 xml:space="preserve">      级</w:t>
            </w:r>
          </w:p>
        </w:tc>
        <w:tc>
          <w:tcPr>
            <w:tcW w:w="2019" w:type="dxa"/>
            <w:vAlign w:val="center"/>
          </w:tcPr>
          <w:p w14:paraId="4D62201D">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建造师专业</w:t>
            </w:r>
          </w:p>
        </w:tc>
        <w:tc>
          <w:tcPr>
            <w:tcW w:w="2053" w:type="dxa"/>
            <w:vAlign w:val="center"/>
          </w:tcPr>
          <w:p w14:paraId="4FD8FA83">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333F9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26" w:type="dxa"/>
            <w:gridSpan w:val="3"/>
            <w:vAlign w:val="center"/>
          </w:tcPr>
          <w:p w14:paraId="2F31C2AF">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安全生产考核合格证书</w:t>
            </w:r>
          </w:p>
        </w:tc>
        <w:tc>
          <w:tcPr>
            <w:tcW w:w="5294" w:type="dxa"/>
            <w:gridSpan w:val="3"/>
            <w:vAlign w:val="center"/>
          </w:tcPr>
          <w:p w14:paraId="56586332">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099EC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vAlign w:val="center"/>
          </w:tcPr>
          <w:p w14:paraId="7515193E">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毕业学校</w:t>
            </w:r>
          </w:p>
        </w:tc>
        <w:tc>
          <w:tcPr>
            <w:tcW w:w="7286" w:type="dxa"/>
            <w:gridSpan w:val="5"/>
            <w:vAlign w:val="center"/>
          </w:tcPr>
          <w:p w14:paraId="19A1713F">
            <w:pPr>
              <w:keepNext w:val="0"/>
              <w:keepLines w:val="0"/>
              <w:suppressLineNumbers w:val="0"/>
              <w:spacing w:before="0" w:beforeAutospacing="0" w:after="0" w:afterAutospacing="0"/>
              <w:ind w:left="0" w:right="0" w:firstLine="840" w:firstLineChars="400"/>
              <w:rPr>
                <w:rFonts w:hint="default" w:ascii="宋体" w:hAnsi="宋体"/>
                <w:color w:val="auto"/>
                <w:szCs w:val="21"/>
              </w:rPr>
            </w:pPr>
            <w:r>
              <w:rPr>
                <w:rFonts w:hint="eastAsia" w:ascii="宋体" w:hAnsi="宋体"/>
                <w:color w:val="auto"/>
                <w:szCs w:val="21"/>
              </w:rPr>
              <w:t>年毕业于                  学校            专业</w:t>
            </w:r>
          </w:p>
        </w:tc>
      </w:tr>
      <w:tr w14:paraId="47782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20" w:type="dxa"/>
            <w:gridSpan w:val="6"/>
            <w:vAlign w:val="center"/>
          </w:tcPr>
          <w:p w14:paraId="0873E0EC">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主要工作经历</w:t>
            </w:r>
          </w:p>
        </w:tc>
      </w:tr>
      <w:tr w14:paraId="0EB78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vAlign w:val="center"/>
          </w:tcPr>
          <w:p w14:paraId="0E511D7C">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时  间</w:t>
            </w:r>
          </w:p>
        </w:tc>
        <w:tc>
          <w:tcPr>
            <w:tcW w:w="3214" w:type="dxa"/>
            <w:gridSpan w:val="3"/>
            <w:vAlign w:val="center"/>
          </w:tcPr>
          <w:p w14:paraId="14CE9416">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参加过的类似项目名称</w:t>
            </w:r>
          </w:p>
        </w:tc>
        <w:tc>
          <w:tcPr>
            <w:tcW w:w="2019" w:type="dxa"/>
            <w:vAlign w:val="center"/>
          </w:tcPr>
          <w:p w14:paraId="23A42183">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工程概况说明</w:t>
            </w:r>
          </w:p>
        </w:tc>
        <w:tc>
          <w:tcPr>
            <w:tcW w:w="2053" w:type="dxa"/>
            <w:vAlign w:val="center"/>
          </w:tcPr>
          <w:p w14:paraId="0BB50919">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发包人及联系电话</w:t>
            </w:r>
          </w:p>
        </w:tc>
      </w:tr>
      <w:tr w14:paraId="0F453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4743DA2F">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3214" w:type="dxa"/>
            <w:gridSpan w:val="3"/>
            <w:vAlign w:val="center"/>
          </w:tcPr>
          <w:p w14:paraId="1631EC3C">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2019" w:type="dxa"/>
            <w:vAlign w:val="center"/>
          </w:tcPr>
          <w:p w14:paraId="16DB21B7">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2053" w:type="dxa"/>
            <w:vAlign w:val="center"/>
          </w:tcPr>
          <w:p w14:paraId="03F51793">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65D2F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22FA72E0">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3214" w:type="dxa"/>
            <w:gridSpan w:val="3"/>
            <w:vAlign w:val="center"/>
          </w:tcPr>
          <w:p w14:paraId="114AA75C">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2019" w:type="dxa"/>
            <w:vAlign w:val="center"/>
          </w:tcPr>
          <w:p w14:paraId="15376ABE">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2053" w:type="dxa"/>
            <w:vAlign w:val="center"/>
          </w:tcPr>
          <w:p w14:paraId="1CC51EBE">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7BF9A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38635CFC">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3214" w:type="dxa"/>
            <w:gridSpan w:val="3"/>
            <w:vAlign w:val="center"/>
          </w:tcPr>
          <w:p w14:paraId="4AE0EDD4">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2019" w:type="dxa"/>
            <w:vAlign w:val="center"/>
          </w:tcPr>
          <w:p w14:paraId="0D8A8C87">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2053" w:type="dxa"/>
            <w:vAlign w:val="center"/>
          </w:tcPr>
          <w:p w14:paraId="4F2FF049">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3686C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1DF37095">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3214" w:type="dxa"/>
            <w:gridSpan w:val="3"/>
            <w:vAlign w:val="center"/>
          </w:tcPr>
          <w:p w14:paraId="3EE26791">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2019" w:type="dxa"/>
            <w:vAlign w:val="center"/>
          </w:tcPr>
          <w:p w14:paraId="140B8261">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2053" w:type="dxa"/>
            <w:vAlign w:val="center"/>
          </w:tcPr>
          <w:p w14:paraId="2F925956">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5F911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408DE371">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3214" w:type="dxa"/>
            <w:gridSpan w:val="3"/>
            <w:vAlign w:val="center"/>
          </w:tcPr>
          <w:p w14:paraId="18CD6822">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2019" w:type="dxa"/>
            <w:vAlign w:val="center"/>
          </w:tcPr>
          <w:p w14:paraId="73F84176">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2053" w:type="dxa"/>
            <w:vAlign w:val="center"/>
          </w:tcPr>
          <w:p w14:paraId="37BBD112">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72289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12DEBBCE">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3214" w:type="dxa"/>
            <w:gridSpan w:val="3"/>
            <w:vAlign w:val="center"/>
          </w:tcPr>
          <w:p w14:paraId="55284C96">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2019" w:type="dxa"/>
            <w:vAlign w:val="center"/>
          </w:tcPr>
          <w:p w14:paraId="791E4DDA">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2053" w:type="dxa"/>
            <w:vAlign w:val="center"/>
          </w:tcPr>
          <w:p w14:paraId="37D5280D">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75D90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6C06643C">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3214" w:type="dxa"/>
            <w:gridSpan w:val="3"/>
            <w:vAlign w:val="center"/>
          </w:tcPr>
          <w:p w14:paraId="777C3EF0">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2019" w:type="dxa"/>
            <w:vAlign w:val="center"/>
          </w:tcPr>
          <w:p w14:paraId="283E301D">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2053" w:type="dxa"/>
            <w:vAlign w:val="center"/>
          </w:tcPr>
          <w:p w14:paraId="64F1D6AF">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5DE8A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60674087">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3214" w:type="dxa"/>
            <w:gridSpan w:val="3"/>
            <w:vAlign w:val="center"/>
          </w:tcPr>
          <w:p w14:paraId="1DE07748">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2019" w:type="dxa"/>
            <w:vAlign w:val="center"/>
          </w:tcPr>
          <w:p w14:paraId="79891F5B">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2053" w:type="dxa"/>
            <w:vAlign w:val="center"/>
          </w:tcPr>
          <w:p w14:paraId="01A8D714">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607C3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5A3A8474">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3214" w:type="dxa"/>
            <w:gridSpan w:val="3"/>
            <w:vAlign w:val="center"/>
          </w:tcPr>
          <w:p w14:paraId="205E1DF0">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2019" w:type="dxa"/>
            <w:vAlign w:val="center"/>
          </w:tcPr>
          <w:p w14:paraId="734DDDAF">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2053" w:type="dxa"/>
            <w:vAlign w:val="center"/>
          </w:tcPr>
          <w:p w14:paraId="412D6DBC">
            <w:pPr>
              <w:keepNext w:val="0"/>
              <w:keepLines w:val="0"/>
              <w:suppressLineNumbers w:val="0"/>
              <w:spacing w:before="0" w:beforeAutospacing="0" w:after="0" w:afterAutospacing="0"/>
              <w:ind w:left="0" w:right="0"/>
              <w:jc w:val="center"/>
              <w:rPr>
                <w:rFonts w:hint="default" w:ascii="宋体" w:hAnsi="宋体"/>
                <w:color w:val="auto"/>
                <w:szCs w:val="21"/>
              </w:rPr>
            </w:pPr>
          </w:p>
        </w:tc>
      </w:tr>
    </w:tbl>
    <w:p w14:paraId="7900664C">
      <w:pPr>
        <w:autoSpaceDE w:val="0"/>
        <w:autoSpaceDN w:val="0"/>
        <w:adjustRightInd w:val="0"/>
        <w:snapToGrid w:val="0"/>
        <w:spacing w:line="325" w:lineRule="exact"/>
        <w:ind w:left="945" w:hanging="945" w:hangingChars="450"/>
        <w:rPr>
          <w:rFonts w:ascii="宋体" w:hAnsi="宋体"/>
          <w:color w:val="auto"/>
        </w:rPr>
      </w:pPr>
      <w:r>
        <w:rPr>
          <w:rFonts w:hint="eastAsia" w:ascii="宋体" w:hAnsi="宋体"/>
          <w:color w:val="auto"/>
        </w:rPr>
        <w:t>备注：1</w:t>
      </w:r>
      <w:r>
        <w:rPr>
          <w:rFonts w:ascii="宋体" w:hAnsi="宋体"/>
          <w:color w:val="auto"/>
        </w:rPr>
        <w:t>.</w:t>
      </w:r>
      <w:r>
        <w:rPr>
          <w:rFonts w:hint="eastAsia" w:ascii="宋体" w:hAnsi="宋体"/>
          <w:color w:val="auto"/>
        </w:rPr>
        <w:t>项目经理应附建造师注册证书、安全生产考核合格证书</w:t>
      </w:r>
      <w:r>
        <w:rPr>
          <w:color w:val="auto"/>
        </w:rPr>
        <w:t>（</w:t>
      </w:r>
      <w:r>
        <w:rPr>
          <w:rFonts w:hint="eastAsia"/>
          <w:color w:val="auto"/>
        </w:rPr>
        <w:t>B证</w:t>
      </w:r>
      <w:r>
        <w:rPr>
          <w:color w:val="auto"/>
        </w:rPr>
        <w:t>）</w:t>
      </w:r>
      <w:r>
        <w:rPr>
          <w:rFonts w:hint="eastAsia" w:ascii="宋体" w:hAnsi="宋体"/>
          <w:color w:val="auto"/>
        </w:rPr>
        <w:t>、职称证书、学历证书</w:t>
      </w:r>
      <w:r>
        <w:rPr>
          <w:rFonts w:hint="eastAsia" w:ascii="宋体" w:hAnsi="宋体"/>
          <w:color w:val="auto"/>
          <w:szCs w:val="21"/>
        </w:rPr>
        <w:t>等材料</w:t>
      </w:r>
      <w:r>
        <w:rPr>
          <w:rFonts w:hint="eastAsia" w:ascii="宋体" w:hAnsi="宋体"/>
          <w:color w:val="auto"/>
        </w:rPr>
        <w:t>。</w:t>
      </w:r>
    </w:p>
    <w:p w14:paraId="09C98EAB">
      <w:pPr>
        <w:keepNext w:val="0"/>
        <w:keepLines w:val="0"/>
        <w:widowControl w:val="0"/>
        <w:suppressLineNumbers w:val="0"/>
        <w:autoSpaceDE w:val="0"/>
        <w:autoSpaceDN w:val="0"/>
        <w:adjustRightInd w:val="0"/>
        <w:snapToGrid w:val="0"/>
        <w:spacing w:before="0" w:beforeAutospacing="0" w:after="0" w:afterAutospacing="0" w:line="325" w:lineRule="exact"/>
        <w:ind w:left="945" w:leftChars="300" w:right="0" w:hanging="315" w:hangingChars="150"/>
        <w:jc w:val="both"/>
        <w:rPr>
          <w:rFonts w:hint="eastAsia" w:ascii="宋体" w:hAnsi="宋体"/>
          <w:color w:val="auto"/>
          <w:szCs w:val="21"/>
        </w:rPr>
      </w:pPr>
      <w:r>
        <w:rPr>
          <w:rFonts w:hint="eastAsia" w:ascii="宋体" w:hAnsi="宋体"/>
          <w:color w:val="auto"/>
        </w:rPr>
        <w:t>2</w:t>
      </w:r>
      <w:r>
        <w:rPr>
          <w:rFonts w:ascii="宋体" w:hAnsi="宋体"/>
          <w:color w:val="auto"/>
        </w:rPr>
        <w:t>.</w:t>
      </w:r>
      <w:r>
        <w:rPr>
          <w:rFonts w:hint="eastAsia" w:ascii="宋体" w:hAnsi="宋体"/>
          <w:color w:val="auto"/>
        </w:rPr>
        <w:t>类似项目限于以项目经理身份参与的项目。须附业绩证明材料</w:t>
      </w:r>
      <w:r>
        <w:rPr>
          <w:rFonts w:hint="eastAsia" w:ascii="宋体" w:hAnsi="宋体"/>
          <w:color w:val="auto"/>
          <w:szCs w:val="21"/>
        </w:rPr>
        <w:t>。</w:t>
      </w:r>
    </w:p>
    <w:p w14:paraId="5E992B92">
      <w:pPr>
        <w:rPr>
          <w:color w:val="auto"/>
        </w:rPr>
        <w:sectPr>
          <w:footerReference r:id="rId39" w:type="default"/>
          <w:pgSz w:w="11906" w:h="16838"/>
          <w:pgMar w:top="1440" w:right="1800" w:bottom="1440" w:left="1800" w:header="851" w:footer="992" w:gutter="0"/>
          <w:pgNumType w:fmt="decimal"/>
          <w:cols w:space="425" w:num="1"/>
          <w:docGrid w:type="lines" w:linePitch="312" w:charSpace="0"/>
        </w:sectPr>
      </w:pPr>
    </w:p>
    <w:p w14:paraId="6B6A078F">
      <w:pPr>
        <w:pStyle w:val="27"/>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ascii="宋体" w:hAnsi="宋体"/>
          <w:color w:val="auto"/>
          <w:u w:val="single"/>
        </w:rPr>
      </w:pPr>
      <w:bookmarkStart w:id="2014" w:name="_Toc11096"/>
      <w:bookmarkStart w:id="2015" w:name="_Toc122603082"/>
      <w:r>
        <w:rPr>
          <w:rFonts w:hint="eastAsia"/>
          <w:color w:val="auto"/>
          <w:sz w:val="28"/>
          <w:szCs w:val="28"/>
          <w:lang w:eastAsia="zh-CN"/>
        </w:rPr>
        <w:t>（</w:t>
      </w:r>
      <w:r>
        <w:rPr>
          <w:rFonts w:hint="default"/>
          <w:color w:val="auto"/>
          <w:sz w:val="28"/>
          <w:szCs w:val="28"/>
        </w:rPr>
        <w:t>三</w:t>
      </w:r>
      <w:r>
        <w:rPr>
          <w:rFonts w:hint="eastAsia"/>
          <w:color w:val="auto"/>
          <w:sz w:val="28"/>
          <w:szCs w:val="28"/>
          <w:lang w:eastAsia="zh-CN"/>
        </w:rPr>
        <w:t>）</w:t>
      </w:r>
      <w:r>
        <w:rPr>
          <w:rFonts w:hint="eastAsia"/>
          <w:color w:val="auto"/>
          <w:sz w:val="28"/>
          <w:szCs w:val="28"/>
        </w:rPr>
        <w:t>承诺书</w:t>
      </w:r>
      <w:bookmarkEnd w:id="2014"/>
      <w:bookmarkEnd w:id="2015"/>
    </w:p>
    <w:p w14:paraId="7C2E9011">
      <w:pPr>
        <w:rPr>
          <w:rFonts w:ascii="宋体" w:hAnsi="宋体"/>
          <w:color w:val="auto"/>
        </w:rPr>
      </w:pPr>
      <w:r>
        <w:rPr>
          <w:rFonts w:hint="eastAsia" w:ascii="宋体" w:hAnsi="宋体"/>
          <w:color w:val="auto"/>
          <w:u w:val="single"/>
        </w:rPr>
        <w:t xml:space="preserve">                     </w:t>
      </w:r>
      <w:r>
        <w:rPr>
          <w:rFonts w:hint="eastAsia" w:ascii="宋体" w:hAnsi="宋体"/>
          <w:color w:val="auto"/>
        </w:rPr>
        <w:t>（招标人名称）：</w:t>
      </w:r>
    </w:p>
    <w:p w14:paraId="48E7E9D0">
      <w:pPr>
        <w:spacing w:line="440" w:lineRule="exact"/>
        <w:ind w:firstLine="420" w:firstLineChars="200"/>
        <w:rPr>
          <w:color w:val="auto"/>
          <w:szCs w:val="21"/>
        </w:rPr>
      </w:pPr>
      <w:r>
        <w:rPr>
          <w:rFonts w:hint="eastAsia" w:ascii="宋体" w:hAnsi="宋体"/>
          <w:color w:val="auto"/>
          <w:szCs w:val="21"/>
        </w:rPr>
        <w:t>我方在此声明，我方拟派往</w:t>
      </w:r>
      <w:r>
        <w:rPr>
          <w:rFonts w:hint="eastAsia" w:ascii="宋体" w:hAnsi="宋体"/>
          <w:color w:val="auto"/>
          <w:szCs w:val="21"/>
          <w:u w:val="single"/>
        </w:rPr>
        <w:t xml:space="preserve">                  </w:t>
      </w:r>
      <w:r>
        <w:rPr>
          <w:rFonts w:hint="eastAsia"/>
          <w:color w:val="auto"/>
        </w:rPr>
        <w:t>（标段名称）</w:t>
      </w:r>
      <w:r>
        <w:rPr>
          <w:rFonts w:hint="eastAsia" w:ascii="宋体" w:hAnsi="宋体"/>
          <w:color w:val="auto"/>
          <w:szCs w:val="21"/>
        </w:rPr>
        <w:t>（以下简称“本工程”）的项目经理</w:t>
      </w:r>
      <w:r>
        <w:rPr>
          <w:rFonts w:hint="eastAsia" w:ascii="宋体" w:hAnsi="宋体"/>
          <w:color w:val="auto"/>
          <w:szCs w:val="21"/>
          <w:u w:val="single"/>
        </w:rPr>
        <w:t xml:space="preserve">            </w:t>
      </w:r>
      <w:r>
        <w:rPr>
          <w:rFonts w:hint="eastAsia" w:ascii="宋体" w:hAnsi="宋体"/>
          <w:color w:val="auto"/>
          <w:szCs w:val="21"/>
        </w:rPr>
        <w:t xml:space="preserve"> （项目经理姓名）现阶段（投标截止时间之前）没有担任其他在施建设工程项目的项目经理。</w:t>
      </w:r>
    </w:p>
    <w:p w14:paraId="2C8377B9">
      <w:pPr>
        <w:spacing w:line="440" w:lineRule="exact"/>
        <w:ind w:firstLine="420" w:firstLineChars="200"/>
        <w:rPr>
          <w:rFonts w:ascii="宋体" w:hAnsi="宋体"/>
          <w:color w:val="auto"/>
          <w:szCs w:val="21"/>
        </w:rPr>
      </w:pPr>
      <w:r>
        <w:rPr>
          <w:rFonts w:hint="eastAsia" w:ascii="宋体" w:hAnsi="宋体"/>
          <w:color w:val="auto"/>
          <w:szCs w:val="21"/>
        </w:rPr>
        <w:t>根据</w:t>
      </w:r>
      <w:r>
        <w:rPr>
          <w:rFonts w:ascii="宋体" w:hAnsi="宋体"/>
          <w:color w:val="auto"/>
          <w:szCs w:val="21"/>
        </w:rPr>
        <w:t>《注册建造师执业管理办法（试行）》</w:t>
      </w:r>
      <w:r>
        <w:rPr>
          <w:rFonts w:hint="eastAsia" w:ascii="宋体" w:hAnsi="宋体"/>
          <w:color w:val="auto"/>
          <w:szCs w:val="21"/>
        </w:rPr>
        <w:t>第九条规定“注册建造师不得同时担任两个及以上建设工程施工项目负责人”，第十条规定“注册建造师担任施工项目负责人期间原则上不得更换”。我方拟派项目经理的能够参加本工程的投标是基于以下理由：</w:t>
      </w:r>
    </w:p>
    <w:p w14:paraId="0713C977">
      <w:pPr>
        <w:spacing w:line="440" w:lineRule="exact"/>
        <w:ind w:firstLine="525" w:firstLineChars="250"/>
        <w:rPr>
          <w:color w:val="auto"/>
          <w:szCs w:val="21"/>
        </w:rPr>
      </w:pPr>
      <w:r>
        <w:rPr>
          <w:rFonts w:hint="eastAsia"/>
          <w:color w:val="auto"/>
          <w:szCs w:val="21"/>
        </w:rPr>
        <w:t xml:space="preserve">□  </w:t>
      </w:r>
      <w:r>
        <w:rPr>
          <w:rFonts w:hint="eastAsia" w:ascii="宋体" w:hAnsi="宋体"/>
          <w:color w:val="auto"/>
          <w:szCs w:val="21"/>
        </w:rPr>
        <w:t>拟派项目经理无在建工程。</w:t>
      </w:r>
    </w:p>
    <w:p w14:paraId="5C9F9ACC">
      <w:pPr>
        <w:spacing w:line="440" w:lineRule="exact"/>
        <w:ind w:firstLine="525" w:firstLineChars="250"/>
        <w:rPr>
          <w:rFonts w:ascii="宋体" w:hAnsi="宋体"/>
          <w:color w:val="auto"/>
          <w:szCs w:val="21"/>
        </w:rPr>
      </w:pPr>
      <w:r>
        <w:rPr>
          <w:rFonts w:hint="eastAsia"/>
          <w:color w:val="auto"/>
          <w:szCs w:val="21"/>
        </w:rPr>
        <w:t xml:space="preserve">□  </w:t>
      </w:r>
      <w:r>
        <w:rPr>
          <w:rFonts w:hint="eastAsia" w:ascii="宋体" w:hAnsi="宋体"/>
          <w:color w:val="auto"/>
          <w:szCs w:val="21"/>
        </w:rPr>
        <w:t>拟派项目经理存在</w:t>
      </w:r>
      <w:r>
        <w:rPr>
          <w:rFonts w:ascii="宋体" w:hAnsi="宋体"/>
          <w:color w:val="auto"/>
          <w:szCs w:val="21"/>
        </w:rPr>
        <w:t>《注册建造师执业管理办法（试行）》</w:t>
      </w:r>
      <w:r>
        <w:rPr>
          <w:rFonts w:hint="eastAsia" w:ascii="宋体" w:hAnsi="宋体"/>
          <w:color w:val="auto"/>
          <w:szCs w:val="21"/>
        </w:rPr>
        <w:t>第九条规定的下列情形：</w:t>
      </w:r>
    </w:p>
    <w:p w14:paraId="720C83A4">
      <w:pPr>
        <w:spacing w:line="440" w:lineRule="exact"/>
        <w:ind w:firstLine="945" w:firstLineChars="450"/>
        <w:rPr>
          <w:rFonts w:ascii="宋体" w:hAnsi="宋体"/>
          <w:color w:val="auto"/>
          <w:szCs w:val="21"/>
        </w:rPr>
      </w:pPr>
      <w:r>
        <w:rPr>
          <w:rFonts w:hint="eastAsia"/>
          <w:color w:val="auto"/>
          <w:szCs w:val="21"/>
        </w:rPr>
        <w:t>□</w:t>
      </w:r>
      <w:r>
        <w:rPr>
          <w:rFonts w:ascii="宋体" w:hAnsi="宋体"/>
          <w:color w:val="auto"/>
          <w:szCs w:val="21"/>
        </w:rPr>
        <w:t>同一工程相邻分段发包或分期施工的</w:t>
      </w:r>
      <w:r>
        <w:rPr>
          <w:rFonts w:hint="eastAsia" w:ascii="宋体" w:hAnsi="宋体"/>
          <w:color w:val="auto"/>
          <w:szCs w:val="21"/>
          <w:lang w:eastAsia="zh-CN"/>
        </w:rPr>
        <w:t>；</w:t>
      </w:r>
    </w:p>
    <w:p w14:paraId="4EE2F351">
      <w:pPr>
        <w:spacing w:line="440" w:lineRule="exact"/>
        <w:ind w:firstLine="945" w:firstLineChars="450"/>
        <w:rPr>
          <w:rFonts w:ascii="宋体" w:hAnsi="宋体"/>
          <w:color w:val="auto"/>
          <w:szCs w:val="21"/>
        </w:rPr>
      </w:pPr>
      <w:r>
        <w:rPr>
          <w:rFonts w:hint="eastAsia"/>
          <w:color w:val="auto"/>
          <w:szCs w:val="21"/>
        </w:rPr>
        <w:t>□</w:t>
      </w:r>
      <w:r>
        <w:rPr>
          <w:rFonts w:ascii="宋体" w:hAnsi="宋体"/>
          <w:color w:val="auto"/>
          <w:szCs w:val="21"/>
        </w:rPr>
        <w:t>合同约定的工程验收合格的；</w:t>
      </w:r>
    </w:p>
    <w:p w14:paraId="607979E8">
      <w:pPr>
        <w:spacing w:line="440" w:lineRule="exact"/>
        <w:ind w:firstLine="945" w:firstLineChars="450"/>
        <w:rPr>
          <w:rFonts w:ascii="宋体" w:hAnsi="宋体"/>
          <w:color w:val="auto"/>
          <w:szCs w:val="21"/>
        </w:rPr>
      </w:pPr>
      <w:r>
        <w:rPr>
          <w:rFonts w:hint="eastAsia"/>
          <w:color w:val="auto"/>
          <w:szCs w:val="21"/>
        </w:rPr>
        <w:t>□</w:t>
      </w:r>
      <w:r>
        <w:rPr>
          <w:rFonts w:ascii="宋体" w:hAnsi="宋体"/>
          <w:color w:val="auto"/>
          <w:szCs w:val="21"/>
        </w:rPr>
        <w:t>因非承包方原因致使工程项目停工超过120天（含），经建设单位同意的。</w:t>
      </w:r>
    </w:p>
    <w:p w14:paraId="12DAB666">
      <w:pPr>
        <w:spacing w:line="440" w:lineRule="exact"/>
        <w:ind w:firstLine="525" w:firstLineChars="250"/>
        <w:rPr>
          <w:rFonts w:ascii="宋体" w:hAnsi="宋体"/>
          <w:color w:val="auto"/>
          <w:szCs w:val="21"/>
        </w:rPr>
      </w:pPr>
      <w:r>
        <w:rPr>
          <w:rFonts w:hint="eastAsia"/>
          <w:color w:val="auto"/>
          <w:szCs w:val="21"/>
        </w:rPr>
        <w:t xml:space="preserve">□  </w:t>
      </w:r>
      <w:r>
        <w:rPr>
          <w:rFonts w:hint="eastAsia" w:ascii="宋体" w:hAnsi="宋体"/>
          <w:color w:val="auto"/>
          <w:szCs w:val="21"/>
        </w:rPr>
        <w:t>拟派项目经理担任其他施工项目负责人期间因下列原因进行了更换，并办理书面交接手续：</w:t>
      </w:r>
    </w:p>
    <w:p w14:paraId="08AB762D">
      <w:pPr>
        <w:spacing w:line="440" w:lineRule="exact"/>
        <w:ind w:firstLine="945" w:firstLineChars="450"/>
        <w:rPr>
          <w:rFonts w:ascii="宋体" w:hAnsi="宋体"/>
          <w:color w:val="auto"/>
          <w:szCs w:val="21"/>
        </w:rPr>
      </w:pPr>
      <w:r>
        <w:rPr>
          <w:rFonts w:hint="eastAsia"/>
          <w:color w:val="auto"/>
          <w:szCs w:val="21"/>
        </w:rPr>
        <w:t>□</w:t>
      </w:r>
      <w:r>
        <w:rPr>
          <w:rFonts w:hint="eastAsia" w:ascii="宋体" w:hAnsi="宋体"/>
          <w:color w:val="auto"/>
          <w:szCs w:val="21"/>
        </w:rPr>
        <w:t>发包方与注册建造师受聘企业已解除承包合同的；</w:t>
      </w:r>
    </w:p>
    <w:p w14:paraId="10DA6769">
      <w:pPr>
        <w:spacing w:line="440" w:lineRule="exact"/>
        <w:ind w:firstLine="945" w:firstLineChars="450"/>
        <w:rPr>
          <w:rFonts w:ascii="宋体" w:hAnsi="宋体"/>
          <w:color w:val="auto"/>
          <w:szCs w:val="21"/>
        </w:rPr>
      </w:pPr>
      <w:r>
        <w:rPr>
          <w:rFonts w:hint="eastAsia"/>
          <w:color w:val="auto"/>
          <w:szCs w:val="21"/>
        </w:rPr>
        <w:t>□</w:t>
      </w:r>
      <w:r>
        <w:rPr>
          <w:rFonts w:hint="eastAsia" w:ascii="宋体" w:hAnsi="宋体"/>
          <w:color w:val="auto"/>
          <w:szCs w:val="21"/>
        </w:rPr>
        <w:t>发包方同意更换项目负责人的；</w:t>
      </w:r>
    </w:p>
    <w:p w14:paraId="2D55973B">
      <w:pPr>
        <w:spacing w:line="440" w:lineRule="exact"/>
        <w:ind w:firstLine="945" w:firstLineChars="450"/>
        <w:rPr>
          <w:rFonts w:ascii="宋体" w:hAnsi="宋体"/>
          <w:color w:val="auto"/>
          <w:szCs w:val="21"/>
        </w:rPr>
      </w:pPr>
      <w:r>
        <w:rPr>
          <w:rFonts w:hint="eastAsia"/>
          <w:color w:val="auto"/>
          <w:szCs w:val="21"/>
        </w:rPr>
        <w:t>□</w:t>
      </w:r>
      <w:r>
        <w:rPr>
          <w:rFonts w:hint="eastAsia" w:ascii="宋体" w:hAnsi="宋体"/>
          <w:color w:val="auto"/>
          <w:szCs w:val="21"/>
        </w:rPr>
        <w:t>因不可抗力等特殊情况必须更换项目负责人的。</w:t>
      </w:r>
    </w:p>
    <w:p w14:paraId="3371AD49">
      <w:pPr>
        <w:spacing w:line="440" w:lineRule="exact"/>
        <w:ind w:firstLine="525" w:firstLineChars="250"/>
        <w:rPr>
          <w:rFonts w:ascii="宋体" w:hAnsi="宋体"/>
          <w:color w:val="auto"/>
          <w:szCs w:val="21"/>
        </w:rPr>
      </w:pPr>
      <w:r>
        <w:rPr>
          <w:rFonts w:hint="eastAsia"/>
          <w:color w:val="auto"/>
          <w:szCs w:val="21"/>
        </w:rPr>
        <w:t xml:space="preserve">□ </w:t>
      </w:r>
      <w:r>
        <w:rPr>
          <w:rFonts w:hint="eastAsia"/>
          <w:color w:val="auto"/>
          <w:szCs w:val="21"/>
          <w:u w:val="single"/>
        </w:rPr>
        <w:t xml:space="preserve">                                                   </w:t>
      </w:r>
      <w:r>
        <w:rPr>
          <w:rFonts w:hint="eastAsia"/>
          <w:color w:val="auto"/>
          <w:szCs w:val="21"/>
        </w:rPr>
        <w:t xml:space="preserve"> 。</w:t>
      </w:r>
    </w:p>
    <w:p w14:paraId="487D8A41">
      <w:pPr>
        <w:spacing w:line="440" w:lineRule="exact"/>
        <w:ind w:firstLine="420" w:firstLineChars="200"/>
        <w:rPr>
          <w:rFonts w:ascii="宋体" w:hAnsi="宋体"/>
          <w:color w:val="auto"/>
          <w:szCs w:val="21"/>
        </w:rPr>
      </w:pPr>
      <w:r>
        <w:rPr>
          <w:rFonts w:hint="eastAsia" w:ascii="宋体" w:hAnsi="宋体"/>
          <w:color w:val="auto"/>
          <w:szCs w:val="21"/>
        </w:rPr>
        <w:t>我方保证上述信息的真实性和准确性，并承担相应的法律责任。</w:t>
      </w:r>
    </w:p>
    <w:p w14:paraId="4FC18E18">
      <w:pPr>
        <w:spacing w:line="440" w:lineRule="exact"/>
        <w:ind w:firstLine="420" w:firstLineChars="200"/>
        <w:rPr>
          <w:rFonts w:ascii="宋体" w:hAnsi="宋体"/>
          <w:color w:val="auto"/>
          <w:szCs w:val="21"/>
        </w:rPr>
      </w:pPr>
      <w:r>
        <w:rPr>
          <w:rFonts w:hint="eastAsia" w:ascii="宋体" w:hAnsi="宋体"/>
          <w:color w:val="auto"/>
          <w:szCs w:val="21"/>
        </w:rPr>
        <w:t>特此承诺</w:t>
      </w:r>
    </w:p>
    <w:p w14:paraId="7F3BA510">
      <w:pPr>
        <w:spacing w:line="440" w:lineRule="exact"/>
        <w:ind w:firstLine="420" w:firstLineChars="200"/>
        <w:rPr>
          <w:rFonts w:hint="eastAsia" w:ascii="宋体" w:hAnsi="宋体"/>
          <w:color w:val="auto"/>
          <w:szCs w:val="21"/>
        </w:rPr>
      </w:pPr>
    </w:p>
    <w:p w14:paraId="3F5E2751">
      <w:pPr>
        <w:spacing w:line="440" w:lineRule="exact"/>
        <w:ind w:firstLine="420" w:firstLineChars="200"/>
        <w:rPr>
          <w:rFonts w:hint="eastAsia" w:ascii="宋体" w:hAnsi="宋体"/>
          <w:color w:val="auto"/>
          <w:szCs w:val="21"/>
        </w:rPr>
      </w:pPr>
    </w:p>
    <w:p w14:paraId="30FF9E49">
      <w:pPr>
        <w:spacing w:line="440" w:lineRule="exact"/>
        <w:jc w:val="right"/>
        <w:rPr>
          <w:rFonts w:hint="eastAsia" w:ascii="宋体" w:hAnsi="宋体"/>
          <w:color w:val="auto"/>
          <w:szCs w:val="21"/>
        </w:rPr>
      </w:pPr>
      <w:r>
        <w:rPr>
          <w:rFonts w:hint="eastAsia" w:ascii="宋体" w:hAnsi="宋体"/>
          <w:color w:val="auto"/>
          <w:szCs w:val="21"/>
        </w:rPr>
        <w:t>投标人：</w:t>
      </w:r>
      <w:r>
        <w:rPr>
          <w:rFonts w:hint="eastAsia" w:ascii="宋体" w:hAnsi="宋体"/>
          <w:color w:val="auto"/>
          <w:szCs w:val="21"/>
          <w:u w:val="single"/>
        </w:rPr>
        <w:t xml:space="preserve">                             </w:t>
      </w:r>
      <w:r>
        <w:rPr>
          <w:rFonts w:hint="eastAsia" w:ascii="宋体" w:hAnsi="宋体"/>
          <w:color w:val="auto"/>
          <w:szCs w:val="21"/>
        </w:rPr>
        <w:t>（盖单位章）</w:t>
      </w:r>
    </w:p>
    <w:p w14:paraId="5BB56571">
      <w:pPr>
        <w:wordWrap w:val="0"/>
        <w:spacing w:line="440" w:lineRule="exact"/>
        <w:jc w:val="right"/>
        <w:rPr>
          <w:rFonts w:hint="eastAsia" w:ascii="宋体" w:hAnsi="宋体"/>
          <w:color w:val="auto"/>
          <w:szCs w:val="21"/>
        </w:rPr>
      </w:pPr>
      <w:r>
        <w:rPr>
          <w:rFonts w:hint="eastAsia" w:ascii="宋体" w:hAnsi="宋体"/>
          <w:color w:val="auto"/>
          <w:szCs w:val="21"/>
        </w:rPr>
        <w:t>法定代表人或授权委托人：</w:t>
      </w:r>
      <w:r>
        <w:rPr>
          <w:rFonts w:hint="eastAsia" w:ascii="宋体" w:hAnsi="宋体"/>
          <w:color w:val="auto"/>
          <w:szCs w:val="21"/>
          <w:u w:val="single"/>
        </w:rPr>
        <w:t xml:space="preserve">                             </w:t>
      </w:r>
      <w:r>
        <w:rPr>
          <w:rFonts w:hint="eastAsia" w:ascii="宋体" w:hAnsi="宋体"/>
          <w:color w:val="auto"/>
          <w:szCs w:val="21"/>
        </w:rPr>
        <w:t>（签章）</w:t>
      </w:r>
    </w:p>
    <w:p w14:paraId="135F8506">
      <w:pPr>
        <w:jc w:val="right"/>
        <w:rPr>
          <w:rFonts w:hint="eastAsia" w:ascii="宋体" w:hAnsi="宋体"/>
          <w:color w:val="auto"/>
          <w:szCs w:val="21"/>
        </w:rPr>
      </w:pP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7456120F">
      <w:pPr>
        <w:rPr>
          <w:color w:val="auto"/>
        </w:rPr>
        <w:sectPr>
          <w:footerReference r:id="rId40" w:type="default"/>
          <w:pgSz w:w="11906" w:h="16838"/>
          <w:pgMar w:top="1440" w:right="1800" w:bottom="1440" w:left="1800" w:header="851" w:footer="992" w:gutter="0"/>
          <w:pgNumType w:fmt="decimal"/>
          <w:cols w:space="425" w:num="1"/>
          <w:docGrid w:type="lines" w:linePitch="312" w:charSpace="0"/>
        </w:sectPr>
      </w:pPr>
    </w:p>
    <w:p w14:paraId="1C51D082">
      <w:pPr>
        <w:pStyle w:val="27"/>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ascii="宋体" w:hAnsi="宋体"/>
          <w:color w:val="auto"/>
          <w:szCs w:val="21"/>
        </w:rPr>
      </w:pPr>
      <w:bookmarkStart w:id="2016" w:name="_Toc122603083"/>
      <w:bookmarkStart w:id="2017" w:name="_Toc24574"/>
      <w:r>
        <w:rPr>
          <w:rFonts w:hint="eastAsia"/>
          <w:color w:val="auto"/>
          <w:sz w:val="28"/>
          <w:szCs w:val="28"/>
          <w:lang w:eastAsia="zh-CN"/>
        </w:rPr>
        <w:t>（</w:t>
      </w:r>
      <w:r>
        <w:rPr>
          <w:rFonts w:hint="default"/>
          <w:color w:val="auto"/>
          <w:sz w:val="28"/>
          <w:szCs w:val="28"/>
        </w:rPr>
        <w:t>四</w:t>
      </w:r>
      <w:r>
        <w:rPr>
          <w:rFonts w:hint="eastAsia"/>
          <w:color w:val="auto"/>
          <w:sz w:val="28"/>
          <w:szCs w:val="28"/>
          <w:lang w:eastAsia="zh-CN"/>
        </w:rPr>
        <w:t>）</w:t>
      </w:r>
      <w:r>
        <w:rPr>
          <w:rFonts w:hint="eastAsia"/>
          <w:color w:val="auto"/>
          <w:sz w:val="28"/>
          <w:szCs w:val="28"/>
        </w:rPr>
        <w:t>其他主要项目管理人员简历表</w:t>
      </w:r>
      <w:bookmarkEnd w:id="2016"/>
      <w:bookmarkEnd w:id="2017"/>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7"/>
        <w:gridCol w:w="2735"/>
        <w:gridCol w:w="1725"/>
        <w:gridCol w:w="2735"/>
      </w:tblGrid>
      <w:tr w14:paraId="4F220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63E5830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color w:val="auto"/>
                <w:szCs w:val="21"/>
              </w:rPr>
            </w:pPr>
            <w:r>
              <w:rPr>
                <w:rFonts w:hint="eastAsia" w:ascii="宋体" w:hAnsi="宋体"/>
                <w:color w:val="auto"/>
                <w:szCs w:val="21"/>
              </w:rPr>
              <w:t>岗位名称</w:t>
            </w:r>
          </w:p>
          <w:p w14:paraId="09A814B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color w:val="auto"/>
                <w:szCs w:val="21"/>
              </w:rPr>
            </w:pPr>
            <w:r>
              <w:rPr>
                <w:rFonts w:hint="eastAsia" w:ascii="宋体" w:hAnsi="宋体"/>
                <w:color w:val="auto"/>
                <w:szCs w:val="21"/>
                <w:lang w:eastAsia="zh-CN"/>
              </w:rPr>
              <w:t>（</w:t>
            </w:r>
            <w:r>
              <w:rPr>
                <w:rFonts w:hint="eastAsia" w:ascii="宋体" w:hAnsi="宋体"/>
                <w:color w:val="auto"/>
                <w:szCs w:val="21"/>
                <w:lang w:val="en-US" w:eastAsia="zh-CN"/>
              </w:rPr>
              <w:t>职务</w:t>
            </w:r>
            <w:r>
              <w:rPr>
                <w:rFonts w:hint="eastAsia" w:ascii="宋体" w:hAnsi="宋体"/>
                <w:color w:val="auto"/>
                <w:szCs w:val="21"/>
                <w:lang w:eastAsia="zh-CN"/>
              </w:rPr>
              <w:t>）</w:t>
            </w:r>
          </w:p>
        </w:tc>
        <w:tc>
          <w:tcPr>
            <w:tcW w:w="7560" w:type="dxa"/>
            <w:gridSpan w:val="3"/>
            <w:vAlign w:val="center"/>
          </w:tcPr>
          <w:p w14:paraId="6FF0B09C">
            <w:pPr>
              <w:jc w:val="center"/>
              <w:rPr>
                <w:rFonts w:ascii="宋体" w:hAnsi="宋体"/>
                <w:color w:val="auto"/>
                <w:szCs w:val="21"/>
              </w:rPr>
            </w:pPr>
          </w:p>
        </w:tc>
      </w:tr>
      <w:tr w14:paraId="0D453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391EFDCD">
            <w:pPr>
              <w:jc w:val="center"/>
              <w:rPr>
                <w:rFonts w:ascii="宋体" w:hAnsi="宋体"/>
                <w:color w:val="auto"/>
                <w:szCs w:val="21"/>
              </w:rPr>
            </w:pPr>
            <w:r>
              <w:rPr>
                <w:rFonts w:hint="eastAsia" w:ascii="宋体" w:hAnsi="宋体"/>
                <w:color w:val="auto"/>
                <w:szCs w:val="21"/>
              </w:rPr>
              <w:t>姓    名</w:t>
            </w:r>
          </w:p>
        </w:tc>
        <w:tc>
          <w:tcPr>
            <w:tcW w:w="2880" w:type="dxa"/>
            <w:vAlign w:val="center"/>
          </w:tcPr>
          <w:p w14:paraId="7AFD53DC">
            <w:pPr>
              <w:jc w:val="center"/>
              <w:rPr>
                <w:rFonts w:ascii="宋体" w:hAnsi="宋体"/>
                <w:color w:val="auto"/>
                <w:szCs w:val="21"/>
              </w:rPr>
            </w:pPr>
          </w:p>
        </w:tc>
        <w:tc>
          <w:tcPr>
            <w:tcW w:w="1800" w:type="dxa"/>
            <w:vAlign w:val="center"/>
          </w:tcPr>
          <w:p w14:paraId="2D79933E">
            <w:pPr>
              <w:jc w:val="center"/>
              <w:rPr>
                <w:rFonts w:ascii="宋体" w:hAnsi="宋体"/>
                <w:color w:val="auto"/>
                <w:szCs w:val="21"/>
              </w:rPr>
            </w:pPr>
            <w:r>
              <w:rPr>
                <w:rFonts w:hint="eastAsia" w:ascii="宋体" w:hAnsi="宋体"/>
                <w:color w:val="auto"/>
                <w:szCs w:val="21"/>
              </w:rPr>
              <w:t>年    龄</w:t>
            </w:r>
          </w:p>
        </w:tc>
        <w:tc>
          <w:tcPr>
            <w:tcW w:w="2880" w:type="dxa"/>
            <w:vAlign w:val="center"/>
          </w:tcPr>
          <w:p w14:paraId="3779D8BE">
            <w:pPr>
              <w:jc w:val="center"/>
              <w:rPr>
                <w:rFonts w:ascii="宋体" w:hAnsi="宋体"/>
                <w:color w:val="auto"/>
                <w:szCs w:val="21"/>
              </w:rPr>
            </w:pPr>
          </w:p>
        </w:tc>
      </w:tr>
      <w:tr w14:paraId="7C335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5FCA359C">
            <w:pPr>
              <w:jc w:val="center"/>
              <w:rPr>
                <w:rFonts w:ascii="宋体" w:hAnsi="宋体"/>
                <w:color w:val="auto"/>
                <w:szCs w:val="21"/>
              </w:rPr>
            </w:pPr>
            <w:r>
              <w:rPr>
                <w:rFonts w:hint="eastAsia" w:ascii="宋体" w:hAnsi="宋体"/>
                <w:color w:val="auto"/>
                <w:szCs w:val="21"/>
              </w:rPr>
              <w:t>性    别</w:t>
            </w:r>
          </w:p>
        </w:tc>
        <w:tc>
          <w:tcPr>
            <w:tcW w:w="2880" w:type="dxa"/>
            <w:vAlign w:val="center"/>
          </w:tcPr>
          <w:p w14:paraId="1D2EA210">
            <w:pPr>
              <w:jc w:val="center"/>
              <w:rPr>
                <w:rFonts w:ascii="宋体" w:hAnsi="宋体"/>
                <w:color w:val="auto"/>
                <w:szCs w:val="21"/>
              </w:rPr>
            </w:pPr>
          </w:p>
        </w:tc>
        <w:tc>
          <w:tcPr>
            <w:tcW w:w="1800" w:type="dxa"/>
            <w:vAlign w:val="center"/>
          </w:tcPr>
          <w:p w14:paraId="5D3D5EC5">
            <w:pPr>
              <w:jc w:val="center"/>
              <w:rPr>
                <w:rFonts w:ascii="宋体" w:hAnsi="宋体"/>
                <w:color w:val="auto"/>
                <w:szCs w:val="21"/>
              </w:rPr>
            </w:pPr>
            <w:r>
              <w:rPr>
                <w:rFonts w:hint="eastAsia" w:ascii="宋体" w:hAnsi="宋体"/>
                <w:color w:val="auto"/>
                <w:szCs w:val="21"/>
              </w:rPr>
              <w:t>毕业学校</w:t>
            </w:r>
          </w:p>
        </w:tc>
        <w:tc>
          <w:tcPr>
            <w:tcW w:w="2880" w:type="dxa"/>
            <w:vAlign w:val="center"/>
          </w:tcPr>
          <w:p w14:paraId="4A055FDE">
            <w:pPr>
              <w:jc w:val="center"/>
              <w:rPr>
                <w:rFonts w:ascii="宋体" w:hAnsi="宋体"/>
                <w:color w:val="auto"/>
                <w:szCs w:val="21"/>
              </w:rPr>
            </w:pPr>
          </w:p>
        </w:tc>
      </w:tr>
      <w:tr w14:paraId="11415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3CEF0D30">
            <w:pPr>
              <w:jc w:val="center"/>
              <w:rPr>
                <w:rFonts w:ascii="宋体" w:hAnsi="宋体"/>
                <w:color w:val="auto"/>
                <w:szCs w:val="21"/>
              </w:rPr>
            </w:pPr>
            <w:r>
              <w:rPr>
                <w:rFonts w:hint="eastAsia" w:ascii="宋体" w:hAnsi="宋体"/>
                <w:color w:val="auto"/>
                <w:szCs w:val="21"/>
              </w:rPr>
              <w:t>学历和专业</w:t>
            </w:r>
          </w:p>
        </w:tc>
        <w:tc>
          <w:tcPr>
            <w:tcW w:w="2880" w:type="dxa"/>
            <w:vAlign w:val="center"/>
          </w:tcPr>
          <w:p w14:paraId="08BD1B0C">
            <w:pPr>
              <w:jc w:val="center"/>
              <w:rPr>
                <w:rFonts w:ascii="宋体" w:hAnsi="宋体"/>
                <w:color w:val="auto"/>
                <w:szCs w:val="21"/>
              </w:rPr>
            </w:pPr>
          </w:p>
        </w:tc>
        <w:tc>
          <w:tcPr>
            <w:tcW w:w="1800" w:type="dxa"/>
            <w:vAlign w:val="center"/>
          </w:tcPr>
          <w:p w14:paraId="6886B3D4">
            <w:pPr>
              <w:jc w:val="center"/>
              <w:rPr>
                <w:rFonts w:ascii="宋体" w:hAnsi="宋体"/>
                <w:color w:val="auto"/>
                <w:szCs w:val="21"/>
              </w:rPr>
            </w:pPr>
            <w:r>
              <w:rPr>
                <w:rFonts w:hint="eastAsia" w:ascii="宋体" w:hAnsi="宋体"/>
                <w:color w:val="auto"/>
                <w:szCs w:val="21"/>
              </w:rPr>
              <w:t>毕业时间</w:t>
            </w:r>
          </w:p>
        </w:tc>
        <w:tc>
          <w:tcPr>
            <w:tcW w:w="2880" w:type="dxa"/>
            <w:vAlign w:val="center"/>
          </w:tcPr>
          <w:p w14:paraId="48FCF240">
            <w:pPr>
              <w:jc w:val="center"/>
              <w:rPr>
                <w:rFonts w:ascii="宋体" w:hAnsi="宋体"/>
                <w:color w:val="auto"/>
                <w:szCs w:val="21"/>
              </w:rPr>
            </w:pPr>
          </w:p>
        </w:tc>
      </w:tr>
      <w:tr w14:paraId="2EA24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4A04D87F">
            <w:pPr>
              <w:jc w:val="center"/>
              <w:rPr>
                <w:rFonts w:ascii="宋体" w:hAnsi="宋体"/>
                <w:color w:val="auto"/>
                <w:szCs w:val="21"/>
              </w:rPr>
            </w:pPr>
            <w:r>
              <w:rPr>
                <w:rFonts w:hint="eastAsia" w:ascii="宋体" w:hAnsi="宋体"/>
                <w:color w:val="auto"/>
                <w:szCs w:val="21"/>
              </w:rPr>
              <w:t>执业/岗位资格</w:t>
            </w:r>
          </w:p>
        </w:tc>
        <w:tc>
          <w:tcPr>
            <w:tcW w:w="2880" w:type="dxa"/>
            <w:vAlign w:val="center"/>
          </w:tcPr>
          <w:p w14:paraId="1728E13F">
            <w:pPr>
              <w:jc w:val="center"/>
              <w:rPr>
                <w:rFonts w:ascii="宋体" w:hAnsi="宋体"/>
                <w:color w:val="auto"/>
                <w:szCs w:val="21"/>
              </w:rPr>
            </w:pPr>
          </w:p>
        </w:tc>
        <w:tc>
          <w:tcPr>
            <w:tcW w:w="1800" w:type="dxa"/>
            <w:vAlign w:val="center"/>
          </w:tcPr>
          <w:p w14:paraId="7259066E">
            <w:pPr>
              <w:jc w:val="center"/>
              <w:rPr>
                <w:rFonts w:ascii="宋体" w:hAnsi="宋体"/>
                <w:color w:val="auto"/>
                <w:szCs w:val="21"/>
              </w:rPr>
            </w:pPr>
            <w:r>
              <w:rPr>
                <w:rFonts w:hint="eastAsia" w:ascii="宋体" w:hAnsi="宋体"/>
                <w:color w:val="auto"/>
                <w:szCs w:val="21"/>
              </w:rPr>
              <w:t>专业职称</w:t>
            </w:r>
          </w:p>
        </w:tc>
        <w:tc>
          <w:tcPr>
            <w:tcW w:w="2880" w:type="dxa"/>
            <w:vAlign w:val="center"/>
          </w:tcPr>
          <w:p w14:paraId="3724F1BF">
            <w:pPr>
              <w:jc w:val="center"/>
              <w:rPr>
                <w:rFonts w:ascii="宋体" w:hAnsi="宋体"/>
                <w:color w:val="auto"/>
                <w:szCs w:val="21"/>
              </w:rPr>
            </w:pPr>
          </w:p>
        </w:tc>
      </w:tr>
      <w:tr w14:paraId="3D40B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618C2CB1">
            <w:pPr>
              <w:jc w:val="center"/>
              <w:rPr>
                <w:rFonts w:ascii="宋体" w:hAnsi="宋体"/>
                <w:color w:val="auto"/>
                <w:szCs w:val="21"/>
              </w:rPr>
            </w:pPr>
            <w:r>
              <w:rPr>
                <w:rFonts w:hint="eastAsia" w:ascii="宋体" w:hAnsi="宋体"/>
                <w:color w:val="auto"/>
                <w:szCs w:val="21"/>
              </w:rPr>
              <w:t>执业/岗位</w:t>
            </w:r>
          </w:p>
          <w:p w14:paraId="6F07E2D1">
            <w:pPr>
              <w:jc w:val="center"/>
              <w:rPr>
                <w:rFonts w:ascii="宋体" w:hAnsi="宋体"/>
                <w:color w:val="auto"/>
                <w:szCs w:val="21"/>
              </w:rPr>
            </w:pPr>
            <w:r>
              <w:rPr>
                <w:rFonts w:hint="eastAsia" w:ascii="宋体" w:hAnsi="宋体"/>
                <w:color w:val="auto"/>
                <w:szCs w:val="21"/>
              </w:rPr>
              <w:t>证书编号</w:t>
            </w:r>
          </w:p>
        </w:tc>
        <w:tc>
          <w:tcPr>
            <w:tcW w:w="2880" w:type="dxa"/>
            <w:vAlign w:val="center"/>
          </w:tcPr>
          <w:p w14:paraId="04BB734F">
            <w:pPr>
              <w:jc w:val="center"/>
              <w:rPr>
                <w:rFonts w:ascii="宋体" w:hAnsi="宋体"/>
                <w:color w:val="auto"/>
                <w:szCs w:val="21"/>
              </w:rPr>
            </w:pPr>
          </w:p>
        </w:tc>
        <w:tc>
          <w:tcPr>
            <w:tcW w:w="1800" w:type="dxa"/>
            <w:vAlign w:val="center"/>
          </w:tcPr>
          <w:p w14:paraId="47AFB53B">
            <w:pPr>
              <w:jc w:val="center"/>
              <w:rPr>
                <w:rFonts w:ascii="宋体" w:hAnsi="宋体"/>
                <w:color w:val="auto"/>
                <w:szCs w:val="21"/>
              </w:rPr>
            </w:pPr>
            <w:r>
              <w:rPr>
                <w:rFonts w:hint="eastAsia" w:ascii="宋体" w:hAnsi="宋体"/>
                <w:color w:val="auto"/>
                <w:szCs w:val="21"/>
              </w:rPr>
              <w:t>专业工作年限</w:t>
            </w:r>
          </w:p>
        </w:tc>
        <w:tc>
          <w:tcPr>
            <w:tcW w:w="2880" w:type="dxa"/>
            <w:vAlign w:val="center"/>
          </w:tcPr>
          <w:p w14:paraId="785BD684">
            <w:pPr>
              <w:jc w:val="center"/>
              <w:rPr>
                <w:rFonts w:ascii="宋体" w:hAnsi="宋体"/>
                <w:color w:val="auto"/>
                <w:szCs w:val="21"/>
              </w:rPr>
            </w:pPr>
          </w:p>
          <w:p w14:paraId="331E48AE">
            <w:pPr>
              <w:jc w:val="center"/>
              <w:rPr>
                <w:rFonts w:ascii="宋体" w:hAnsi="宋体"/>
                <w:color w:val="auto"/>
                <w:szCs w:val="21"/>
              </w:rPr>
            </w:pPr>
          </w:p>
        </w:tc>
      </w:tr>
      <w:tr w14:paraId="44A13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3" w:hRule="atLeast"/>
        </w:trPr>
        <w:tc>
          <w:tcPr>
            <w:tcW w:w="1368" w:type="dxa"/>
            <w:vAlign w:val="center"/>
          </w:tcPr>
          <w:p w14:paraId="14D38DEC">
            <w:pPr>
              <w:ind w:firstLine="210" w:firstLineChars="100"/>
              <w:jc w:val="center"/>
              <w:rPr>
                <w:rFonts w:ascii="宋体" w:hAnsi="宋体"/>
                <w:color w:val="auto"/>
                <w:szCs w:val="21"/>
              </w:rPr>
            </w:pPr>
            <w:r>
              <w:rPr>
                <w:rFonts w:hint="eastAsia" w:ascii="宋体" w:hAnsi="宋体"/>
                <w:color w:val="auto"/>
                <w:szCs w:val="21"/>
              </w:rPr>
              <w:t>主</w:t>
            </w:r>
          </w:p>
          <w:p w14:paraId="7A94447C">
            <w:pPr>
              <w:ind w:firstLine="210" w:firstLineChars="100"/>
              <w:jc w:val="center"/>
              <w:rPr>
                <w:rFonts w:ascii="宋体" w:hAnsi="宋体"/>
                <w:color w:val="auto"/>
                <w:szCs w:val="21"/>
              </w:rPr>
            </w:pPr>
            <w:r>
              <w:rPr>
                <w:rFonts w:hint="eastAsia" w:ascii="宋体" w:hAnsi="宋体"/>
                <w:color w:val="auto"/>
                <w:szCs w:val="21"/>
              </w:rPr>
              <w:t>要</w:t>
            </w:r>
          </w:p>
          <w:p w14:paraId="644B3AE5">
            <w:pPr>
              <w:ind w:firstLine="210" w:firstLineChars="100"/>
              <w:jc w:val="center"/>
              <w:rPr>
                <w:rFonts w:ascii="宋体" w:hAnsi="宋体"/>
                <w:color w:val="auto"/>
                <w:szCs w:val="21"/>
              </w:rPr>
            </w:pPr>
            <w:r>
              <w:rPr>
                <w:rFonts w:hint="eastAsia" w:ascii="宋体" w:hAnsi="宋体"/>
                <w:color w:val="auto"/>
                <w:szCs w:val="21"/>
              </w:rPr>
              <w:t>工</w:t>
            </w:r>
          </w:p>
          <w:p w14:paraId="4B3A0FB1">
            <w:pPr>
              <w:ind w:firstLine="210" w:firstLineChars="100"/>
              <w:jc w:val="center"/>
              <w:rPr>
                <w:rFonts w:ascii="宋体" w:hAnsi="宋体"/>
                <w:color w:val="auto"/>
                <w:szCs w:val="21"/>
              </w:rPr>
            </w:pPr>
            <w:r>
              <w:rPr>
                <w:rFonts w:hint="eastAsia" w:ascii="宋体" w:hAnsi="宋体"/>
                <w:color w:val="auto"/>
                <w:szCs w:val="21"/>
              </w:rPr>
              <w:t>作</w:t>
            </w:r>
          </w:p>
          <w:p w14:paraId="6C2BF796">
            <w:pPr>
              <w:ind w:firstLine="210" w:firstLineChars="100"/>
              <w:jc w:val="center"/>
              <w:rPr>
                <w:rFonts w:ascii="宋体" w:hAnsi="宋体"/>
                <w:color w:val="auto"/>
                <w:szCs w:val="21"/>
              </w:rPr>
            </w:pPr>
            <w:r>
              <w:rPr>
                <w:rFonts w:hint="eastAsia" w:ascii="宋体" w:hAnsi="宋体"/>
                <w:color w:val="auto"/>
                <w:szCs w:val="21"/>
              </w:rPr>
              <w:t>业</w:t>
            </w:r>
          </w:p>
          <w:p w14:paraId="11DFAF8D">
            <w:pPr>
              <w:ind w:firstLine="210" w:firstLineChars="100"/>
              <w:jc w:val="center"/>
              <w:rPr>
                <w:rFonts w:ascii="宋体" w:hAnsi="宋体"/>
                <w:color w:val="auto"/>
                <w:szCs w:val="21"/>
              </w:rPr>
            </w:pPr>
            <w:r>
              <w:rPr>
                <w:rFonts w:hint="eastAsia" w:ascii="宋体" w:hAnsi="宋体"/>
                <w:color w:val="auto"/>
                <w:szCs w:val="21"/>
              </w:rPr>
              <w:t>绩</w:t>
            </w:r>
          </w:p>
          <w:p w14:paraId="4951531B">
            <w:pPr>
              <w:ind w:firstLine="210" w:firstLineChars="100"/>
              <w:jc w:val="center"/>
              <w:rPr>
                <w:rFonts w:ascii="宋体" w:hAnsi="宋体"/>
                <w:color w:val="auto"/>
                <w:szCs w:val="21"/>
              </w:rPr>
            </w:pPr>
            <w:r>
              <w:rPr>
                <w:rFonts w:hint="eastAsia" w:ascii="宋体" w:hAnsi="宋体"/>
                <w:color w:val="auto"/>
                <w:szCs w:val="21"/>
              </w:rPr>
              <w:t>及</w:t>
            </w:r>
          </w:p>
          <w:p w14:paraId="0B90FAA4">
            <w:pPr>
              <w:ind w:firstLine="210" w:firstLineChars="100"/>
              <w:jc w:val="center"/>
              <w:rPr>
                <w:rFonts w:ascii="宋体" w:hAnsi="宋体"/>
                <w:color w:val="auto"/>
                <w:szCs w:val="21"/>
              </w:rPr>
            </w:pPr>
            <w:r>
              <w:rPr>
                <w:rFonts w:hint="eastAsia" w:ascii="宋体" w:hAnsi="宋体"/>
                <w:color w:val="auto"/>
                <w:szCs w:val="21"/>
              </w:rPr>
              <w:t>担</w:t>
            </w:r>
          </w:p>
          <w:p w14:paraId="181EA378">
            <w:pPr>
              <w:ind w:firstLine="210" w:firstLineChars="100"/>
              <w:jc w:val="center"/>
              <w:rPr>
                <w:rFonts w:ascii="宋体" w:hAnsi="宋体"/>
                <w:color w:val="auto"/>
                <w:szCs w:val="21"/>
              </w:rPr>
            </w:pPr>
            <w:r>
              <w:rPr>
                <w:rFonts w:hint="eastAsia" w:ascii="宋体" w:hAnsi="宋体"/>
                <w:color w:val="auto"/>
                <w:szCs w:val="21"/>
              </w:rPr>
              <w:t>任</w:t>
            </w:r>
          </w:p>
          <w:p w14:paraId="6A5289D9">
            <w:pPr>
              <w:ind w:firstLine="210" w:firstLineChars="100"/>
              <w:jc w:val="center"/>
              <w:rPr>
                <w:rFonts w:ascii="宋体" w:hAnsi="宋体"/>
                <w:color w:val="auto"/>
                <w:szCs w:val="21"/>
              </w:rPr>
            </w:pPr>
            <w:r>
              <w:rPr>
                <w:rFonts w:hint="eastAsia" w:ascii="宋体" w:hAnsi="宋体"/>
                <w:color w:val="auto"/>
                <w:szCs w:val="21"/>
              </w:rPr>
              <w:t>的</w:t>
            </w:r>
          </w:p>
          <w:p w14:paraId="1D1CA8D0">
            <w:pPr>
              <w:ind w:firstLine="210" w:firstLineChars="100"/>
              <w:jc w:val="center"/>
              <w:rPr>
                <w:rFonts w:ascii="宋体" w:hAnsi="宋体"/>
                <w:color w:val="auto"/>
                <w:szCs w:val="21"/>
              </w:rPr>
            </w:pPr>
            <w:r>
              <w:rPr>
                <w:rFonts w:hint="eastAsia" w:ascii="宋体" w:hAnsi="宋体"/>
                <w:color w:val="auto"/>
                <w:szCs w:val="21"/>
              </w:rPr>
              <w:t>主</w:t>
            </w:r>
          </w:p>
          <w:p w14:paraId="75D67A4F">
            <w:pPr>
              <w:ind w:firstLine="210" w:firstLineChars="100"/>
              <w:jc w:val="center"/>
              <w:rPr>
                <w:rFonts w:ascii="宋体" w:hAnsi="宋体"/>
                <w:color w:val="auto"/>
                <w:szCs w:val="21"/>
              </w:rPr>
            </w:pPr>
            <w:r>
              <w:rPr>
                <w:rFonts w:hint="eastAsia" w:ascii="宋体" w:hAnsi="宋体"/>
                <w:color w:val="auto"/>
                <w:szCs w:val="21"/>
              </w:rPr>
              <w:t>要</w:t>
            </w:r>
          </w:p>
          <w:p w14:paraId="3F152FCF">
            <w:pPr>
              <w:ind w:firstLine="210" w:firstLineChars="100"/>
              <w:jc w:val="center"/>
              <w:rPr>
                <w:rFonts w:ascii="宋体" w:hAnsi="宋体"/>
                <w:color w:val="auto"/>
                <w:szCs w:val="21"/>
              </w:rPr>
            </w:pPr>
            <w:r>
              <w:rPr>
                <w:rFonts w:hint="eastAsia" w:ascii="宋体" w:hAnsi="宋体"/>
                <w:color w:val="auto"/>
                <w:szCs w:val="21"/>
              </w:rPr>
              <w:t>工</w:t>
            </w:r>
          </w:p>
          <w:p w14:paraId="613841A3">
            <w:pPr>
              <w:ind w:firstLine="210" w:firstLineChars="100"/>
              <w:jc w:val="center"/>
              <w:rPr>
                <w:rFonts w:ascii="宋体" w:hAnsi="宋体"/>
                <w:color w:val="auto"/>
                <w:szCs w:val="21"/>
              </w:rPr>
            </w:pPr>
            <w:r>
              <w:rPr>
                <w:rFonts w:hint="eastAsia" w:ascii="宋体" w:hAnsi="宋体"/>
                <w:color w:val="auto"/>
                <w:szCs w:val="21"/>
              </w:rPr>
              <w:t>作</w:t>
            </w:r>
          </w:p>
        </w:tc>
        <w:tc>
          <w:tcPr>
            <w:tcW w:w="7560" w:type="dxa"/>
            <w:gridSpan w:val="3"/>
            <w:vAlign w:val="center"/>
          </w:tcPr>
          <w:p w14:paraId="70143CAB">
            <w:pPr>
              <w:jc w:val="center"/>
              <w:rPr>
                <w:rFonts w:ascii="宋体" w:hAnsi="宋体"/>
                <w:color w:val="auto"/>
                <w:szCs w:val="21"/>
              </w:rPr>
            </w:pPr>
          </w:p>
        </w:tc>
      </w:tr>
    </w:tbl>
    <w:p w14:paraId="6116CB74">
      <w:pPr>
        <w:ind w:left="630" w:hanging="630" w:hangingChars="300"/>
        <w:rPr>
          <w:color w:val="auto"/>
        </w:rPr>
        <w:sectPr>
          <w:footerReference r:id="rId41" w:type="default"/>
          <w:pgSz w:w="11906" w:h="16838"/>
          <w:pgMar w:top="1440" w:right="1800" w:bottom="1440" w:left="1800" w:header="851" w:footer="992" w:gutter="0"/>
          <w:pgNumType w:fmt="decimal"/>
          <w:cols w:space="425" w:num="1"/>
          <w:docGrid w:type="lines" w:linePitch="312" w:charSpace="0"/>
        </w:sectPr>
      </w:pPr>
      <w:r>
        <w:rPr>
          <w:rFonts w:hint="eastAsia" w:ascii="宋体" w:hAnsi="宋体"/>
          <w:color w:val="auto"/>
          <w:szCs w:val="21"/>
        </w:rPr>
        <w:t>备注：其他主</w:t>
      </w:r>
      <w:r>
        <w:rPr>
          <w:rFonts w:hint="eastAsia" w:ascii="宋体" w:hAnsi="宋体"/>
          <w:color w:val="auto"/>
        </w:rPr>
        <w:t>要项目管理人员指项目副经理（如有）、项目技术负责人、</w:t>
      </w:r>
      <w:r>
        <w:rPr>
          <w:rFonts w:ascii="宋体" w:hAnsi="宋体"/>
          <w:color w:val="auto"/>
        </w:rPr>
        <w:t>施工</w:t>
      </w:r>
      <w:r>
        <w:rPr>
          <w:rFonts w:hint="eastAsia" w:ascii="宋体" w:hAnsi="宋体"/>
          <w:color w:val="auto"/>
        </w:rPr>
        <w:t>管理</w:t>
      </w:r>
      <w:r>
        <w:rPr>
          <w:rFonts w:ascii="宋体" w:hAnsi="宋体"/>
          <w:color w:val="auto"/>
        </w:rPr>
        <w:t>、质量</w:t>
      </w:r>
      <w:r>
        <w:rPr>
          <w:rFonts w:hint="eastAsia" w:ascii="宋体" w:hAnsi="宋体"/>
          <w:color w:val="auto"/>
        </w:rPr>
        <w:t>管理</w:t>
      </w:r>
      <w:r>
        <w:rPr>
          <w:rFonts w:ascii="宋体" w:hAnsi="宋体"/>
          <w:color w:val="auto"/>
        </w:rPr>
        <w:t>、安全</w:t>
      </w:r>
      <w:r>
        <w:rPr>
          <w:rFonts w:hint="eastAsia" w:ascii="宋体" w:hAnsi="宋体"/>
          <w:color w:val="auto"/>
        </w:rPr>
        <w:t>管理及资格条件要求的其他岗位人员。其中项目副经理（如有）、项目技术负责人应附资格证书（如有）、注册证书（如有）、职称证书（如有）、学历证书（如有）</w:t>
      </w:r>
      <w:r>
        <w:rPr>
          <w:rFonts w:hint="eastAsia" w:ascii="宋体" w:hAnsi="宋体"/>
          <w:color w:val="auto"/>
          <w:lang w:eastAsia="zh-CN"/>
        </w:rPr>
        <w:t>，</w:t>
      </w:r>
      <w:r>
        <w:rPr>
          <w:rFonts w:hint="eastAsia" w:ascii="宋体" w:hAnsi="宋体"/>
          <w:color w:val="auto"/>
        </w:rPr>
        <w:t>主要业绩证明材料（如有）；安全管理人员应附有效的安全生产考核合格证书（C证）；</w:t>
      </w:r>
      <w:r>
        <w:rPr>
          <w:rFonts w:ascii="宋体" w:hAnsi="宋体"/>
          <w:color w:val="auto"/>
        </w:rPr>
        <w:t>施工</w:t>
      </w:r>
      <w:r>
        <w:rPr>
          <w:rFonts w:hint="eastAsia" w:ascii="宋体" w:hAnsi="宋体"/>
          <w:color w:val="auto"/>
        </w:rPr>
        <w:t>管理</w:t>
      </w:r>
      <w:r>
        <w:rPr>
          <w:rFonts w:ascii="宋体" w:hAnsi="宋体"/>
          <w:color w:val="auto"/>
        </w:rPr>
        <w:t>、质量</w:t>
      </w:r>
      <w:r>
        <w:rPr>
          <w:rFonts w:hint="eastAsia" w:ascii="宋体" w:hAnsi="宋体"/>
          <w:color w:val="auto"/>
        </w:rPr>
        <w:t>管理及资格条件要求的其他岗位人员应附岗位培训考核合格证书。</w:t>
      </w:r>
    </w:p>
    <w:p w14:paraId="5281B39B">
      <w:pPr>
        <w:bidi w:val="0"/>
        <w:rPr>
          <w:rFonts w:hint="eastAsia"/>
          <w:color w:val="auto"/>
        </w:rPr>
      </w:pPr>
      <w:bookmarkStart w:id="2018" w:name="_Toc122603084"/>
    </w:p>
    <w:p w14:paraId="1D08EDDB">
      <w:pPr>
        <w:bidi w:val="0"/>
        <w:rPr>
          <w:rFonts w:hint="eastAsia"/>
          <w:color w:val="auto"/>
        </w:rPr>
      </w:pPr>
    </w:p>
    <w:p w14:paraId="2081D22B">
      <w:pPr>
        <w:bidi w:val="0"/>
        <w:rPr>
          <w:rFonts w:hint="eastAsia"/>
          <w:color w:val="auto"/>
        </w:rPr>
      </w:pPr>
    </w:p>
    <w:p w14:paraId="6AD8B0F9">
      <w:pPr>
        <w:bidi w:val="0"/>
        <w:rPr>
          <w:rFonts w:hint="eastAsia"/>
          <w:color w:val="auto"/>
        </w:rPr>
      </w:pPr>
    </w:p>
    <w:p w14:paraId="6E3B9112">
      <w:pPr>
        <w:bidi w:val="0"/>
        <w:rPr>
          <w:rFonts w:hint="eastAsia"/>
          <w:color w:val="auto"/>
        </w:rPr>
      </w:pPr>
    </w:p>
    <w:p w14:paraId="6C83028E">
      <w:pPr>
        <w:bidi w:val="0"/>
        <w:rPr>
          <w:rFonts w:hint="eastAsia"/>
          <w:color w:val="auto"/>
        </w:rPr>
      </w:pPr>
    </w:p>
    <w:p w14:paraId="23E373AB">
      <w:pPr>
        <w:bidi w:val="0"/>
        <w:rPr>
          <w:rFonts w:hint="eastAsia"/>
          <w:color w:val="auto"/>
        </w:rPr>
      </w:pPr>
    </w:p>
    <w:p w14:paraId="05887F62">
      <w:pPr>
        <w:bidi w:val="0"/>
        <w:rPr>
          <w:rFonts w:hint="eastAsia"/>
          <w:color w:val="auto"/>
        </w:rPr>
      </w:pPr>
    </w:p>
    <w:p w14:paraId="676A3F93">
      <w:pPr>
        <w:bidi w:val="0"/>
        <w:rPr>
          <w:rFonts w:hint="eastAsia"/>
          <w:color w:val="auto"/>
        </w:rPr>
      </w:pPr>
    </w:p>
    <w:p w14:paraId="7BAAFAA5">
      <w:pPr>
        <w:bidi w:val="0"/>
        <w:rPr>
          <w:rFonts w:hint="eastAsia"/>
          <w:color w:val="auto"/>
        </w:rPr>
      </w:pPr>
    </w:p>
    <w:p w14:paraId="566B2B6E">
      <w:pPr>
        <w:bidi w:val="0"/>
        <w:rPr>
          <w:rFonts w:hint="eastAsia"/>
          <w:color w:val="auto"/>
        </w:rPr>
      </w:pPr>
    </w:p>
    <w:p w14:paraId="01F6A6F1">
      <w:pPr>
        <w:bidi w:val="0"/>
        <w:rPr>
          <w:rFonts w:hint="eastAsia"/>
          <w:color w:val="auto"/>
        </w:rPr>
      </w:pPr>
    </w:p>
    <w:p w14:paraId="1EA2C6CD">
      <w:pPr>
        <w:bidi w:val="0"/>
        <w:rPr>
          <w:rFonts w:hint="eastAsia"/>
          <w:color w:val="auto"/>
        </w:rPr>
      </w:pPr>
    </w:p>
    <w:p w14:paraId="482FF5AB">
      <w:pPr>
        <w:pStyle w:val="25"/>
        <w:jc w:val="center"/>
        <w:rPr>
          <w:rFonts w:ascii="黑体" w:hAnsi="宋体"/>
          <w:color w:val="auto"/>
          <w:szCs w:val="28"/>
        </w:rPr>
      </w:pPr>
      <w:bookmarkStart w:id="2019" w:name="_Toc8092"/>
      <w:r>
        <w:rPr>
          <w:rFonts w:hint="default"/>
          <w:color w:val="auto"/>
        </w:rPr>
        <w:t>七</w:t>
      </w:r>
      <w:r>
        <w:rPr>
          <w:rFonts w:hint="eastAsia"/>
          <w:color w:val="auto"/>
        </w:rPr>
        <w:t>、资格审查资料</w:t>
      </w:r>
      <w:bookmarkEnd w:id="2018"/>
      <w:bookmarkEnd w:id="2019"/>
    </w:p>
    <w:p w14:paraId="5A2D3AC0">
      <w:pPr>
        <w:rPr>
          <w:color w:val="auto"/>
        </w:rPr>
        <w:sectPr>
          <w:footerReference r:id="rId42" w:type="default"/>
          <w:pgSz w:w="11906" w:h="16838"/>
          <w:pgMar w:top="1440" w:right="1800" w:bottom="1440" w:left="1800" w:header="851" w:footer="992" w:gutter="0"/>
          <w:pgNumType w:fmt="decimal"/>
          <w:cols w:space="425" w:num="1"/>
          <w:docGrid w:type="lines" w:linePitch="312" w:charSpace="0"/>
        </w:sectPr>
      </w:pPr>
    </w:p>
    <w:p w14:paraId="090A0670">
      <w:pPr>
        <w:bidi w:val="0"/>
        <w:rPr>
          <w:rFonts w:hint="default"/>
          <w:color w:val="auto"/>
        </w:rPr>
      </w:pPr>
      <w:bookmarkStart w:id="2020" w:name="_Toc122603085"/>
    </w:p>
    <w:p w14:paraId="08BDC88E">
      <w:pPr>
        <w:bidi w:val="0"/>
        <w:rPr>
          <w:rFonts w:hint="default"/>
          <w:color w:val="auto"/>
        </w:rPr>
      </w:pPr>
    </w:p>
    <w:p w14:paraId="372FF57B">
      <w:pPr>
        <w:bidi w:val="0"/>
        <w:rPr>
          <w:rFonts w:hint="default"/>
          <w:color w:val="auto"/>
        </w:rPr>
      </w:pPr>
    </w:p>
    <w:p w14:paraId="679FC33B">
      <w:pPr>
        <w:bidi w:val="0"/>
        <w:rPr>
          <w:rFonts w:hint="default"/>
          <w:color w:val="auto"/>
        </w:rPr>
      </w:pPr>
    </w:p>
    <w:p w14:paraId="7D4BE14E">
      <w:pPr>
        <w:bidi w:val="0"/>
        <w:rPr>
          <w:rFonts w:hint="default"/>
          <w:color w:val="auto"/>
        </w:rPr>
      </w:pPr>
    </w:p>
    <w:p w14:paraId="23E9F1E9">
      <w:pPr>
        <w:bidi w:val="0"/>
        <w:rPr>
          <w:rFonts w:hint="default"/>
          <w:color w:val="auto"/>
        </w:rPr>
      </w:pPr>
    </w:p>
    <w:p w14:paraId="31417D87">
      <w:pPr>
        <w:bidi w:val="0"/>
        <w:rPr>
          <w:rFonts w:hint="default"/>
          <w:color w:val="auto"/>
        </w:rPr>
      </w:pPr>
    </w:p>
    <w:p w14:paraId="06C5A890">
      <w:pPr>
        <w:bidi w:val="0"/>
        <w:rPr>
          <w:rFonts w:hint="default"/>
          <w:color w:val="auto"/>
        </w:rPr>
      </w:pPr>
    </w:p>
    <w:p w14:paraId="72537726">
      <w:pPr>
        <w:bidi w:val="0"/>
        <w:rPr>
          <w:rFonts w:hint="default"/>
          <w:color w:val="auto"/>
        </w:rPr>
      </w:pPr>
    </w:p>
    <w:p w14:paraId="4E4567B6">
      <w:pPr>
        <w:bidi w:val="0"/>
        <w:rPr>
          <w:rFonts w:hint="default"/>
          <w:color w:val="auto"/>
        </w:rPr>
      </w:pPr>
    </w:p>
    <w:p w14:paraId="486DD3E9">
      <w:pPr>
        <w:bidi w:val="0"/>
        <w:rPr>
          <w:rFonts w:hint="default"/>
          <w:color w:val="auto"/>
        </w:rPr>
      </w:pPr>
    </w:p>
    <w:p w14:paraId="76EA6E9D">
      <w:pPr>
        <w:bidi w:val="0"/>
        <w:rPr>
          <w:rFonts w:hint="default"/>
          <w:color w:val="auto"/>
        </w:rPr>
      </w:pPr>
    </w:p>
    <w:p w14:paraId="7B9B3EDB">
      <w:pPr>
        <w:bidi w:val="0"/>
        <w:rPr>
          <w:rFonts w:hint="default"/>
          <w:color w:val="auto"/>
        </w:rPr>
      </w:pPr>
    </w:p>
    <w:p w14:paraId="3F69E562">
      <w:pPr>
        <w:bidi w:val="0"/>
        <w:rPr>
          <w:rFonts w:hint="default"/>
          <w:color w:val="auto"/>
        </w:rPr>
      </w:pPr>
    </w:p>
    <w:p w14:paraId="541B9EAD">
      <w:pPr>
        <w:bidi w:val="0"/>
        <w:rPr>
          <w:rFonts w:hint="default"/>
          <w:color w:val="auto"/>
        </w:rPr>
      </w:pPr>
    </w:p>
    <w:p w14:paraId="7BC39815">
      <w:pPr>
        <w:pStyle w:val="27"/>
        <w:jc w:val="center"/>
        <w:rPr>
          <w:color w:val="auto"/>
        </w:rPr>
        <w:sectPr>
          <w:footerReference r:id="rId43" w:type="default"/>
          <w:pgSz w:w="11906" w:h="16838"/>
          <w:pgMar w:top="1440" w:right="1800" w:bottom="1440" w:left="1800" w:header="851" w:footer="992" w:gutter="0"/>
          <w:pgNumType w:fmt="decimal"/>
          <w:cols w:space="425" w:num="1"/>
          <w:docGrid w:type="lines" w:linePitch="312" w:charSpace="0"/>
        </w:sectPr>
      </w:pPr>
      <w:bookmarkStart w:id="2021" w:name="_Toc6081"/>
      <w:r>
        <w:rPr>
          <w:rFonts w:hint="eastAsia"/>
          <w:color w:val="auto"/>
          <w:szCs w:val="24"/>
          <w:lang w:eastAsia="zh-CN"/>
        </w:rPr>
        <w:t>（</w:t>
      </w:r>
      <w:r>
        <w:rPr>
          <w:rFonts w:hint="default"/>
          <w:color w:val="auto"/>
          <w:szCs w:val="24"/>
        </w:rPr>
        <w:t>一</w:t>
      </w:r>
      <w:r>
        <w:rPr>
          <w:rFonts w:hint="eastAsia"/>
          <w:color w:val="auto"/>
          <w:szCs w:val="24"/>
          <w:lang w:eastAsia="zh-CN"/>
        </w:rPr>
        <w:t>）</w:t>
      </w:r>
      <w:r>
        <w:rPr>
          <w:rFonts w:hint="eastAsia"/>
          <w:color w:val="auto"/>
          <w:szCs w:val="24"/>
        </w:rPr>
        <w:t>投标人基本情况</w:t>
      </w:r>
      <w:bookmarkEnd w:id="2020"/>
      <w:bookmarkEnd w:id="2021"/>
    </w:p>
    <w:p w14:paraId="0321ED33">
      <w:pPr>
        <w:pStyle w:val="27"/>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color w:val="auto"/>
          <w:szCs w:val="24"/>
        </w:rPr>
      </w:pPr>
      <w:bookmarkStart w:id="2022" w:name="_Toc122603086"/>
      <w:r>
        <w:rPr>
          <w:rFonts w:hint="eastAsia"/>
          <w:color w:val="auto"/>
          <w:szCs w:val="24"/>
          <w:lang w:val="en-US" w:eastAsia="zh-CN"/>
        </w:rPr>
        <w:t xml:space="preserve">1-1 </w:t>
      </w:r>
      <w:r>
        <w:rPr>
          <w:rFonts w:hint="eastAsia"/>
          <w:color w:val="auto"/>
          <w:szCs w:val="24"/>
        </w:rPr>
        <w:t>投标人基本情况表</w:t>
      </w:r>
      <w:bookmarkEnd w:id="2022"/>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6"/>
        <w:gridCol w:w="872"/>
        <w:gridCol w:w="1181"/>
        <w:gridCol w:w="1182"/>
        <w:gridCol w:w="30"/>
        <w:gridCol w:w="1202"/>
        <w:gridCol w:w="325"/>
        <w:gridCol w:w="875"/>
        <w:gridCol w:w="1259"/>
      </w:tblGrid>
      <w:tr w14:paraId="4FADD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30A8A524">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投标人名称</w:t>
            </w:r>
          </w:p>
        </w:tc>
        <w:tc>
          <w:tcPr>
            <w:tcW w:w="6930" w:type="dxa"/>
            <w:gridSpan w:val="8"/>
            <w:vAlign w:val="center"/>
          </w:tcPr>
          <w:p w14:paraId="5D4F4762">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6BCFC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2928B09C">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注册地址</w:t>
            </w:r>
          </w:p>
        </w:tc>
        <w:tc>
          <w:tcPr>
            <w:tcW w:w="3267" w:type="dxa"/>
            <w:gridSpan w:val="4"/>
            <w:vAlign w:val="center"/>
          </w:tcPr>
          <w:p w14:paraId="3FF5571F">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1203" w:type="dxa"/>
            <w:vAlign w:val="center"/>
          </w:tcPr>
          <w:p w14:paraId="7FC5E176">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邮政编码</w:t>
            </w:r>
          </w:p>
        </w:tc>
        <w:tc>
          <w:tcPr>
            <w:tcW w:w="2460" w:type="dxa"/>
            <w:gridSpan w:val="3"/>
            <w:vAlign w:val="center"/>
          </w:tcPr>
          <w:p w14:paraId="201F8168">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4C86E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Merge w:val="restart"/>
            <w:vAlign w:val="center"/>
          </w:tcPr>
          <w:p w14:paraId="2042B2AE">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联系方式</w:t>
            </w:r>
          </w:p>
        </w:tc>
        <w:tc>
          <w:tcPr>
            <w:tcW w:w="872" w:type="dxa"/>
            <w:vAlign w:val="center"/>
          </w:tcPr>
          <w:p w14:paraId="4EDCDAA1">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联系人</w:t>
            </w:r>
          </w:p>
        </w:tc>
        <w:tc>
          <w:tcPr>
            <w:tcW w:w="2395" w:type="dxa"/>
            <w:gridSpan w:val="3"/>
            <w:vAlign w:val="center"/>
          </w:tcPr>
          <w:p w14:paraId="287F085C">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1203" w:type="dxa"/>
            <w:vAlign w:val="center"/>
          </w:tcPr>
          <w:p w14:paraId="6F964493">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电  话</w:t>
            </w:r>
          </w:p>
        </w:tc>
        <w:tc>
          <w:tcPr>
            <w:tcW w:w="2460" w:type="dxa"/>
            <w:gridSpan w:val="3"/>
            <w:vAlign w:val="center"/>
          </w:tcPr>
          <w:p w14:paraId="49038DE6">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7E68C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Merge w:val="continue"/>
            <w:vAlign w:val="center"/>
          </w:tcPr>
          <w:p w14:paraId="67547543">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872" w:type="dxa"/>
            <w:vAlign w:val="center"/>
          </w:tcPr>
          <w:p w14:paraId="541C1E59">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传  真</w:t>
            </w:r>
          </w:p>
        </w:tc>
        <w:tc>
          <w:tcPr>
            <w:tcW w:w="2395" w:type="dxa"/>
            <w:gridSpan w:val="3"/>
            <w:vAlign w:val="center"/>
          </w:tcPr>
          <w:p w14:paraId="3938CACC">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1203" w:type="dxa"/>
            <w:vAlign w:val="center"/>
          </w:tcPr>
          <w:p w14:paraId="664028A5">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网  址</w:t>
            </w:r>
          </w:p>
        </w:tc>
        <w:tc>
          <w:tcPr>
            <w:tcW w:w="2460" w:type="dxa"/>
            <w:gridSpan w:val="3"/>
            <w:vAlign w:val="center"/>
          </w:tcPr>
          <w:p w14:paraId="6577A65D">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6B70D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7FC86DFE">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组织结构</w:t>
            </w:r>
          </w:p>
        </w:tc>
        <w:tc>
          <w:tcPr>
            <w:tcW w:w="6930" w:type="dxa"/>
            <w:gridSpan w:val="8"/>
            <w:vAlign w:val="center"/>
          </w:tcPr>
          <w:p w14:paraId="625B4710">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67E09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725AD631">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法定代表人</w:t>
            </w:r>
          </w:p>
        </w:tc>
        <w:tc>
          <w:tcPr>
            <w:tcW w:w="872" w:type="dxa"/>
            <w:vAlign w:val="center"/>
          </w:tcPr>
          <w:p w14:paraId="1F279A80">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姓名</w:t>
            </w:r>
          </w:p>
        </w:tc>
        <w:tc>
          <w:tcPr>
            <w:tcW w:w="1182" w:type="dxa"/>
            <w:vAlign w:val="center"/>
          </w:tcPr>
          <w:p w14:paraId="35CCF028">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1183" w:type="dxa"/>
            <w:vAlign w:val="center"/>
          </w:tcPr>
          <w:p w14:paraId="620606E9">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技术职称</w:t>
            </w:r>
          </w:p>
        </w:tc>
        <w:tc>
          <w:tcPr>
            <w:tcW w:w="1558" w:type="dxa"/>
            <w:gridSpan w:val="3"/>
            <w:vAlign w:val="center"/>
          </w:tcPr>
          <w:p w14:paraId="20E2B05F">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875" w:type="dxa"/>
            <w:vAlign w:val="center"/>
          </w:tcPr>
          <w:p w14:paraId="02A43FE9">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电话</w:t>
            </w:r>
          </w:p>
        </w:tc>
        <w:tc>
          <w:tcPr>
            <w:tcW w:w="1260" w:type="dxa"/>
            <w:vAlign w:val="center"/>
          </w:tcPr>
          <w:p w14:paraId="11C68FF2">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0516E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341A1EEF">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技术负责人</w:t>
            </w:r>
          </w:p>
        </w:tc>
        <w:tc>
          <w:tcPr>
            <w:tcW w:w="872" w:type="dxa"/>
            <w:vAlign w:val="center"/>
          </w:tcPr>
          <w:p w14:paraId="0DC85CCA">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姓名</w:t>
            </w:r>
          </w:p>
        </w:tc>
        <w:tc>
          <w:tcPr>
            <w:tcW w:w="1182" w:type="dxa"/>
            <w:vAlign w:val="center"/>
          </w:tcPr>
          <w:p w14:paraId="6AAA75F0">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1183" w:type="dxa"/>
            <w:vAlign w:val="center"/>
          </w:tcPr>
          <w:p w14:paraId="5676CB83">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技术职称</w:t>
            </w:r>
          </w:p>
        </w:tc>
        <w:tc>
          <w:tcPr>
            <w:tcW w:w="1558" w:type="dxa"/>
            <w:gridSpan w:val="3"/>
            <w:vAlign w:val="center"/>
          </w:tcPr>
          <w:p w14:paraId="3ED93273">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875" w:type="dxa"/>
            <w:vAlign w:val="center"/>
          </w:tcPr>
          <w:p w14:paraId="288B8D7D">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电话</w:t>
            </w:r>
          </w:p>
        </w:tc>
        <w:tc>
          <w:tcPr>
            <w:tcW w:w="1260" w:type="dxa"/>
            <w:vAlign w:val="center"/>
          </w:tcPr>
          <w:p w14:paraId="3E1B7A34">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66560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71249D67">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成立时间</w:t>
            </w:r>
          </w:p>
        </w:tc>
        <w:tc>
          <w:tcPr>
            <w:tcW w:w="2054" w:type="dxa"/>
            <w:gridSpan w:val="2"/>
            <w:vAlign w:val="center"/>
          </w:tcPr>
          <w:p w14:paraId="55DF892A">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4876" w:type="dxa"/>
            <w:gridSpan w:val="6"/>
            <w:vAlign w:val="center"/>
          </w:tcPr>
          <w:p w14:paraId="39D6586E">
            <w:pPr>
              <w:keepNext w:val="0"/>
              <w:keepLines w:val="0"/>
              <w:suppressLineNumbers w:val="0"/>
              <w:spacing w:before="0" w:beforeAutospacing="0" w:after="0" w:afterAutospacing="0"/>
              <w:ind w:left="0" w:right="0"/>
              <w:rPr>
                <w:rFonts w:hint="default" w:ascii="宋体" w:hAnsi="宋体"/>
                <w:color w:val="auto"/>
                <w:szCs w:val="21"/>
              </w:rPr>
            </w:pPr>
            <w:r>
              <w:rPr>
                <w:rFonts w:hint="eastAsia" w:ascii="宋体" w:hAnsi="宋体"/>
                <w:color w:val="auto"/>
                <w:szCs w:val="21"/>
              </w:rPr>
              <w:t>员工总人数：</w:t>
            </w:r>
          </w:p>
        </w:tc>
      </w:tr>
      <w:tr w14:paraId="213FF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3C6547B5">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企业资质等级</w:t>
            </w:r>
          </w:p>
        </w:tc>
        <w:tc>
          <w:tcPr>
            <w:tcW w:w="2054" w:type="dxa"/>
            <w:gridSpan w:val="2"/>
            <w:vAlign w:val="center"/>
          </w:tcPr>
          <w:p w14:paraId="6E608489">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1183" w:type="dxa"/>
            <w:vMerge w:val="restart"/>
            <w:vAlign w:val="center"/>
          </w:tcPr>
          <w:p w14:paraId="1106CE49">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其中</w:t>
            </w:r>
          </w:p>
        </w:tc>
        <w:tc>
          <w:tcPr>
            <w:tcW w:w="1558" w:type="dxa"/>
            <w:gridSpan w:val="3"/>
            <w:vAlign w:val="center"/>
          </w:tcPr>
          <w:p w14:paraId="1A267B3E">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注册建造师</w:t>
            </w:r>
          </w:p>
        </w:tc>
        <w:tc>
          <w:tcPr>
            <w:tcW w:w="2135" w:type="dxa"/>
            <w:gridSpan w:val="2"/>
            <w:vAlign w:val="center"/>
          </w:tcPr>
          <w:p w14:paraId="59547764">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4ADF5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295BC4EE">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营业执照号</w:t>
            </w:r>
          </w:p>
        </w:tc>
        <w:tc>
          <w:tcPr>
            <w:tcW w:w="2054" w:type="dxa"/>
            <w:gridSpan w:val="2"/>
            <w:vAlign w:val="center"/>
          </w:tcPr>
          <w:p w14:paraId="460BF2F5">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1183" w:type="dxa"/>
            <w:vMerge w:val="continue"/>
            <w:vAlign w:val="center"/>
          </w:tcPr>
          <w:p w14:paraId="30E58DCD">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1558" w:type="dxa"/>
            <w:gridSpan w:val="3"/>
            <w:vAlign w:val="center"/>
          </w:tcPr>
          <w:p w14:paraId="3425BC55">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高级职称人员</w:t>
            </w:r>
          </w:p>
        </w:tc>
        <w:tc>
          <w:tcPr>
            <w:tcW w:w="2135" w:type="dxa"/>
            <w:gridSpan w:val="2"/>
            <w:vAlign w:val="center"/>
          </w:tcPr>
          <w:p w14:paraId="3954626A">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66393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189314CF">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注册资金</w:t>
            </w:r>
          </w:p>
        </w:tc>
        <w:tc>
          <w:tcPr>
            <w:tcW w:w="2054" w:type="dxa"/>
            <w:gridSpan w:val="2"/>
            <w:vAlign w:val="center"/>
          </w:tcPr>
          <w:p w14:paraId="54ED7FB6">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1183" w:type="dxa"/>
            <w:vMerge w:val="continue"/>
            <w:vAlign w:val="center"/>
          </w:tcPr>
          <w:p w14:paraId="2B12A014">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1558" w:type="dxa"/>
            <w:gridSpan w:val="3"/>
            <w:vAlign w:val="center"/>
          </w:tcPr>
          <w:p w14:paraId="65A9A05D">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中级职称人员</w:t>
            </w:r>
          </w:p>
        </w:tc>
        <w:tc>
          <w:tcPr>
            <w:tcW w:w="2135" w:type="dxa"/>
            <w:gridSpan w:val="2"/>
            <w:vAlign w:val="center"/>
          </w:tcPr>
          <w:p w14:paraId="26C54F9F">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57444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4C7650BB">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基本账户</w:t>
            </w:r>
          </w:p>
          <w:p w14:paraId="0AC4F816">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开户银行</w:t>
            </w:r>
          </w:p>
        </w:tc>
        <w:tc>
          <w:tcPr>
            <w:tcW w:w="2054" w:type="dxa"/>
            <w:gridSpan w:val="2"/>
            <w:vAlign w:val="center"/>
          </w:tcPr>
          <w:p w14:paraId="4BA75DD5">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1183" w:type="dxa"/>
            <w:vMerge w:val="continue"/>
            <w:vAlign w:val="center"/>
          </w:tcPr>
          <w:p w14:paraId="1E89A9FD">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1558" w:type="dxa"/>
            <w:gridSpan w:val="3"/>
            <w:vAlign w:val="center"/>
          </w:tcPr>
          <w:p w14:paraId="4ABB0D4D">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初级职称人员</w:t>
            </w:r>
          </w:p>
        </w:tc>
        <w:tc>
          <w:tcPr>
            <w:tcW w:w="2135" w:type="dxa"/>
            <w:gridSpan w:val="2"/>
            <w:vAlign w:val="center"/>
          </w:tcPr>
          <w:p w14:paraId="6090AB70">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37E80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1302EEB6">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基本账户</w:t>
            </w:r>
          </w:p>
          <w:p w14:paraId="773EF883">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账号</w:t>
            </w:r>
          </w:p>
        </w:tc>
        <w:tc>
          <w:tcPr>
            <w:tcW w:w="2054" w:type="dxa"/>
            <w:gridSpan w:val="2"/>
            <w:vAlign w:val="center"/>
          </w:tcPr>
          <w:p w14:paraId="4BE281B9">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1183" w:type="dxa"/>
            <w:vMerge w:val="continue"/>
            <w:vAlign w:val="center"/>
          </w:tcPr>
          <w:p w14:paraId="1AFF6138">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1558" w:type="dxa"/>
            <w:gridSpan w:val="3"/>
            <w:vAlign w:val="center"/>
          </w:tcPr>
          <w:p w14:paraId="2B8773F6">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技  工</w:t>
            </w:r>
          </w:p>
        </w:tc>
        <w:tc>
          <w:tcPr>
            <w:tcW w:w="2135" w:type="dxa"/>
            <w:gridSpan w:val="2"/>
            <w:vAlign w:val="center"/>
          </w:tcPr>
          <w:p w14:paraId="3AAFB7B4">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78176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0" w:hRule="atLeast"/>
          <w:jc w:val="center"/>
        </w:trPr>
        <w:tc>
          <w:tcPr>
            <w:tcW w:w="1598" w:type="dxa"/>
            <w:vAlign w:val="center"/>
          </w:tcPr>
          <w:p w14:paraId="171675B7">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经营范围</w:t>
            </w:r>
          </w:p>
        </w:tc>
        <w:tc>
          <w:tcPr>
            <w:tcW w:w="6930" w:type="dxa"/>
            <w:gridSpan w:val="8"/>
            <w:vAlign w:val="center"/>
          </w:tcPr>
          <w:p w14:paraId="6DA1E63F">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32B2D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5A7AE103">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备注</w:t>
            </w:r>
          </w:p>
        </w:tc>
        <w:tc>
          <w:tcPr>
            <w:tcW w:w="6930" w:type="dxa"/>
            <w:gridSpan w:val="8"/>
            <w:vAlign w:val="center"/>
          </w:tcPr>
          <w:p w14:paraId="02064537">
            <w:pPr>
              <w:keepNext w:val="0"/>
              <w:keepLines w:val="0"/>
              <w:suppressLineNumbers w:val="0"/>
              <w:spacing w:before="0" w:beforeAutospacing="0" w:after="0" w:afterAutospacing="0"/>
              <w:ind w:left="0" w:right="0"/>
              <w:jc w:val="center"/>
              <w:rPr>
                <w:rFonts w:hint="default" w:ascii="宋体" w:hAnsi="宋体"/>
                <w:color w:val="auto"/>
                <w:szCs w:val="21"/>
              </w:rPr>
            </w:pPr>
          </w:p>
        </w:tc>
      </w:tr>
    </w:tbl>
    <w:p w14:paraId="1A7A1128">
      <w:pPr>
        <w:spacing w:line="400" w:lineRule="atLeast"/>
        <w:ind w:left="840" w:hanging="840" w:hangingChars="400"/>
        <w:jc w:val="left"/>
        <w:rPr>
          <w:rFonts w:ascii="宋体" w:hAnsi="宋体"/>
          <w:color w:val="auto"/>
          <w:szCs w:val="21"/>
        </w:rPr>
      </w:pPr>
      <w:r>
        <w:rPr>
          <w:rFonts w:hint="eastAsia" w:ascii="宋体" w:hAnsi="宋体"/>
          <w:color w:val="auto"/>
          <w:szCs w:val="21"/>
        </w:rPr>
        <w:t>备注：1</w:t>
      </w:r>
      <w:r>
        <w:rPr>
          <w:rFonts w:ascii="宋体" w:hAnsi="宋体"/>
          <w:color w:val="auto"/>
          <w:szCs w:val="21"/>
        </w:rPr>
        <w:t>.</w:t>
      </w:r>
      <w:r>
        <w:rPr>
          <w:rFonts w:hint="eastAsia" w:ascii="宋体" w:hAnsi="宋体"/>
          <w:color w:val="auto"/>
          <w:szCs w:val="21"/>
        </w:rPr>
        <w:t>本表后应附营业执照、企业资质证书、安全生产许可证、</w:t>
      </w:r>
      <w:r>
        <w:rPr>
          <w:rFonts w:ascii="宋体" w:hAnsi="宋体"/>
          <w:color w:val="auto"/>
          <w:szCs w:val="21"/>
        </w:rPr>
        <w:t>基本账户开户许可证</w:t>
      </w:r>
      <w:r>
        <w:rPr>
          <w:rFonts w:hint="eastAsia" w:ascii="宋体" w:hAnsi="宋体"/>
          <w:color w:val="auto"/>
        </w:rPr>
        <w:t>（基本存款账户信息）</w:t>
      </w:r>
      <w:r>
        <w:rPr>
          <w:rFonts w:hint="eastAsia" w:ascii="宋体" w:hAnsi="宋体"/>
          <w:color w:val="auto"/>
          <w:szCs w:val="21"/>
        </w:rPr>
        <w:t>、</w:t>
      </w:r>
      <w:r>
        <w:rPr>
          <w:rFonts w:ascii="宋体" w:hAnsi="宋体"/>
          <w:color w:val="auto"/>
          <w:szCs w:val="21"/>
        </w:rPr>
        <w:t>质量</w:t>
      </w:r>
      <w:r>
        <w:rPr>
          <w:rFonts w:hint="eastAsia" w:ascii="宋体" w:hAnsi="宋体"/>
          <w:color w:val="auto"/>
          <w:szCs w:val="21"/>
        </w:rPr>
        <w:t>、</w:t>
      </w:r>
      <w:r>
        <w:rPr>
          <w:rFonts w:ascii="宋体" w:hAnsi="宋体"/>
          <w:color w:val="auto"/>
          <w:szCs w:val="21"/>
        </w:rPr>
        <w:t>环境</w:t>
      </w:r>
      <w:r>
        <w:rPr>
          <w:rFonts w:hint="eastAsia" w:ascii="宋体" w:hAnsi="宋体"/>
          <w:color w:val="auto"/>
          <w:szCs w:val="21"/>
        </w:rPr>
        <w:t>、职业健康安全管理体系认证证书等材料</w:t>
      </w:r>
      <w:bookmarkStart w:id="2023" w:name="_Hlk144986927"/>
      <w:r>
        <w:rPr>
          <w:rFonts w:hint="eastAsia" w:ascii="宋体" w:hAnsi="宋体"/>
          <w:color w:val="auto"/>
          <w:szCs w:val="21"/>
        </w:rPr>
        <w:t>。</w:t>
      </w:r>
    </w:p>
    <w:p w14:paraId="7D3A8B9B">
      <w:pPr>
        <w:spacing w:line="400" w:lineRule="atLeast"/>
        <w:ind w:firstLine="630" w:firstLineChars="300"/>
        <w:jc w:val="left"/>
        <w:rPr>
          <w:rFonts w:hint="eastAsia" w:ascii="宋体" w:hAnsi="宋体"/>
          <w:color w:val="auto"/>
          <w:szCs w:val="21"/>
        </w:rPr>
        <w:sectPr>
          <w:footerReference r:id="rId44" w:type="default"/>
          <w:pgSz w:w="11906" w:h="16838"/>
          <w:pgMar w:top="1440" w:right="1800" w:bottom="1440" w:left="1800" w:header="851" w:footer="992" w:gutter="0"/>
          <w:pgNumType w:fmt="decimal"/>
          <w:cols w:space="425" w:num="1"/>
          <w:docGrid w:type="lines" w:linePitch="312" w:charSpace="0"/>
        </w:sectPr>
      </w:pPr>
      <w:r>
        <w:rPr>
          <w:rFonts w:hint="eastAsia" w:ascii="宋体" w:hAnsi="宋体"/>
          <w:color w:val="auto"/>
          <w:szCs w:val="21"/>
        </w:rPr>
        <w:t>2.联合体投标的，联合体各成员应分别填写。</w:t>
      </w:r>
      <w:bookmarkEnd w:id="2023"/>
    </w:p>
    <w:p w14:paraId="35937D17">
      <w:pPr>
        <w:pStyle w:val="27"/>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bCs/>
          <w:color w:val="auto"/>
          <w:kern w:val="20"/>
          <w:sz w:val="28"/>
          <w:szCs w:val="28"/>
        </w:rPr>
      </w:pPr>
      <w:bookmarkStart w:id="2024" w:name="_Toc122603087"/>
      <w:bookmarkStart w:id="2025" w:name="_Toc467365520"/>
      <w:r>
        <w:rPr>
          <w:rFonts w:hint="default"/>
          <w:color w:val="auto"/>
          <w:szCs w:val="24"/>
        </w:rPr>
        <w:t>1-2</w:t>
      </w:r>
      <w:r>
        <w:rPr>
          <w:rFonts w:hint="eastAsia"/>
          <w:color w:val="auto"/>
          <w:szCs w:val="24"/>
          <w:lang w:val="en-US" w:eastAsia="zh-CN"/>
        </w:rPr>
        <w:t xml:space="preserve"> </w:t>
      </w:r>
      <w:r>
        <w:rPr>
          <w:rFonts w:hint="eastAsia"/>
          <w:color w:val="auto"/>
          <w:szCs w:val="24"/>
        </w:rPr>
        <w:t>关联单位情况说明</w:t>
      </w:r>
      <w:bookmarkEnd w:id="2024"/>
      <w:bookmarkEnd w:id="2025"/>
    </w:p>
    <w:tbl>
      <w:tblPr>
        <w:tblStyle w:val="18"/>
        <w:tblW w:w="8683" w:type="dxa"/>
        <w:jc w:val="center"/>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Layout w:type="fixed"/>
        <w:tblCellMar>
          <w:top w:w="0" w:type="dxa"/>
          <w:left w:w="0" w:type="dxa"/>
          <w:bottom w:w="0" w:type="dxa"/>
          <w:right w:w="0" w:type="dxa"/>
        </w:tblCellMar>
      </w:tblPr>
      <w:tblGrid>
        <w:gridCol w:w="8683"/>
      </w:tblGrid>
      <w:tr w14:paraId="19F61550">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0" w:type="dxa"/>
            <w:bottom w:w="0" w:type="dxa"/>
            <w:right w:w="0" w:type="dxa"/>
          </w:tblCellMar>
        </w:tblPrEx>
        <w:trPr>
          <w:trHeight w:val="8400" w:hRule="atLeast"/>
          <w:jc w:val="center"/>
        </w:trPr>
        <w:tc>
          <w:tcPr>
            <w:tcW w:w="8683" w:type="dxa"/>
          </w:tcPr>
          <w:p w14:paraId="1AB50379">
            <w:pPr>
              <w:tabs>
                <w:tab w:val="left" w:pos="0"/>
              </w:tabs>
              <w:snapToGrid w:val="0"/>
              <w:spacing w:line="360" w:lineRule="exact"/>
              <w:rPr>
                <w:color w:val="auto"/>
                <w:szCs w:val="21"/>
              </w:rPr>
            </w:pPr>
          </w:p>
          <w:p w14:paraId="65A587BF">
            <w:pPr>
              <w:ind w:left="945" w:hanging="945" w:hangingChars="450"/>
              <w:rPr>
                <w:rFonts w:ascii="宋体" w:hAnsi="宋体"/>
                <w:color w:val="auto"/>
              </w:rPr>
            </w:pPr>
            <w:r>
              <w:rPr>
                <w:rFonts w:ascii="宋体" w:hAnsi="宋体"/>
                <w:color w:val="auto"/>
              </w:rPr>
              <w:t>单位负责人</w:t>
            </w:r>
            <w:r>
              <w:rPr>
                <w:rFonts w:hint="eastAsia" w:ascii="宋体" w:hAnsi="宋体"/>
                <w:color w:val="auto"/>
              </w:rPr>
              <w:t>与本</w:t>
            </w:r>
            <w:r>
              <w:rPr>
                <w:rFonts w:ascii="宋体" w:hAnsi="宋体"/>
                <w:color w:val="auto"/>
              </w:rPr>
              <w:t>单位负责人为同一人</w:t>
            </w:r>
            <w:r>
              <w:rPr>
                <w:rFonts w:hint="eastAsia" w:ascii="宋体" w:hAnsi="宋体"/>
                <w:color w:val="auto"/>
              </w:rPr>
              <w:t>的单位：</w:t>
            </w:r>
          </w:p>
          <w:p w14:paraId="0615B230">
            <w:pPr>
              <w:ind w:left="945" w:hanging="945" w:hangingChars="450"/>
              <w:rPr>
                <w:rFonts w:ascii="宋体" w:hAnsi="宋体"/>
                <w:color w:val="auto"/>
              </w:rPr>
            </w:pPr>
          </w:p>
          <w:p w14:paraId="5633EC92">
            <w:pPr>
              <w:ind w:left="945" w:hanging="945" w:hangingChars="450"/>
              <w:rPr>
                <w:rFonts w:ascii="宋体" w:hAnsi="宋体"/>
                <w:color w:val="auto"/>
              </w:rPr>
            </w:pPr>
          </w:p>
          <w:p w14:paraId="54CCF128">
            <w:pPr>
              <w:ind w:left="945" w:hanging="945" w:hangingChars="450"/>
              <w:rPr>
                <w:rFonts w:ascii="宋体" w:hAnsi="宋体"/>
                <w:color w:val="auto"/>
              </w:rPr>
            </w:pPr>
          </w:p>
          <w:p w14:paraId="67921C8F">
            <w:pPr>
              <w:ind w:left="945" w:hanging="945" w:hangingChars="450"/>
              <w:rPr>
                <w:rFonts w:ascii="宋体" w:hAnsi="宋体"/>
                <w:color w:val="auto"/>
              </w:rPr>
            </w:pPr>
          </w:p>
          <w:p w14:paraId="228FBE69">
            <w:pPr>
              <w:ind w:left="945" w:hanging="945" w:hangingChars="450"/>
              <w:rPr>
                <w:rFonts w:ascii="宋体" w:hAnsi="宋体"/>
                <w:color w:val="auto"/>
              </w:rPr>
            </w:pPr>
          </w:p>
          <w:p w14:paraId="6699E902">
            <w:pPr>
              <w:ind w:left="945" w:hanging="945" w:hangingChars="450"/>
              <w:rPr>
                <w:rFonts w:ascii="宋体" w:hAnsi="宋体"/>
                <w:color w:val="auto"/>
              </w:rPr>
            </w:pPr>
          </w:p>
          <w:p w14:paraId="4E4E1B72">
            <w:pPr>
              <w:ind w:left="945" w:hanging="945" w:hangingChars="450"/>
              <w:rPr>
                <w:rFonts w:ascii="宋体" w:hAnsi="宋体"/>
                <w:color w:val="auto"/>
              </w:rPr>
            </w:pPr>
            <w:r>
              <w:rPr>
                <w:rFonts w:hint="eastAsia" w:ascii="宋体" w:hAnsi="宋体"/>
                <w:color w:val="auto"/>
              </w:rPr>
              <w:t>与本</w:t>
            </w:r>
            <w:r>
              <w:rPr>
                <w:rFonts w:ascii="宋体" w:hAnsi="宋体"/>
                <w:color w:val="auto"/>
              </w:rPr>
              <w:t>单位存在控股</w:t>
            </w:r>
            <w:r>
              <w:rPr>
                <w:rFonts w:hint="eastAsia" w:ascii="宋体" w:hAnsi="宋体"/>
                <w:color w:val="auto"/>
              </w:rPr>
              <w:t>与被控股</w:t>
            </w:r>
            <w:r>
              <w:rPr>
                <w:rFonts w:ascii="宋体" w:hAnsi="宋体"/>
                <w:color w:val="auto"/>
              </w:rPr>
              <w:t>关系的单位</w:t>
            </w:r>
            <w:r>
              <w:rPr>
                <w:rFonts w:hint="eastAsia" w:ascii="宋体" w:hAnsi="宋体"/>
                <w:color w:val="auto"/>
              </w:rPr>
              <w:t>：</w:t>
            </w:r>
          </w:p>
          <w:p w14:paraId="144EAE4D">
            <w:pPr>
              <w:ind w:left="945" w:hanging="945" w:hangingChars="450"/>
              <w:rPr>
                <w:rFonts w:ascii="宋体" w:hAnsi="宋体"/>
                <w:color w:val="auto"/>
              </w:rPr>
            </w:pPr>
          </w:p>
          <w:p w14:paraId="2B5F047E">
            <w:pPr>
              <w:ind w:left="945" w:hanging="945" w:hangingChars="450"/>
              <w:rPr>
                <w:rFonts w:ascii="宋体" w:hAnsi="宋体"/>
                <w:color w:val="auto"/>
              </w:rPr>
            </w:pPr>
          </w:p>
          <w:p w14:paraId="597E8548">
            <w:pPr>
              <w:ind w:left="945" w:hanging="945" w:hangingChars="450"/>
              <w:rPr>
                <w:rFonts w:ascii="宋体" w:hAnsi="宋体"/>
                <w:color w:val="auto"/>
              </w:rPr>
            </w:pPr>
          </w:p>
          <w:p w14:paraId="6DE5B9E3">
            <w:pPr>
              <w:ind w:left="945" w:hanging="945" w:hangingChars="450"/>
              <w:rPr>
                <w:rFonts w:ascii="宋体" w:hAnsi="宋体"/>
                <w:color w:val="auto"/>
              </w:rPr>
            </w:pPr>
          </w:p>
          <w:p w14:paraId="4727FCE5">
            <w:pPr>
              <w:ind w:left="945" w:hanging="945" w:hangingChars="450"/>
              <w:rPr>
                <w:rFonts w:ascii="宋体" w:hAnsi="宋体"/>
                <w:color w:val="auto"/>
              </w:rPr>
            </w:pPr>
          </w:p>
          <w:p w14:paraId="7404CE81">
            <w:pPr>
              <w:ind w:left="945" w:hanging="945" w:hangingChars="450"/>
              <w:rPr>
                <w:rFonts w:ascii="宋体" w:hAnsi="宋体"/>
                <w:color w:val="auto"/>
              </w:rPr>
            </w:pPr>
          </w:p>
          <w:p w14:paraId="63FC8C83">
            <w:pPr>
              <w:ind w:left="945" w:hanging="945" w:hangingChars="450"/>
              <w:rPr>
                <w:rFonts w:ascii="宋体" w:hAnsi="宋体"/>
                <w:color w:val="auto"/>
              </w:rPr>
            </w:pPr>
          </w:p>
          <w:p w14:paraId="589E7FA5">
            <w:pPr>
              <w:ind w:left="945" w:hanging="945" w:hangingChars="450"/>
              <w:rPr>
                <w:rFonts w:ascii="宋体" w:hAnsi="宋体"/>
                <w:color w:val="auto"/>
              </w:rPr>
            </w:pPr>
          </w:p>
          <w:p w14:paraId="670D9C6B">
            <w:pPr>
              <w:ind w:left="945" w:hanging="945" w:hangingChars="450"/>
              <w:rPr>
                <w:rFonts w:ascii="宋体" w:hAnsi="宋体"/>
                <w:color w:val="auto"/>
              </w:rPr>
            </w:pPr>
          </w:p>
          <w:p w14:paraId="5A87403D">
            <w:pPr>
              <w:ind w:left="945" w:hanging="945" w:hangingChars="450"/>
              <w:rPr>
                <w:rFonts w:ascii="宋体" w:hAnsi="宋体"/>
                <w:color w:val="auto"/>
              </w:rPr>
            </w:pPr>
            <w:r>
              <w:rPr>
                <w:rFonts w:hint="eastAsia" w:ascii="宋体" w:hAnsi="宋体"/>
                <w:color w:val="auto"/>
              </w:rPr>
              <w:t>与本</w:t>
            </w:r>
            <w:r>
              <w:rPr>
                <w:rFonts w:ascii="宋体" w:hAnsi="宋体"/>
                <w:color w:val="auto"/>
              </w:rPr>
              <w:t>单位存在管理</w:t>
            </w:r>
            <w:r>
              <w:rPr>
                <w:rFonts w:hint="eastAsia" w:ascii="宋体" w:hAnsi="宋体"/>
                <w:color w:val="auto"/>
              </w:rPr>
              <w:t>与被管理</w:t>
            </w:r>
            <w:r>
              <w:rPr>
                <w:rFonts w:ascii="宋体" w:hAnsi="宋体"/>
                <w:color w:val="auto"/>
              </w:rPr>
              <w:t>关系的单位</w:t>
            </w:r>
            <w:r>
              <w:rPr>
                <w:rFonts w:hint="eastAsia" w:ascii="宋体" w:hAnsi="宋体"/>
                <w:color w:val="auto"/>
              </w:rPr>
              <w:t>：</w:t>
            </w:r>
          </w:p>
          <w:p w14:paraId="2AAA8173">
            <w:pPr>
              <w:snapToGrid w:val="0"/>
              <w:spacing w:line="360" w:lineRule="exact"/>
              <w:rPr>
                <w:color w:val="auto"/>
                <w:szCs w:val="21"/>
              </w:rPr>
            </w:pPr>
          </w:p>
          <w:p w14:paraId="7C2C9C9E">
            <w:pPr>
              <w:snapToGrid w:val="0"/>
              <w:spacing w:line="360" w:lineRule="exact"/>
              <w:rPr>
                <w:color w:val="auto"/>
                <w:szCs w:val="21"/>
              </w:rPr>
            </w:pPr>
          </w:p>
          <w:p w14:paraId="4F20DF60">
            <w:pPr>
              <w:tabs>
                <w:tab w:val="left" w:pos="6039"/>
              </w:tabs>
              <w:snapToGrid w:val="0"/>
              <w:spacing w:line="360" w:lineRule="exact"/>
              <w:rPr>
                <w:color w:val="auto"/>
                <w:szCs w:val="21"/>
              </w:rPr>
            </w:pPr>
          </w:p>
        </w:tc>
      </w:tr>
    </w:tbl>
    <w:p w14:paraId="409B139B">
      <w:pPr>
        <w:ind w:left="945" w:hanging="945" w:hangingChars="450"/>
        <w:rPr>
          <w:rFonts w:ascii="宋体" w:hAnsi="宋体"/>
          <w:color w:val="auto"/>
        </w:rPr>
      </w:pPr>
      <w:r>
        <w:rPr>
          <w:rFonts w:hint="eastAsia" w:ascii="宋体" w:hAnsi="宋体"/>
          <w:color w:val="auto"/>
        </w:rPr>
        <w:t>备注：1</w:t>
      </w:r>
      <w:r>
        <w:rPr>
          <w:rFonts w:ascii="宋体" w:hAnsi="宋体"/>
          <w:color w:val="auto"/>
        </w:rPr>
        <w:t>.</w:t>
      </w:r>
      <w:r>
        <w:rPr>
          <w:rFonts w:hint="eastAsia" w:ascii="宋体" w:hAnsi="宋体"/>
          <w:color w:val="auto"/>
        </w:rPr>
        <w:t>投标人应当如实披露相关关联单位的情况。没有相关关联单位的明确填“无”。</w:t>
      </w:r>
    </w:p>
    <w:p w14:paraId="64438EE5">
      <w:pPr>
        <w:ind w:firstLine="630" w:firstLineChars="300"/>
        <w:rPr>
          <w:color w:val="auto"/>
        </w:rPr>
        <w:sectPr>
          <w:footerReference r:id="rId45" w:type="default"/>
          <w:pgSz w:w="11906" w:h="16838"/>
          <w:pgMar w:top="1440" w:right="1800" w:bottom="1440" w:left="1800" w:header="851" w:footer="992" w:gutter="0"/>
          <w:pgNumType w:fmt="decimal"/>
          <w:cols w:space="425" w:num="1"/>
          <w:docGrid w:type="lines" w:linePitch="312" w:charSpace="0"/>
        </w:sectPr>
      </w:pPr>
      <w:r>
        <w:rPr>
          <w:rFonts w:ascii="宋体" w:hAnsi="宋体"/>
          <w:color w:val="auto"/>
        </w:rPr>
        <w:t>2</w:t>
      </w:r>
      <w:r>
        <w:rPr>
          <w:rFonts w:hint="eastAsia" w:ascii="宋体" w:hAnsi="宋体"/>
          <w:color w:val="auto"/>
        </w:rPr>
        <w:t>.联合体投标的，联合体各成员应分别填写。</w:t>
      </w:r>
    </w:p>
    <w:p w14:paraId="6246ACFF">
      <w:pPr>
        <w:pStyle w:val="27"/>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ascii="宋体" w:hAnsi="宋体"/>
          <w:color w:val="auto"/>
        </w:rPr>
      </w:pPr>
      <w:bookmarkStart w:id="2026" w:name="_Toc467365521"/>
      <w:bookmarkStart w:id="2027" w:name="_Toc122603088"/>
      <w:r>
        <w:rPr>
          <w:rFonts w:hint="eastAsia"/>
          <w:color w:val="auto"/>
          <w:szCs w:val="24"/>
        </w:rPr>
        <w:t>1-3</w:t>
      </w:r>
      <w:r>
        <w:rPr>
          <w:rFonts w:hint="eastAsia"/>
          <w:color w:val="auto"/>
          <w:szCs w:val="24"/>
          <w:lang w:val="en-US" w:eastAsia="zh-CN"/>
        </w:rPr>
        <w:t xml:space="preserve"> </w:t>
      </w:r>
      <w:r>
        <w:rPr>
          <w:rFonts w:hint="eastAsia"/>
          <w:color w:val="auto"/>
          <w:szCs w:val="24"/>
        </w:rPr>
        <w:t>企业在辽基本信息登记</w:t>
      </w:r>
      <w:bookmarkEnd w:id="2026"/>
      <w:r>
        <w:rPr>
          <w:rFonts w:hint="eastAsia"/>
          <w:color w:val="auto"/>
          <w:szCs w:val="24"/>
        </w:rPr>
        <w:t>单</w:t>
      </w:r>
      <w:bookmarkEnd w:id="2027"/>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8"/>
        <w:gridCol w:w="2122"/>
        <w:gridCol w:w="2139"/>
        <w:gridCol w:w="2123"/>
      </w:tblGrid>
      <w:tr w14:paraId="6534C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2279" w:type="dxa"/>
            <w:vAlign w:val="center"/>
          </w:tcPr>
          <w:p w14:paraId="3182A94F">
            <w:pPr>
              <w:keepNext w:val="0"/>
              <w:keepLines w:val="0"/>
              <w:suppressLineNumbers w:val="0"/>
              <w:spacing w:before="0" w:beforeAutospacing="0" w:after="0" w:afterAutospacing="0"/>
              <w:ind w:left="0" w:right="0"/>
              <w:jc w:val="center"/>
              <w:rPr>
                <w:rFonts w:hint="default" w:ascii="宋体" w:hAnsi="宋体"/>
                <w:color w:val="auto"/>
              </w:rPr>
            </w:pPr>
            <w:r>
              <w:rPr>
                <w:rFonts w:hint="eastAsia" w:ascii="宋体" w:hAnsi="宋体"/>
                <w:color w:val="auto"/>
              </w:rPr>
              <w:t>单位名称</w:t>
            </w:r>
          </w:p>
        </w:tc>
        <w:tc>
          <w:tcPr>
            <w:tcW w:w="6839" w:type="dxa"/>
            <w:gridSpan w:val="3"/>
            <w:vAlign w:val="center"/>
          </w:tcPr>
          <w:p w14:paraId="0863898E">
            <w:pPr>
              <w:keepNext w:val="0"/>
              <w:keepLines w:val="0"/>
              <w:suppressLineNumbers w:val="0"/>
              <w:spacing w:before="0" w:beforeAutospacing="0" w:after="0" w:afterAutospacing="0"/>
              <w:ind w:left="0" w:right="0"/>
              <w:jc w:val="center"/>
              <w:rPr>
                <w:rFonts w:hint="default" w:ascii="宋体" w:hAnsi="宋体"/>
                <w:color w:val="auto"/>
              </w:rPr>
            </w:pPr>
          </w:p>
        </w:tc>
      </w:tr>
      <w:tr w14:paraId="063BB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279" w:type="dxa"/>
            <w:vAlign w:val="center"/>
          </w:tcPr>
          <w:p w14:paraId="65F3BD57">
            <w:pPr>
              <w:keepNext w:val="0"/>
              <w:keepLines w:val="0"/>
              <w:suppressLineNumbers w:val="0"/>
              <w:spacing w:before="0" w:beforeAutospacing="0" w:after="0" w:afterAutospacing="0"/>
              <w:ind w:left="0" w:right="0"/>
              <w:jc w:val="center"/>
              <w:rPr>
                <w:rFonts w:hint="default" w:ascii="宋体" w:hAnsi="宋体"/>
                <w:color w:val="auto"/>
              </w:rPr>
            </w:pPr>
            <w:r>
              <w:rPr>
                <w:rFonts w:hint="eastAsia" w:ascii="宋体" w:hAnsi="宋体"/>
                <w:color w:val="auto"/>
              </w:rPr>
              <w:t>法定代表人姓名</w:t>
            </w:r>
          </w:p>
        </w:tc>
        <w:tc>
          <w:tcPr>
            <w:tcW w:w="2279" w:type="dxa"/>
            <w:vAlign w:val="center"/>
          </w:tcPr>
          <w:p w14:paraId="246573DC">
            <w:pPr>
              <w:keepNext w:val="0"/>
              <w:keepLines w:val="0"/>
              <w:suppressLineNumbers w:val="0"/>
              <w:spacing w:before="0" w:beforeAutospacing="0" w:after="0" w:afterAutospacing="0"/>
              <w:ind w:left="0" w:right="0"/>
              <w:jc w:val="center"/>
              <w:rPr>
                <w:rFonts w:hint="default" w:ascii="宋体" w:hAnsi="宋体"/>
                <w:color w:val="auto"/>
              </w:rPr>
            </w:pPr>
          </w:p>
        </w:tc>
        <w:tc>
          <w:tcPr>
            <w:tcW w:w="2280" w:type="dxa"/>
            <w:vAlign w:val="center"/>
          </w:tcPr>
          <w:p w14:paraId="70803E35">
            <w:pPr>
              <w:keepNext w:val="0"/>
              <w:keepLines w:val="0"/>
              <w:suppressLineNumbers w:val="0"/>
              <w:spacing w:before="0" w:beforeAutospacing="0" w:after="0" w:afterAutospacing="0"/>
              <w:ind w:left="0" w:right="0"/>
              <w:jc w:val="center"/>
              <w:rPr>
                <w:rFonts w:hint="default" w:ascii="宋体" w:hAnsi="宋体"/>
                <w:color w:val="auto"/>
              </w:rPr>
            </w:pPr>
            <w:r>
              <w:rPr>
                <w:rFonts w:hint="eastAsia" w:ascii="宋体" w:hAnsi="宋体"/>
                <w:color w:val="auto"/>
              </w:rPr>
              <w:t>公司所在地</w:t>
            </w:r>
          </w:p>
        </w:tc>
        <w:tc>
          <w:tcPr>
            <w:tcW w:w="2280" w:type="dxa"/>
            <w:vAlign w:val="center"/>
          </w:tcPr>
          <w:p w14:paraId="608DFDE8">
            <w:pPr>
              <w:keepNext w:val="0"/>
              <w:keepLines w:val="0"/>
              <w:suppressLineNumbers w:val="0"/>
              <w:spacing w:before="0" w:beforeAutospacing="0" w:after="0" w:afterAutospacing="0"/>
              <w:ind w:left="0" w:right="0"/>
              <w:jc w:val="center"/>
              <w:rPr>
                <w:rFonts w:hint="default" w:ascii="宋体" w:hAnsi="宋体"/>
                <w:color w:val="auto"/>
              </w:rPr>
            </w:pPr>
          </w:p>
        </w:tc>
      </w:tr>
      <w:tr w14:paraId="7673A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2279" w:type="dxa"/>
            <w:vAlign w:val="center"/>
          </w:tcPr>
          <w:p w14:paraId="3506FAB7">
            <w:pPr>
              <w:keepNext w:val="0"/>
              <w:keepLines w:val="0"/>
              <w:suppressLineNumbers w:val="0"/>
              <w:spacing w:before="0" w:beforeAutospacing="0" w:after="0" w:afterAutospacing="0"/>
              <w:ind w:left="0" w:right="0"/>
              <w:jc w:val="center"/>
              <w:rPr>
                <w:rFonts w:hint="default" w:ascii="宋体" w:hAnsi="宋体"/>
                <w:color w:val="auto"/>
              </w:rPr>
            </w:pPr>
            <w:r>
              <w:rPr>
                <w:rFonts w:hint="eastAsia" w:ascii="宋体" w:hAnsi="宋体"/>
                <w:color w:val="auto"/>
              </w:rPr>
              <w:t>安全生产许可证号</w:t>
            </w:r>
          </w:p>
        </w:tc>
        <w:tc>
          <w:tcPr>
            <w:tcW w:w="6839" w:type="dxa"/>
            <w:gridSpan w:val="3"/>
            <w:vAlign w:val="center"/>
          </w:tcPr>
          <w:p w14:paraId="18944FDF">
            <w:pPr>
              <w:keepNext w:val="0"/>
              <w:keepLines w:val="0"/>
              <w:suppressLineNumbers w:val="0"/>
              <w:spacing w:before="0" w:beforeAutospacing="0" w:after="0" w:afterAutospacing="0"/>
              <w:ind w:left="0" w:right="0"/>
              <w:jc w:val="center"/>
              <w:rPr>
                <w:rFonts w:hint="default" w:ascii="宋体" w:hAnsi="宋体"/>
                <w:color w:val="auto"/>
              </w:rPr>
            </w:pPr>
          </w:p>
        </w:tc>
      </w:tr>
      <w:tr w14:paraId="5B9F4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2279" w:type="dxa"/>
            <w:vAlign w:val="center"/>
          </w:tcPr>
          <w:p w14:paraId="51860E8C">
            <w:pPr>
              <w:keepNext w:val="0"/>
              <w:keepLines w:val="0"/>
              <w:suppressLineNumbers w:val="0"/>
              <w:spacing w:before="0" w:beforeAutospacing="0" w:after="0" w:afterAutospacing="0"/>
              <w:ind w:left="0" w:right="0"/>
              <w:jc w:val="center"/>
              <w:rPr>
                <w:rFonts w:hint="default" w:ascii="宋体" w:hAnsi="宋体"/>
                <w:color w:val="auto"/>
              </w:rPr>
            </w:pPr>
            <w:r>
              <w:rPr>
                <w:rFonts w:hint="eastAsia" w:ascii="宋体" w:hAnsi="宋体"/>
                <w:color w:val="auto"/>
              </w:rPr>
              <w:t>资质证书号</w:t>
            </w:r>
          </w:p>
        </w:tc>
        <w:tc>
          <w:tcPr>
            <w:tcW w:w="6839" w:type="dxa"/>
            <w:gridSpan w:val="3"/>
            <w:vAlign w:val="center"/>
          </w:tcPr>
          <w:p w14:paraId="510FCDF3">
            <w:pPr>
              <w:keepNext w:val="0"/>
              <w:keepLines w:val="0"/>
              <w:suppressLineNumbers w:val="0"/>
              <w:spacing w:before="0" w:beforeAutospacing="0" w:after="0" w:afterAutospacing="0"/>
              <w:ind w:left="0" w:right="0"/>
              <w:jc w:val="center"/>
              <w:rPr>
                <w:rFonts w:hint="default" w:ascii="宋体" w:hAnsi="宋体"/>
                <w:color w:val="auto"/>
              </w:rPr>
            </w:pPr>
            <w:r>
              <w:rPr>
                <w:rFonts w:hint="eastAsia" w:ascii="宋体" w:hAnsi="宋体"/>
                <w:color w:val="auto"/>
              </w:rPr>
              <w:t>资质类别及等级</w:t>
            </w:r>
          </w:p>
        </w:tc>
      </w:tr>
      <w:tr w14:paraId="0BCE4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2279" w:type="dxa"/>
            <w:vAlign w:val="center"/>
          </w:tcPr>
          <w:p w14:paraId="592C4AD1">
            <w:pPr>
              <w:keepNext w:val="0"/>
              <w:keepLines w:val="0"/>
              <w:suppressLineNumbers w:val="0"/>
              <w:spacing w:before="0" w:beforeAutospacing="0" w:after="0" w:afterAutospacing="0"/>
              <w:ind w:left="0" w:right="0"/>
              <w:jc w:val="center"/>
              <w:rPr>
                <w:rFonts w:hint="default" w:ascii="宋体" w:hAnsi="宋体"/>
                <w:color w:val="auto"/>
              </w:rPr>
            </w:pPr>
            <w:r>
              <w:rPr>
                <w:rFonts w:hint="eastAsia" w:ascii="宋体" w:hAnsi="宋体"/>
                <w:color w:val="auto"/>
              </w:rPr>
              <w:t>…</w:t>
            </w:r>
          </w:p>
        </w:tc>
        <w:tc>
          <w:tcPr>
            <w:tcW w:w="6839" w:type="dxa"/>
            <w:gridSpan w:val="3"/>
            <w:vAlign w:val="center"/>
          </w:tcPr>
          <w:p w14:paraId="6A07BAF2">
            <w:pPr>
              <w:keepNext w:val="0"/>
              <w:keepLines w:val="0"/>
              <w:suppressLineNumbers w:val="0"/>
              <w:spacing w:before="0" w:beforeAutospacing="0" w:after="0" w:afterAutospacing="0"/>
              <w:ind w:left="0" w:right="0"/>
              <w:jc w:val="center"/>
              <w:rPr>
                <w:rFonts w:hint="default" w:ascii="宋体" w:hAnsi="宋体"/>
                <w:color w:val="auto"/>
              </w:rPr>
            </w:pPr>
          </w:p>
        </w:tc>
      </w:tr>
      <w:tr w14:paraId="5DD0A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2279" w:type="dxa"/>
            <w:vAlign w:val="center"/>
          </w:tcPr>
          <w:p w14:paraId="57EDDE7B">
            <w:pPr>
              <w:keepNext w:val="0"/>
              <w:keepLines w:val="0"/>
              <w:suppressLineNumbers w:val="0"/>
              <w:spacing w:before="0" w:beforeAutospacing="0" w:after="0" w:afterAutospacing="0"/>
              <w:ind w:left="0" w:right="0"/>
              <w:jc w:val="center"/>
              <w:rPr>
                <w:rFonts w:hint="default" w:ascii="宋体" w:hAnsi="宋体"/>
                <w:color w:val="auto"/>
              </w:rPr>
            </w:pPr>
            <w:r>
              <w:rPr>
                <w:rFonts w:hint="eastAsia" w:ascii="宋体" w:hAnsi="宋体"/>
                <w:color w:val="auto"/>
              </w:rPr>
              <w:t>…</w:t>
            </w:r>
          </w:p>
        </w:tc>
        <w:tc>
          <w:tcPr>
            <w:tcW w:w="6839" w:type="dxa"/>
            <w:gridSpan w:val="3"/>
            <w:vAlign w:val="center"/>
          </w:tcPr>
          <w:p w14:paraId="6B20206B">
            <w:pPr>
              <w:keepNext w:val="0"/>
              <w:keepLines w:val="0"/>
              <w:suppressLineNumbers w:val="0"/>
              <w:spacing w:before="0" w:beforeAutospacing="0" w:after="0" w:afterAutospacing="0"/>
              <w:ind w:left="0" w:right="0"/>
              <w:jc w:val="center"/>
              <w:rPr>
                <w:rFonts w:hint="default" w:ascii="宋体" w:hAnsi="宋体"/>
                <w:color w:val="auto"/>
              </w:rPr>
            </w:pPr>
          </w:p>
        </w:tc>
      </w:tr>
      <w:tr w14:paraId="7134E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2279" w:type="dxa"/>
            <w:vAlign w:val="center"/>
          </w:tcPr>
          <w:p w14:paraId="79D7828E">
            <w:pPr>
              <w:keepNext w:val="0"/>
              <w:keepLines w:val="0"/>
              <w:suppressLineNumbers w:val="0"/>
              <w:spacing w:before="0" w:beforeAutospacing="0" w:after="0" w:afterAutospacing="0"/>
              <w:ind w:left="0" w:right="0"/>
              <w:jc w:val="center"/>
              <w:rPr>
                <w:rFonts w:hint="default" w:ascii="宋体" w:hAnsi="宋体"/>
                <w:color w:val="auto"/>
              </w:rPr>
            </w:pPr>
            <w:r>
              <w:rPr>
                <w:rFonts w:hint="eastAsia" w:ascii="宋体" w:hAnsi="宋体"/>
                <w:color w:val="auto"/>
              </w:rPr>
              <w:t>…</w:t>
            </w:r>
          </w:p>
        </w:tc>
        <w:tc>
          <w:tcPr>
            <w:tcW w:w="6839" w:type="dxa"/>
            <w:gridSpan w:val="3"/>
            <w:vAlign w:val="center"/>
          </w:tcPr>
          <w:p w14:paraId="6FDC3850">
            <w:pPr>
              <w:keepNext w:val="0"/>
              <w:keepLines w:val="0"/>
              <w:suppressLineNumbers w:val="0"/>
              <w:spacing w:before="0" w:beforeAutospacing="0" w:after="0" w:afterAutospacing="0"/>
              <w:ind w:left="0" w:right="0"/>
              <w:jc w:val="center"/>
              <w:rPr>
                <w:rFonts w:hint="default" w:ascii="宋体" w:hAnsi="宋体"/>
                <w:color w:val="auto"/>
              </w:rPr>
            </w:pPr>
          </w:p>
        </w:tc>
      </w:tr>
      <w:tr w14:paraId="1C220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2279" w:type="dxa"/>
            <w:vAlign w:val="center"/>
          </w:tcPr>
          <w:p w14:paraId="2AD61B42">
            <w:pPr>
              <w:keepNext w:val="0"/>
              <w:keepLines w:val="0"/>
              <w:suppressLineNumbers w:val="0"/>
              <w:spacing w:before="0" w:beforeAutospacing="0" w:after="0" w:afterAutospacing="0"/>
              <w:ind w:left="0" w:right="0"/>
              <w:jc w:val="center"/>
              <w:rPr>
                <w:rFonts w:hint="default" w:ascii="宋体" w:hAnsi="宋体"/>
                <w:color w:val="auto"/>
              </w:rPr>
            </w:pPr>
            <w:r>
              <w:rPr>
                <w:rFonts w:hint="eastAsia" w:ascii="宋体" w:hAnsi="宋体"/>
                <w:color w:val="auto"/>
              </w:rPr>
              <w:t>企业归属地</w:t>
            </w:r>
          </w:p>
        </w:tc>
        <w:tc>
          <w:tcPr>
            <w:tcW w:w="6839" w:type="dxa"/>
            <w:gridSpan w:val="3"/>
            <w:vAlign w:val="center"/>
          </w:tcPr>
          <w:p w14:paraId="0D40A488">
            <w:pPr>
              <w:keepNext w:val="0"/>
              <w:keepLines w:val="0"/>
              <w:suppressLineNumbers w:val="0"/>
              <w:spacing w:before="0" w:beforeAutospacing="0" w:after="0" w:afterAutospacing="0"/>
              <w:ind w:left="0" w:right="0"/>
              <w:jc w:val="center"/>
              <w:rPr>
                <w:rFonts w:hint="default" w:ascii="宋体" w:hAnsi="宋体"/>
                <w:color w:val="auto"/>
              </w:rPr>
            </w:pPr>
            <w:r>
              <w:rPr>
                <w:rFonts w:hint="eastAsia" w:ascii="宋体" w:hAnsi="宋体"/>
                <w:color w:val="auto"/>
              </w:rPr>
              <w:t xml:space="preserve">□省内企业 </w:t>
            </w:r>
            <w:r>
              <w:rPr>
                <w:rFonts w:hint="default" w:ascii="宋体" w:hAnsi="宋体"/>
                <w:color w:val="auto"/>
              </w:rPr>
              <w:t xml:space="preserve">       </w:t>
            </w:r>
            <w:r>
              <w:rPr>
                <w:rFonts w:hint="eastAsia" w:ascii="宋体" w:hAnsi="宋体"/>
                <w:color w:val="auto"/>
              </w:rPr>
              <w:t>□省外企业</w:t>
            </w:r>
          </w:p>
        </w:tc>
      </w:tr>
      <w:tr w14:paraId="1B4AA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2279" w:type="dxa"/>
            <w:vAlign w:val="center"/>
          </w:tcPr>
          <w:p w14:paraId="53D1C4D2">
            <w:pPr>
              <w:keepNext w:val="0"/>
              <w:keepLines w:val="0"/>
              <w:suppressLineNumbers w:val="0"/>
              <w:spacing w:before="0" w:beforeAutospacing="0" w:after="0" w:afterAutospacing="0"/>
              <w:ind w:left="0" w:right="0"/>
              <w:jc w:val="center"/>
              <w:rPr>
                <w:rFonts w:hint="default" w:ascii="宋体" w:hAnsi="宋体"/>
                <w:color w:val="auto"/>
              </w:rPr>
            </w:pPr>
            <w:r>
              <w:rPr>
                <w:rFonts w:hint="eastAsia" w:ascii="宋体" w:hAnsi="宋体"/>
                <w:color w:val="auto"/>
              </w:rPr>
              <w:t>在辽负责人姓名</w:t>
            </w:r>
          </w:p>
        </w:tc>
        <w:tc>
          <w:tcPr>
            <w:tcW w:w="2279" w:type="dxa"/>
            <w:vAlign w:val="center"/>
          </w:tcPr>
          <w:p w14:paraId="309DFE68">
            <w:pPr>
              <w:keepNext w:val="0"/>
              <w:keepLines w:val="0"/>
              <w:suppressLineNumbers w:val="0"/>
              <w:spacing w:before="0" w:beforeAutospacing="0" w:after="0" w:afterAutospacing="0"/>
              <w:ind w:left="0" w:right="0"/>
              <w:jc w:val="center"/>
              <w:rPr>
                <w:rFonts w:hint="default" w:ascii="宋体" w:hAnsi="宋体"/>
                <w:color w:val="auto"/>
              </w:rPr>
            </w:pPr>
          </w:p>
        </w:tc>
        <w:tc>
          <w:tcPr>
            <w:tcW w:w="2280" w:type="dxa"/>
            <w:vAlign w:val="center"/>
          </w:tcPr>
          <w:p w14:paraId="1A7710EB">
            <w:pPr>
              <w:keepNext w:val="0"/>
              <w:keepLines w:val="0"/>
              <w:suppressLineNumbers w:val="0"/>
              <w:spacing w:before="0" w:beforeAutospacing="0" w:after="0" w:afterAutospacing="0"/>
              <w:ind w:left="0" w:right="0"/>
              <w:jc w:val="center"/>
              <w:rPr>
                <w:rFonts w:hint="default" w:ascii="宋体" w:hAnsi="宋体"/>
                <w:color w:val="auto"/>
              </w:rPr>
            </w:pPr>
            <w:r>
              <w:rPr>
                <w:rFonts w:hint="eastAsia" w:ascii="宋体" w:hAnsi="宋体"/>
                <w:color w:val="auto"/>
              </w:rPr>
              <w:t>电话</w:t>
            </w:r>
          </w:p>
        </w:tc>
        <w:tc>
          <w:tcPr>
            <w:tcW w:w="2280" w:type="dxa"/>
            <w:vAlign w:val="center"/>
          </w:tcPr>
          <w:p w14:paraId="47F2E325">
            <w:pPr>
              <w:keepNext w:val="0"/>
              <w:keepLines w:val="0"/>
              <w:suppressLineNumbers w:val="0"/>
              <w:spacing w:before="0" w:beforeAutospacing="0" w:after="0" w:afterAutospacing="0"/>
              <w:ind w:left="0" w:right="0"/>
              <w:jc w:val="center"/>
              <w:rPr>
                <w:rFonts w:hint="default" w:ascii="宋体" w:hAnsi="宋体"/>
                <w:color w:val="auto"/>
              </w:rPr>
            </w:pPr>
          </w:p>
        </w:tc>
      </w:tr>
      <w:tr w14:paraId="4D352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2279" w:type="dxa"/>
            <w:vAlign w:val="center"/>
          </w:tcPr>
          <w:p w14:paraId="67BCB78F">
            <w:pPr>
              <w:keepNext w:val="0"/>
              <w:keepLines w:val="0"/>
              <w:suppressLineNumbers w:val="0"/>
              <w:spacing w:before="0" w:beforeAutospacing="0" w:after="0" w:afterAutospacing="0"/>
              <w:ind w:left="0" w:right="0"/>
              <w:jc w:val="center"/>
              <w:rPr>
                <w:rFonts w:hint="default" w:ascii="宋体" w:hAnsi="宋体"/>
                <w:color w:val="auto"/>
              </w:rPr>
            </w:pPr>
            <w:r>
              <w:rPr>
                <w:rFonts w:hint="eastAsia" w:ascii="宋体" w:hAnsi="宋体"/>
                <w:color w:val="auto"/>
              </w:rPr>
              <w:t>入辽登记有效期</w:t>
            </w:r>
          </w:p>
        </w:tc>
        <w:tc>
          <w:tcPr>
            <w:tcW w:w="6839" w:type="dxa"/>
            <w:gridSpan w:val="3"/>
            <w:vAlign w:val="center"/>
          </w:tcPr>
          <w:p w14:paraId="38887FD8">
            <w:pPr>
              <w:keepNext w:val="0"/>
              <w:keepLines w:val="0"/>
              <w:suppressLineNumbers w:val="0"/>
              <w:spacing w:before="0" w:beforeAutospacing="0" w:after="0" w:afterAutospacing="0"/>
              <w:ind w:left="0" w:right="0"/>
              <w:jc w:val="center"/>
              <w:rPr>
                <w:rFonts w:hint="default" w:ascii="宋体" w:hAnsi="宋体"/>
                <w:color w:val="auto"/>
              </w:rPr>
            </w:pPr>
            <w:r>
              <w:rPr>
                <w:rFonts w:hint="eastAsia" w:ascii="宋体" w:hAnsi="宋体"/>
                <w:color w:val="auto"/>
              </w:rPr>
              <w:t xml:space="preserve">年  </w:t>
            </w:r>
            <w:r>
              <w:rPr>
                <w:rFonts w:hint="default" w:ascii="宋体" w:hAnsi="宋体"/>
                <w:color w:val="auto"/>
              </w:rPr>
              <w:t xml:space="preserve"> </w:t>
            </w:r>
            <w:r>
              <w:rPr>
                <w:rFonts w:hint="eastAsia" w:ascii="宋体" w:hAnsi="宋体"/>
                <w:color w:val="auto"/>
              </w:rPr>
              <w:t xml:space="preserve">月 </w:t>
            </w:r>
            <w:r>
              <w:rPr>
                <w:rFonts w:hint="default" w:ascii="宋体" w:hAnsi="宋体"/>
                <w:color w:val="auto"/>
              </w:rPr>
              <w:t xml:space="preserve">   </w:t>
            </w:r>
            <w:r>
              <w:rPr>
                <w:rFonts w:hint="eastAsia" w:ascii="宋体" w:hAnsi="宋体"/>
                <w:color w:val="auto"/>
              </w:rPr>
              <w:t>日</w:t>
            </w:r>
          </w:p>
        </w:tc>
      </w:tr>
    </w:tbl>
    <w:p w14:paraId="62A4D968">
      <w:pPr>
        <w:ind w:left="945" w:hanging="945" w:hangingChars="450"/>
        <w:rPr>
          <w:color w:val="auto"/>
        </w:rPr>
      </w:pPr>
      <w:r>
        <w:rPr>
          <w:rFonts w:hint="eastAsia"/>
          <w:color w:val="auto"/>
        </w:rPr>
        <w:t>备注：联合体投标的，联合体各成员均应附</w:t>
      </w:r>
      <w:r>
        <w:rPr>
          <w:rFonts w:hint="eastAsia"/>
          <w:color w:val="auto"/>
          <w:lang w:val="en-US" w:eastAsia="zh-CN"/>
        </w:rPr>
        <w:t>在辽基本信息登记单</w:t>
      </w:r>
      <w:r>
        <w:rPr>
          <w:rFonts w:hint="eastAsia"/>
          <w:color w:val="auto"/>
        </w:rPr>
        <w:t>。</w:t>
      </w:r>
    </w:p>
    <w:p w14:paraId="54FA678D">
      <w:pPr>
        <w:rPr>
          <w:color w:val="auto"/>
        </w:rPr>
        <w:sectPr>
          <w:footerReference r:id="rId46" w:type="default"/>
          <w:pgSz w:w="11906" w:h="16838"/>
          <w:pgMar w:top="1440" w:right="1800" w:bottom="1440" w:left="1800" w:header="851" w:footer="992" w:gutter="0"/>
          <w:pgNumType w:fmt="decimal"/>
          <w:cols w:space="425" w:num="1"/>
          <w:docGrid w:type="lines" w:linePitch="312" w:charSpace="0"/>
        </w:sectPr>
      </w:pPr>
    </w:p>
    <w:p w14:paraId="1A632B3F">
      <w:pPr>
        <w:pStyle w:val="27"/>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color w:val="auto"/>
          <w:szCs w:val="24"/>
        </w:rPr>
      </w:pPr>
      <w:r>
        <w:rPr>
          <w:rFonts w:hint="default"/>
          <w:color w:val="auto"/>
          <w:szCs w:val="24"/>
        </w:rPr>
        <w:t>1-4</w:t>
      </w:r>
      <w:r>
        <w:rPr>
          <w:rFonts w:hint="eastAsia"/>
          <w:color w:val="auto"/>
          <w:szCs w:val="24"/>
          <w:lang w:val="en-US" w:eastAsia="zh-CN"/>
        </w:rPr>
        <w:t xml:space="preserve"> </w:t>
      </w:r>
      <w:r>
        <w:rPr>
          <w:rFonts w:hint="eastAsia" w:ascii="宋体" w:hAnsi="宋体"/>
          <w:color w:val="auto"/>
          <w:szCs w:val="21"/>
        </w:rPr>
        <w:t>项目管理机构主要人员及简历表</w:t>
      </w:r>
    </w:p>
    <w:p w14:paraId="790E7A48">
      <w:pPr>
        <w:spacing w:line="400" w:lineRule="atLeast"/>
        <w:ind w:firstLine="630" w:firstLineChars="300"/>
        <w:rPr>
          <w:color w:val="auto"/>
          <w:szCs w:val="21"/>
        </w:rPr>
      </w:pPr>
    </w:p>
    <w:p w14:paraId="0A817885">
      <w:pPr>
        <w:spacing w:line="400" w:lineRule="atLeast"/>
        <w:ind w:firstLine="630" w:firstLineChars="300"/>
        <w:rPr>
          <w:rFonts w:ascii="宋体" w:hAnsi="宋体"/>
          <w:color w:val="auto"/>
          <w:szCs w:val="21"/>
        </w:rPr>
      </w:pPr>
      <w:r>
        <w:rPr>
          <w:rFonts w:hint="eastAsia" w:ascii="黑体" w:hAnsi="宋体" w:eastAsia="黑体"/>
          <w:color w:val="auto"/>
          <w:szCs w:val="21"/>
        </w:rPr>
        <w:t>说明：</w:t>
      </w:r>
      <w:r>
        <w:rPr>
          <w:rFonts w:hint="eastAsia" w:ascii="宋体" w:hAnsi="宋体"/>
          <w:color w:val="auto"/>
          <w:szCs w:val="21"/>
        </w:rPr>
        <w:t>“项目管理机构主要人员及简历表”同本章六、项目管理机构。</w:t>
      </w:r>
    </w:p>
    <w:p w14:paraId="141D192A">
      <w:pPr>
        <w:rPr>
          <w:color w:val="auto"/>
        </w:rPr>
        <w:sectPr>
          <w:pgSz w:w="11906" w:h="16838"/>
          <w:pgMar w:top="1440" w:right="1800" w:bottom="1440" w:left="1800" w:header="851" w:footer="992" w:gutter="0"/>
          <w:cols w:space="425" w:num="1"/>
          <w:docGrid w:type="lines" w:linePitch="312" w:charSpace="0"/>
        </w:sectPr>
      </w:pPr>
    </w:p>
    <w:p w14:paraId="5E69D5F3">
      <w:pPr>
        <w:pStyle w:val="27"/>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color w:val="auto"/>
          <w:sz w:val="28"/>
        </w:rPr>
      </w:pPr>
      <w:bookmarkStart w:id="2028" w:name="_Toc122603090"/>
      <w:r>
        <w:rPr>
          <w:rFonts w:hint="default"/>
          <w:color w:val="auto"/>
          <w:szCs w:val="24"/>
        </w:rPr>
        <w:t>1-5</w:t>
      </w:r>
      <w:r>
        <w:rPr>
          <w:rFonts w:hint="eastAsia"/>
          <w:color w:val="auto"/>
          <w:szCs w:val="24"/>
          <w:lang w:val="en-US" w:eastAsia="zh-CN"/>
        </w:rPr>
        <w:t xml:space="preserve"> </w:t>
      </w:r>
      <w:r>
        <w:rPr>
          <w:rFonts w:hint="eastAsia"/>
          <w:color w:val="auto"/>
          <w:szCs w:val="24"/>
        </w:rPr>
        <w:t>拟投入主要施工机械设备情况表</w:t>
      </w:r>
      <w:bookmarkEnd w:id="2028"/>
    </w:p>
    <w:tbl>
      <w:tblPr>
        <w:tblStyle w:val="1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217"/>
        <w:gridCol w:w="1217"/>
        <w:gridCol w:w="1217"/>
        <w:gridCol w:w="1217"/>
        <w:gridCol w:w="1217"/>
        <w:gridCol w:w="1218"/>
        <w:gridCol w:w="1219"/>
      </w:tblGrid>
      <w:tr w14:paraId="18E276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373D056F">
            <w:pPr>
              <w:jc w:val="center"/>
              <w:rPr>
                <w:rFonts w:ascii="宋体" w:hAnsi="宋体"/>
                <w:color w:val="auto"/>
                <w:szCs w:val="21"/>
              </w:rPr>
            </w:pPr>
            <w:r>
              <w:rPr>
                <w:rFonts w:hint="eastAsia" w:ascii="宋体" w:hAnsi="宋体"/>
                <w:color w:val="auto"/>
                <w:szCs w:val="21"/>
              </w:rPr>
              <w:t>机械设备名称</w:t>
            </w:r>
          </w:p>
        </w:tc>
        <w:tc>
          <w:tcPr>
            <w:tcW w:w="2031" w:type="dxa"/>
            <w:vAlign w:val="center"/>
          </w:tcPr>
          <w:p w14:paraId="2283BFF8">
            <w:pPr>
              <w:jc w:val="center"/>
              <w:rPr>
                <w:rFonts w:ascii="宋体" w:hAnsi="宋体"/>
                <w:color w:val="auto"/>
                <w:szCs w:val="21"/>
              </w:rPr>
            </w:pPr>
            <w:r>
              <w:rPr>
                <w:rFonts w:hint="eastAsia" w:ascii="宋体" w:hAnsi="宋体"/>
                <w:color w:val="auto"/>
                <w:szCs w:val="21"/>
              </w:rPr>
              <w:t>型号规格</w:t>
            </w:r>
          </w:p>
        </w:tc>
        <w:tc>
          <w:tcPr>
            <w:tcW w:w="2031" w:type="dxa"/>
            <w:vAlign w:val="center"/>
          </w:tcPr>
          <w:p w14:paraId="5011440F">
            <w:pPr>
              <w:jc w:val="center"/>
              <w:rPr>
                <w:rFonts w:ascii="宋体" w:hAnsi="宋体"/>
                <w:color w:val="auto"/>
                <w:szCs w:val="21"/>
              </w:rPr>
            </w:pPr>
            <w:r>
              <w:rPr>
                <w:rFonts w:hint="eastAsia" w:ascii="宋体" w:hAnsi="宋体"/>
                <w:color w:val="auto"/>
                <w:szCs w:val="21"/>
              </w:rPr>
              <w:t>数  量</w:t>
            </w:r>
          </w:p>
        </w:tc>
        <w:tc>
          <w:tcPr>
            <w:tcW w:w="2031" w:type="dxa"/>
            <w:vAlign w:val="center"/>
          </w:tcPr>
          <w:p w14:paraId="4D2A697C">
            <w:pPr>
              <w:jc w:val="center"/>
              <w:rPr>
                <w:rFonts w:ascii="宋体" w:hAnsi="宋体"/>
                <w:color w:val="auto"/>
                <w:szCs w:val="21"/>
              </w:rPr>
            </w:pPr>
            <w:r>
              <w:rPr>
                <w:rFonts w:hint="eastAsia" w:ascii="宋体" w:hAnsi="宋体"/>
                <w:color w:val="auto"/>
                <w:szCs w:val="21"/>
              </w:rPr>
              <w:t>目前状况</w:t>
            </w:r>
          </w:p>
        </w:tc>
        <w:tc>
          <w:tcPr>
            <w:tcW w:w="2031" w:type="dxa"/>
            <w:vAlign w:val="center"/>
          </w:tcPr>
          <w:p w14:paraId="6A363D1F">
            <w:pPr>
              <w:jc w:val="center"/>
              <w:rPr>
                <w:rFonts w:ascii="宋体" w:hAnsi="宋体"/>
                <w:color w:val="auto"/>
                <w:szCs w:val="21"/>
              </w:rPr>
            </w:pPr>
            <w:r>
              <w:rPr>
                <w:rFonts w:hint="eastAsia" w:ascii="宋体" w:hAnsi="宋体"/>
                <w:color w:val="auto"/>
                <w:szCs w:val="21"/>
              </w:rPr>
              <w:t>来  源</w:t>
            </w:r>
          </w:p>
        </w:tc>
        <w:tc>
          <w:tcPr>
            <w:tcW w:w="2031" w:type="dxa"/>
            <w:vAlign w:val="center"/>
          </w:tcPr>
          <w:p w14:paraId="6F244909">
            <w:pPr>
              <w:jc w:val="center"/>
              <w:rPr>
                <w:rFonts w:ascii="宋体" w:hAnsi="宋体"/>
                <w:color w:val="auto"/>
                <w:szCs w:val="21"/>
              </w:rPr>
            </w:pPr>
            <w:r>
              <w:rPr>
                <w:rFonts w:hint="eastAsia" w:ascii="宋体" w:hAnsi="宋体"/>
                <w:color w:val="auto"/>
                <w:szCs w:val="21"/>
              </w:rPr>
              <w:t>现停放地点</w:t>
            </w:r>
          </w:p>
        </w:tc>
        <w:tc>
          <w:tcPr>
            <w:tcW w:w="2032" w:type="dxa"/>
            <w:vAlign w:val="center"/>
          </w:tcPr>
          <w:p w14:paraId="11E9CC9C">
            <w:pPr>
              <w:jc w:val="center"/>
              <w:rPr>
                <w:rFonts w:ascii="宋体" w:hAnsi="宋体"/>
                <w:color w:val="auto"/>
                <w:szCs w:val="21"/>
              </w:rPr>
            </w:pPr>
            <w:r>
              <w:rPr>
                <w:rFonts w:hint="eastAsia" w:ascii="宋体" w:hAnsi="宋体"/>
                <w:color w:val="auto"/>
                <w:szCs w:val="21"/>
              </w:rPr>
              <w:t>备  注</w:t>
            </w:r>
          </w:p>
        </w:tc>
      </w:tr>
      <w:tr w14:paraId="1E7D47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7DCB0195">
            <w:pPr>
              <w:jc w:val="center"/>
              <w:rPr>
                <w:rFonts w:ascii="宋体" w:hAnsi="宋体"/>
                <w:color w:val="auto"/>
                <w:szCs w:val="21"/>
              </w:rPr>
            </w:pPr>
          </w:p>
        </w:tc>
        <w:tc>
          <w:tcPr>
            <w:tcW w:w="2031" w:type="dxa"/>
            <w:vAlign w:val="center"/>
          </w:tcPr>
          <w:p w14:paraId="297196E4">
            <w:pPr>
              <w:jc w:val="center"/>
              <w:rPr>
                <w:rFonts w:ascii="宋体" w:hAnsi="宋体"/>
                <w:color w:val="auto"/>
                <w:szCs w:val="21"/>
              </w:rPr>
            </w:pPr>
          </w:p>
        </w:tc>
        <w:tc>
          <w:tcPr>
            <w:tcW w:w="2031" w:type="dxa"/>
            <w:vAlign w:val="center"/>
          </w:tcPr>
          <w:p w14:paraId="3C2D8976">
            <w:pPr>
              <w:jc w:val="center"/>
              <w:rPr>
                <w:rFonts w:ascii="宋体" w:hAnsi="宋体"/>
                <w:color w:val="auto"/>
                <w:szCs w:val="21"/>
              </w:rPr>
            </w:pPr>
          </w:p>
        </w:tc>
        <w:tc>
          <w:tcPr>
            <w:tcW w:w="2031" w:type="dxa"/>
            <w:vAlign w:val="center"/>
          </w:tcPr>
          <w:p w14:paraId="2AF09FBD">
            <w:pPr>
              <w:jc w:val="center"/>
              <w:rPr>
                <w:rFonts w:ascii="宋体" w:hAnsi="宋体"/>
                <w:color w:val="auto"/>
                <w:szCs w:val="21"/>
              </w:rPr>
            </w:pPr>
          </w:p>
        </w:tc>
        <w:tc>
          <w:tcPr>
            <w:tcW w:w="2031" w:type="dxa"/>
            <w:vAlign w:val="center"/>
          </w:tcPr>
          <w:p w14:paraId="472FA7E2">
            <w:pPr>
              <w:jc w:val="center"/>
              <w:rPr>
                <w:rFonts w:ascii="宋体" w:hAnsi="宋体"/>
                <w:color w:val="auto"/>
                <w:szCs w:val="21"/>
              </w:rPr>
            </w:pPr>
          </w:p>
        </w:tc>
        <w:tc>
          <w:tcPr>
            <w:tcW w:w="2031" w:type="dxa"/>
            <w:vAlign w:val="center"/>
          </w:tcPr>
          <w:p w14:paraId="11D88B85">
            <w:pPr>
              <w:jc w:val="center"/>
              <w:rPr>
                <w:rFonts w:ascii="宋体" w:hAnsi="宋体"/>
                <w:color w:val="auto"/>
                <w:szCs w:val="21"/>
              </w:rPr>
            </w:pPr>
          </w:p>
        </w:tc>
        <w:tc>
          <w:tcPr>
            <w:tcW w:w="2032" w:type="dxa"/>
            <w:vAlign w:val="center"/>
          </w:tcPr>
          <w:p w14:paraId="0EBABD76">
            <w:pPr>
              <w:jc w:val="center"/>
              <w:rPr>
                <w:rFonts w:ascii="宋体" w:hAnsi="宋体"/>
                <w:color w:val="auto"/>
                <w:szCs w:val="21"/>
              </w:rPr>
            </w:pPr>
          </w:p>
        </w:tc>
      </w:tr>
      <w:tr w14:paraId="272F1C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05CEFDA7">
            <w:pPr>
              <w:jc w:val="center"/>
              <w:rPr>
                <w:rFonts w:ascii="宋体" w:hAnsi="宋体"/>
                <w:color w:val="auto"/>
                <w:szCs w:val="21"/>
              </w:rPr>
            </w:pPr>
          </w:p>
        </w:tc>
        <w:tc>
          <w:tcPr>
            <w:tcW w:w="2031" w:type="dxa"/>
            <w:vAlign w:val="center"/>
          </w:tcPr>
          <w:p w14:paraId="261710F3">
            <w:pPr>
              <w:jc w:val="center"/>
              <w:rPr>
                <w:rFonts w:ascii="宋体" w:hAnsi="宋体"/>
                <w:color w:val="auto"/>
                <w:szCs w:val="21"/>
              </w:rPr>
            </w:pPr>
          </w:p>
        </w:tc>
        <w:tc>
          <w:tcPr>
            <w:tcW w:w="2031" w:type="dxa"/>
            <w:vAlign w:val="center"/>
          </w:tcPr>
          <w:p w14:paraId="14991093">
            <w:pPr>
              <w:jc w:val="center"/>
              <w:rPr>
                <w:rFonts w:ascii="宋体" w:hAnsi="宋体"/>
                <w:color w:val="auto"/>
                <w:szCs w:val="21"/>
              </w:rPr>
            </w:pPr>
          </w:p>
        </w:tc>
        <w:tc>
          <w:tcPr>
            <w:tcW w:w="2031" w:type="dxa"/>
            <w:vAlign w:val="center"/>
          </w:tcPr>
          <w:p w14:paraId="38B02145">
            <w:pPr>
              <w:jc w:val="center"/>
              <w:rPr>
                <w:rFonts w:ascii="宋体" w:hAnsi="宋体"/>
                <w:color w:val="auto"/>
                <w:szCs w:val="21"/>
              </w:rPr>
            </w:pPr>
          </w:p>
        </w:tc>
        <w:tc>
          <w:tcPr>
            <w:tcW w:w="2031" w:type="dxa"/>
            <w:vAlign w:val="center"/>
          </w:tcPr>
          <w:p w14:paraId="4BF7D4D4">
            <w:pPr>
              <w:jc w:val="center"/>
              <w:rPr>
                <w:rFonts w:ascii="宋体" w:hAnsi="宋体"/>
                <w:color w:val="auto"/>
                <w:szCs w:val="21"/>
              </w:rPr>
            </w:pPr>
          </w:p>
        </w:tc>
        <w:tc>
          <w:tcPr>
            <w:tcW w:w="2031" w:type="dxa"/>
            <w:vAlign w:val="center"/>
          </w:tcPr>
          <w:p w14:paraId="2368F1D8">
            <w:pPr>
              <w:jc w:val="center"/>
              <w:rPr>
                <w:rFonts w:ascii="宋体" w:hAnsi="宋体"/>
                <w:color w:val="auto"/>
                <w:szCs w:val="21"/>
              </w:rPr>
            </w:pPr>
          </w:p>
        </w:tc>
        <w:tc>
          <w:tcPr>
            <w:tcW w:w="2032" w:type="dxa"/>
            <w:vAlign w:val="center"/>
          </w:tcPr>
          <w:p w14:paraId="7BB36C8E">
            <w:pPr>
              <w:jc w:val="center"/>
              <w:rPr>
                <w:rFonts w:ascii="宋体" w:hAnsi="宋体"/>
                <w:color w:val="auto"/>
                <w:szCs w:val="21"/>
              </w:rPr>
            </w:pPr>
          </w:p>
        </w:tc>
      </w:tr>
      <w:tr w14:paraId="18D379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15FCE677">
            <w:pPr>
              <w:jc w:val="center"/>
              <w:rPr>
                <w:rFonts w:ascii="宋体" w:hAnsi="宋体"/>
                <w:color w:val="auto"/>
                <w:szCs w:val="21"/>
              </w:rPr>
            </w:pPr>
          </w:p>
        </w:tc>
        <w:tc>
          <w:tcPr>
            <w:tcW w:w="2031" w:type="dxa"/>
            <w:vAlign w:val="center"/>
          </w:tcPr>
          <w:p w14:paraId="2A3836CE">
            <w:pPr>
              <w:jc w:val="center"/>
              <w:rPr>
                <w:rFonts w:ascii="宋体" w:hAnsi="宋体"/>
                <w:color w:val="auto"/>
                <w:szCs w:val="21"/>
              </w:rPr>
            </w:pPr>
          </w:p>
        </w:tc>
        <w:tc>
          <w:tcPr>
            <w:tcW w:w="2031" w:type="dxa"/>
            <w:vAlign w:val="center"/>
          </w:tcPr>
          <w:p w14:paraId="52B5FFCC">
            <w:pPr>
              <w:jc w:val="center"/>
              <w:rPr>
                <w:rFonts w:ascii="宋体" w:hAnsi="宋体"/>
                <w:color w:val="auto"/>
                <w:szCs w:val="21"/>
              </w:rPr>
            </w:pPr>
          </w:p>
        </w:tc>
        <w:tc>
          <w:tcPr>
            <w:tcW w:w="2031" w:type="dxa"/>
            <w:vAlign w:val="center"/>
          </w:tcPr>
          <w:p w14:paraId="0BA02914">
            <w:pPr>
              <w:jc w:val="center"/>
              <w:rPr>
                <w:rFonts w:ascii="宋体" w:hAnsi="宋体"/>
                <w:color w:val="auto"/>
                <w:szCs w:val="21"/>
              </w:rPr>
            </w:pPr>
          </w:p>
        </w:tc>
        <w:tc>
          <w:tcPr>
            <w:tcW w:w="2031" w:type="dxa"/>
            <w:vAlign w:val="center"/>
          </w:tcPr>
          <w:p w14:paraId="31CA2DE7">
            <w:pPr>
              <w:jc w:val="center"/>
              <w:rPr>
                <w:rFonts w:ascii="宋体" w:hAnsi="宋体"/>
                <w:color w:val="auto"/>
                <w:szCs w:val="21"/>
              </w:rPr>
            </w:pPr>
          </w:p>
        </w:tc>
        <w:tc>
          <w:tcPr>
            <w:tcW w:w="2031" w:type="dxa"/>
            <w:vAlign w:val="center"/>
          </w:tcPr>
          <w:p w14:paraId="7E7B5B88">
            <w:pPr>
              <w:jc w:val="center"/>
              <w:rPr>
                <w:rFonts w:ascii="宋体" w:hAnsi="宋体"/>
                <w:color w:val="auto"/>
                <w:szCs w:val="21"/>
              </w:rPr>
            </w:pPr>
          </w:p>
        </w:tc>
        <w:tc>
          <w:tcPr>
            <w:tcW w:w="2032" w:type="dxa"/>
            <w:vAlign w:val="center"/>
          </w:tcPr>
          <w:p w14:paraId="3805FEF9">
            <w:pPr>
              <w:jc w:val="center"/>
              <w:rPr>
                <w:rFonts w:ascii="宋体" w:hAnsi="宋体"/>
                <w:color w:val="auto"/>
                <w:szCs w:val="21"/>
              </w:rPr>
            </w:pPr>
          </w:p>
        </w:tc>
      </w:tr>
      <w:tr w14:paraId="3AC9CA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1F11BDF0">
            <w:pPr>
              <w:jc w:val="center"/>
              <w:rPr>
                <w:rFonts w:ascii="宋体" w:hAnsi="宋体"/>
                <w:color w:val="auto"/>
                <w:szCs w:val="21"/>
              </w:rPr>
            </w:pPr>
          </w:p>
        </w:tc>
        <w:tc>
          <w:tcPr>
            <w:tcW w:w="2031" w:type="dxa"/>
            <w:vAlign w:val="center"/>
          </w:tcPr>
          <w:p w14:paraId="3EC95B87">
            <w:pPr>
              <w:jc w:val="center"/>
              <w:rPr>
                <w:rFonts w:ascii="宋体" w:hAnsi="宋体"/>
                <w:color w:val="auto"/>
                <w:szCs w:val="21"/>
              </w:rPr>
            </w:pPr>
          </w:p>
        </w:tc>
        <w:tc>
          <w:tcPr>
            <w:tcW w:w="2031" w:type="dxa"/>
            <w:vAlign w:val="center"/>
          </w:tcPr>
          <w:p w14:paraId="07F1C65B">
            <w:pPr>
              <w:jc w:val="center"/>
              <w:rPr>
                <w:rFonts w:ascii="宋体" w:hAnsi="宋体"/>
                <w:color w:val="auto"/>
                <w:szCs w:val="21"/>
              </w:rPr>
            </w:pPr>
          </w:p>
        </w:tc>
        <w:tc>
          <w:tcPr>
            <w:tcW w:w="2031" w:type="dxa"/>
            <w:vAlign w:val="center"/>
          </w:tcPr>
          <w:p w14:paraId="4D689DE2">
            <w:pPr>
              <w:jc w:val="center"/>
              <w:rPr>
                <w:rFonts w:ascii="宋体" w:hAnsi="宋体"/>
                <w:color w:val="auto"/>
                <w:szCs w:val="21"/>
              </w:rPr>
            </w:pPr>
          </w:p>
        </w:tc>
        <w:tc>
          <w:tcPr>
            <w:tcW w:w="2031" w:type="dxa"/>
            <w:vAlign w:val="center"/>
          </w:tcPr>
          <w:p w14:paraId="708E19C4">
            <w:pPr>
              <w:jc w:val="center"/>
              <w:rPr>
                <w:rFonts w:ascii="宋体" w:hAnsi="宋体"/>
                <w:color w:val="auto"/>
                <w:szCs w:val="21"/>
              </w:rPr>
            </w:pPr>
          </w:p>
        </w:tc>
        <w:tc>
          <w:tcPr>
            <w:tcW w:w="2031" w:type="dxa"/>
            <w:vAlign w:val="center"/>
          </w:tcPr>
          <w:p w14:paraId="03740D95">
            <w:pPr>
              <w:jc w:val="center"/>
              <w:rPr>
                <w:rFonts w:ascii="宋体" w:hAnsi="宋体"/>
                <w:color w:val="auto"/>
                <w:szCs w:val="21"/>
              </w:rPr>
            </w:pPr>
          </w:p>
        </w:tc>
        <w:tc>
          <w:tcPr>
            <w:tcW w:w="2032" w:type="dxa"/>
            <w:vAlign w:val="center"/>
          </w:tcPr>
          <w:p w14:paraId="5BCE215D">
            <w:pPr>
              <w:jc w:val="center"/>
              <w:rPr>
                <w:rFonts w:ascii="宋体" w:hAnsi="宋体"/>
                <w:color w:val="auto"/>
                <w:szCs w:val="21"/>
              </w:rPr>
            </w:pPr>
          </w:p>
        </w:tc>
      </w:tr>
      <w:tr w14:paraId="621E19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0C3D2C27">
            <w:pPr>
              <w:jc w:val="center"/>
              <w:rPr>
                <w:rFonts w:ascii="宋体" w:hAnsi="宋体"/>
                <w:color w:val="auto"/>
                <w:szCs w:val="21"/>
              </w:rPr>
            </w:pPr>
          </w:p>
        </w:tc>
        <w:tc>
          <w:tcPr>
            <w:tcW w:w="2031" w:type="dxa"/>
            <w:vAlign w:val="center"/>
          </w:tcPr>
          <w:p w14:paraId="5A62D068">
            <w:pPr>
              <w:jc w:val="center"/>
              <w:rPr>
                <w:rFonts w:ascii="宋体" w:hAnsi="宋体"/>
                <w:color w:val="auto"/>
                <w:szCs w:val="21"/>
              </w:rPr>
            </w:pPr>
          </w:p>
        </w:tc>
        <w:tc>
          <w:tcPr>
            <w:tcW w:w="2031" w:type="dxa"/>
            <w:vAlign w:val="center"/>
          </w:tcPr>
          <w:p w14:paraId="195611CB">
            <w:pPr>
              <w:jc w:val="center"/>
              <w:rPr>
                <w:rFonts w:ascii="宋体" w:hAnsi="宋体"/>
                <w:color w:val="auto"/>
                <w:szCs w:val="21"/>
              </w:rPr>
            </w:pPr>
          </w:p>
        </w:tc>
        <w:tc>
          <w:tcPr>
            <w:tcW w:w="2031" w:type="dxa"/>
            <w:vAlign w:val="center"/>
          </w:tcPr>
          <w:p w14:paraId="66D8902D">
            <w:pPr>
              <w:jc w:val="center"/>
              <w:rPr>
                <w:rFonts w:ascii="宋体" w:hAnsi="宋体"/>
                <w:color w:val="auto"/>
                <w:szCs w:val="21"/>
              </w:rPr>
            </w:pPr>
          </w:p>
        </w:tc>
        <w:tc>
          <w:tcPr>
            <w:tcW w:w="2031" w:type="dxa"/>
            <w:vAlign w:val="center"/>
          </w:tcPr>
          <w:p w14:paraId="5E803EF5">
            <w:pPr>
              <w:jc w:val="center"/>
              <w:rPr>
                <w:rFonts w:ascii="宋体" w:hAnsi="宋体"/>
                <w:color w:val="auto"/>
                <w:szCs w:val="21"/>
              </w:rPr>
            </w:pPr>
          </w:p>
        </w:tc>
        <w:tc>
          <w:tcPr>
            <w:tcW w:w="2031" w:type="dxa"/>
            <w:vAlign w:val="center"/>
          </w:tcPr>
          <w:p w14:paraId="5967A5E7">
            <w:pPr>
              <w:jc w:val="center"/>
              <w:rPr>
                <w:rFonts w:ascii="宋体" w:hAnsi="宋体"/>
                <w:color w:val="auto"/>
                <w:szCs w:val="21"/>
              </w:rPr>
            </w:pPr>
          </w:p>
        </w:tc>
        <w:tc>
          <w:tcPr>
            <w:tcW w:w="2032" w:type="dxa"/>
            <w:vAlign w:val="center"/>
          </w:tcPr>
          <w:p w14:paraId="69C49059">
            <w:pPr>
              <w:jc w:val="center"/>
              <w:rPr>
                <w:rFonts w:ascii="宋体" w:hAnsi="宋体"/>
                <w:color w:val="auto"/>
                <w:szCs w:val="21"/>
              </w:rPr>
            </w:pPr>
          </w:p>
        </w:tc>
      </w:tr>
      <w:tr w14:paraId="51DBCE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295B55EF">
            <w:pPr>
              <w:jc w:val="center"/>
              <w:rPr>
                <w:rFonts w:ascii="宋体" w:hAnsi="宋体"/>
                <w:color w:val="auto"/>
                <w:szCs w:val="21"/>
              </w:rPr>
            </w:pPr>
          </w:p>
        </w:tc>
        <w:tc>
          <w:tcPr>
            <w:tcW w:w="2031" w:type="dxa"/>
            <w:vAlign w:val="center"/>
          </w:tcPr>
          <w:p w14:paraId="301F7CB7">
            <w:pPr>
              <w:jc w:val="center"/>
              <w:rPr>
                <w:rFonts w:ascii="宋体" w:hAnsi="宋体"/>
                <w:color w:val="auto"/>
                <w:szCs w:val="21"/>
              </w:rPr>
            </w:pPr>
          </w:p>
        </w:tc>
        <w:tc>
          <w:tcPr>
            <w:tcW w:w="2031" w:type="dxa"/>
            <w:vAlign w:val="center"/>
          </w:tcPr>
          <w:p w14:paraId="5935E57C">
            <w:pPr>
              <w:jc w:val="center"/>
              <w:rPr>
                <w:rFonts w:ascii="宋体" w:hAnsi="宋体"/>
                <w:color w:val="auto"/>
                <w:szCs w:val="21"/>
              </w:rPr>
            </w:pPr>
          </w:p>
        </w:tc>
        <w:tc>
          <w:tcPr>
            <w:tcW w:w="2031" w:type="dxa"/>
            <w:vAlign w:val="center"/>
          </w:tcPr>
          <w:p w14:paraId="3B680998">
            <w:pPr>
              <w:jc w:val="center"/>
              <w:rPr>
                <w:rFonts w:ascii="宋体" w:hAnsi="宋体"/>
                <w:color w:val="auto"/>
                <w:szCs w:val="21"/>
              </w:rPr>
            </w:pPr>
          </w:p>
        </w:tc>
        <w:tc>
          <w:tcPr>
            <w:tcW w:w="2031" w:type="dxa"/>
            <w:vAlign w:val="center"/>
          </w:tcPr>
          <w:p w14:paraId="4CB4FCFC">
            <w:pPr>
              <w:jc w:val="center"/>
              <w:rPr>
                <w:rFonts w:ascii="宋体" w:hAnsi="宋体"/>
                <w:color w:val="auto"/>
                <w:szCs w:val="21"/>
              </w:rPr>
            </w:pPr>
          </w:p>
        </w:tc>
        <w:tc>
          <w:tcPr>
            <w:tcW w:w="2031" w:type="dxa"/>
            <w:vAlign w:val="center"/>
          </w:tcPr>
          <w:p w14:paraId="5C39663E">
            <w:pPr>
              <w:jc w:val="center"/>
              <w:rPr>
                <w:rFonts w:ascii="宋体" w:hAnsi="宋体"/>
                <w:color w:val="auto"/>
                <w:szCs w:val="21"/>
              </w:rPr>
            </w:pPr>
          </w:p>
        </w:tc>
        <w:tc>
          <w:tcPr>
            <w:tcW w:w="2032" w:type="dxa"/>
            <w:vAlign w:val="center"/>
          </w:tcPr>
          <w:p w14:paraId="21BC933D">
            <w:pPr>
              <w:jc w:val="center"/>
              <w:rPr>
                <w:rFonts w:ascii="宋体" w:hAnsi="宋体"/>
                <w:color w:val="auto"/>
                <w:szCs w:val="21"/>
              </w:rPr>
            </w:pPr>
          </w:p>
        </w:tc>
      </w:tr>
      <w:tr w14:paraId="38204E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4290FB59">
            <w:pPr>
              <w:jc w:val="center"/>
              <w:rPr>
                <w:rFonts w:ascii="宋体" w:hAnsi="宋体"/>
                <w:color w:val="auto"/>
                <w:szCs w:val="21"/>
              </w:rPr>
            </w:pPr>
          </w:p>
        </w:tc>
        <w:tc>
          <w:tcPr>
            <w:tcW w:w="2031" w:type="dxa"/>
            <w:vAlign w:val="center"/>
          </w:tcPr>
          <w:p w14:paraId="5EE75D91">
            <w:pPr>
              <w:jc w:val="center"/>
              <w:rPr>
                <w:rFonts w:ascii="宋体" w:hAnsi="宋体"/>
                <w:color w:val="auto"/>
                <w:szCs w:val="21"/>
              </w:rPr>
            </w:pPr>
          </w:p>
        </w:tc>
        <w:tc>
          <w:tcPr>
            <w:tcW w:w="2031" w:type="dxa"/>
            <w:vAlign w:val="center"/>
          </w:tcPr>
          <w:p w14:paraId="2B416DA6">
            <w:pPr>
              <w:jc w:val="center"/>
              <w:rPr>
                <w:rFonts w:ascii="宋体" w:hAnsi="宋体"/>
                <w:color w:val="auto"/>
                <w:szCs w:val="21"/>
              </w:rPr>
            </w:pPr>
          </w:p>
        </w:tc>
        <w:tc>
          <w:tcPr>
            <w:tcW w:w="2031" w:type="dxa"/>
            <w:vAlign w:val="center"/>
          </w:tcPr>
          <w:p w14:paraId="1C2D9FD3">
            <w:pPr>
              <w:jc w:val="center"/>
              <w:rPr>
                <w:rFonts w:ascii="宋体" w:hAnsi="宋体"/>
                <w:color w:val="auto"/>
                <w:szCs w:val="21"/>
              </w:rPr>
            </w:pPr>
          </w:p>
        </w:tc>
        <w:tc>
          <w:tcPr>
            <w:tcW w:w="2031" w:type="dxa"/>
            <w:vAlign w:val="center"/>
          </w:tcPr>
          <w:p w14:paraId="71E75CB4">
            <w:pPr>
              <w:jc w:val="center"/>
              <w:rPr>
                <w:rFonts w:ascii="宋体" w:hAnsi="宋体"/>
                <w:color w:val="auto"/>
                <w:szCs w:val="21"/>
              </w:rPr>
            </w:pPr>
          </w:p>
        </w:tc>
        <w:tc>
          <w:tcPr>
            <w:tcW w:w="2031" w:type="dxa"/>
            <w:vAlign w:val="center"/>
          </w:tcPr>
          <w:p w14:paraId="3A08A892">
            <w:pPr>
              <w:jc w:val="center"/>
              <w:rPr>
                <w:rFonts w:ascii="宋体" w:hAnsi="宋体"/>
                <w:color w:val="auto"/>
                <w:szCs w:val="21"/>
              </w:rPr>
            </w:pPr>
          </w:p>
        </w:tc>
        <w:tc>
          <w:tcPr>
            <w:tcW w:w="2032" w:type="dxa"/>
            <w:vAlign w:val="center"/>
          </w:tcPr>
          <w:p w14:paraId="6AA381C9">
            <w:pPr>
              <w:jc w:val="center"/>
              <w:rPr>
                <w:rFonts w:ascii="宋体" w:hAnsi="宋体"/>
                <w:color w:val="auto"/>
                <w:szCs w:val="21"/>
              </w:rPr>
            </w:pPr>
          </w:p>
        </w:tc>
      </w:tr>
      <w:tr w14:paraId="7D696F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5D17964E">
            <w:pPr>
              <w:jc w:val="center"/>
              <w:rPr>
                <w:rFonts w:ascii="宋体" w:hAnsi="宋体"/>
                <w:color w:val="auto"/>
                <w:szCs w:val="21"/>
              </w:rPr>
            </w:pPr>
          </w:p>
        </w:tc>
        <w:tc>
          <w:tcPr>
            <w:tcW w:w="2031" w:type="dxa"/>
            <w:vAlign w:val="center"/>
          </w:tcPr>
          <w:p w14:paraId="2B879FB8">
            <w:pPr>
              <w:jc w:val="center"/>
              <w:rPr>
                <w:rFonts w:ascii="宋体" w:hAnsi="宋体"/>
                <w:color w:val="auto"/>
                <w:szCs w:val="21"/>
              </w:rPr>
            </w:pPr>
          </w:p>
        </w:tc>
        <w:tc>
          <w:tcPr>
            <w:tcW w:w="2031" w:type="dxa"/>
            <w:vAlign w:val="center"/>
          </w:tcPr>
          <w:p w14:paraId="656E4874">
            <w:pPr>
              <w:jc w:val="center"/>
              <w:rPr>
                <w:rFonts w:ascii="宋体" w:hAnsi="宋体"/>
                <w:color w:val="auto"/>
                <w:szCs w:val="21"/>
              </w:rPr>
            </w:pPr>
          </w:p>
        </w:tc>
        <w:tc>
          <w:tcPr>
            <w:tcW w:w="2031" w:type="dxa"/>
            <w:vAlign w:val="center"/>
          </w:tcPr>
          <w:p w14:paraId="2FDB1B03">
            <w:pPr>
              <w:jc w:val="center"/>
              <w:rPr>
                <w:rFonts w:ascii="宋体" w:hAnsi="宋体"/>
                <w:color w:val="auto"/>
                <w:szCs w:val="21"/>
              </w:rPr>
            </w:pPr>
          </w:p>
        </w:tc>
        <w:tc>
          <w:tcPr>
            <w:tcW w:w="2031" w:type="dxa"/>
            <w:vAlign w:val="center"/>
          </w:tcPr>
          <w:p w14:paraId="5870DCDA">
            <w:pPr>
              <w:jc w:val="center"/>
              <w:rPr>
                <w:rFonts w:ascii="宋体" w:hAnsi="宋体"/>
                <w:color w:val="auto"/>
                <w:szCs w:val="21"/>
              </w:rPr>
            </w:pPr>
          </w:p>
        </w:tc>
        <w:tc>
          <w:tcPr>
            <w:tcW w:w="2031" w:type="dxa"/>
            <w:vAlign w:val="center"/>
          </w:tcPr>
          <w:p w14:paraId="224B801B">
            <w:pPr>
              <w:jc w:val="center"/>
              <w:rPr>
                <w:rFonts w:ascii="宋体" w:hAnsi="宋体"/>
                <w:color w:val="auto"/>
                <w:szCs w:val="21"/>
              </w:rPr>
            </w:pPr>
          </w:p>
        </w:tc>
        <w:tc>
          <w:tcPr>
            <w:tcW w:w="2032" w:type="dxa"/>
            <w:vAlign w:val="center"/>
          </w:tcPr>
          <w:p w14:paraId="199D7F33">
            <w:pPr>
              <w:jc w:val="center"/>
              <w:rPr>
                <w:rFonts w:ascii="宋体" w:hAnsi="宋体"/>
                <w:color w:val="auto"/>
                <w:szCs w:val="21"/>
              </w:rPr>
            </w:pPr>
          </w:p>
        </w:tc>
      </w:tr>
    </w:tbl>
    <w:p w14:paraId="444B3676">
      <w:pPr>
        <w:rPr>
          <w:color w:val="auto"/>
        </w:rPr>
        <w:sectPr>
          <w:footerReference r:id="rId47" w:type="default"/>
          <w:pgSz w:w="11906" w:h="16838"/>
          <w:pgMar w:top="1440" w:right="1800" w:bottom="1440" w:left="1800" w:header="851" w:footer="992" w:gutter="0"/>
          <w:pgNumType w:fmt="decimal"/>
          <w:cols w:space="425" w:num="1"/>
          <w:docGrid w:type="lines" w:linePitch="312" w:charSpace="0"/>
        </w:sectPr>
      </w:pPr>
      <w:r>
        <w:rPr>
          <w:rFonts w:hint="eastAsia" w:ascii="宋体" w:hAnsi="宋体"/>
          <w:color w:val="auto"/>
          <w:szCs w:val="21"/>
        </w:rPr>
        <w:t>备注：“目前状况”应说明已使用年限、是否完好以及目前是否正在使用，“来源”分为“自有”和“市场租赁”两种情况，正在使用中的设备应在“备注”中注明何时能够投入本项目。本招标项目（标段）投标人资质条件、能力和信誉中要求的主要施工机械设备，投标人应提供相关证明材料</w:t>
      </w:r>
      <w:r>
        <w:rPr>
          <w:rFonts w:hint="eastAsia"/>
          <w:color w:val="auto"/>
          <w:szCs w:val="21"/>
        </w:rPr>
        <w:t>。</w:t>
      </w:r>
    </w:p>
    <w:p w14:paraId="3A58AE46">
      <w:pPr>
        <w:pStyle w:val="27"/>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rPr>
      </w:pPr>
      <w:bookmarkStart w:id="2029" w:name="_Toc122603091"/>
      <w:bookmarkStart w:id="2030" w:name="_Toc23365"/>
      <w:r>
        <w:rPr>
          <w:rFonts w:hint="eastAsia"/>
          <w:color w:val="auto"/>
          <w:szCs w:val="24"/>
          <w:lang w:eastAsia="zh-CN"/>
        </w:rPr>
        <w:t>（</w:t>
      </w:r>
      <w:r>
        <w:rPr>
          <w:rFonts w:hint="default"/>
          <w:color w:val="auto"/>
          <w:szCs w:val="24"/>
        </w:rPr>
        <w:t>二</w:t>
      </w:r>
      <w:r>
        <w:rPr>
          <w:rFonts w:hint="eastAsia"/>
          <w:color w:val="auto"/>
          <w:szCs w:val="24"/>
          <w:lang w:eastAsia="zh-CN"/>
        </w:rPr>
        <w:t>）</w:t>
      </w:r>
      <w:r>
        <w:rPr>
          <w:rFonts w:hint="eastAsia"/>
          <w:color w:val="auto"/>
          <w:szCs w:val="24"/>
        </w:rPr>
        <w:t>近年财务状况</w:t>
      </w:r>
      <w:bookmarkEnd w:id="2029"/>
      <w:r>
        <w:rPr>
          <w:rFonts w:hint="eastAsia"/>
          <w:color w:val="auto"/>
          <w:szCs w:val="24"/>
        </w:rPr>
        <w:t>表</w:t>
      </w:r>
      <w:bookmarkEnd w:id="2030"/>
    </w:p>
    <w:tbl>
      <w:tblPr>
        <w:tblStyle w:val="1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846"/>
        <w:gridCol w:w="791"/>
        <w:gridCol w:w="1471"/>
        <w:gridCol w:w="1471"/>
        <w:gridCol w:w="1471"/>
        <w:gridCol w:w="1472"/>
      </w:tblGrid>
      <w:tr w14:paraId="55BD8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2DB62E56">
            <w:pPr>
              <w:jc w:val="center"/>
              <w:rPr>
                <w:rFonts w:ascii="宋体" w:hAnsi="宋体"/>
                <w:b/>
                <w:bCs/>
                <w:color w:val="auto"/>
                <w:szCs w:val="21"/>
              </w:rPr>
            </w:pPr>
            <w:r>
              <w:rPr>
                <w:rFonts w:hint="eastAsia" w:ascii="宋体" w:hAnsi="宋体"/>
                <w:b/>
                <w:bCs/>
                <w:color w:val="auto"/>
                <w:szCs w:val="21"/>
              </w:rPr>
              <w:t>名称</w:t>
            </w:r>
          </w:p>
        </w:tc>
        <w:tc>
          <w:tcPr>
            <w:tcW w:w="815" w:type="dxa"/>
            <w:vAlign w:val="center"/>
          </w:tcPr>
          <w:p w14:paraId="1C757C54">
            <w:pPr>
              <w:jc w:val="center"/>
              <w:rPr>
                <w:rFonts w:ascii="宋体" w:hAnsi="宋体"/>
                <w:b/>
                <w:bCs/>
                <w:color w:val="auto"/>
                <w:szCs w:val="21"/>
              </w:rPr>
            </w:pPr>
            <w:r>
              <w:rPr>
                <w:rFonts w:hint="eastAsia" w:ascii="宋体" w:hAnsi="宋体"/>
                <w:b/>
                <w:bCs/>
                <w:color w:val="auto"/>
                <w:szCs w:val="21"/>
              </w:rPr>
              <w:t>单位</w:t>
            </w:r>
          </w:p>
        </w:tc>
        <w:tc>
          <w:tcPr>
            <w:tcW w:w="1539" w:type="dxa"/>
            <w:vAlign w:val="center"/>
          </w:tcPr>
          <w:p w14:paraId="47CEA86A">
            <w:pPr>
              <w:jc w:val="center"/>
              <w:rPr>
                <w:rFonts w:ascii="宋体" w:hAnsi="宋体"/>
                <w:b/>
                <w:bCs/>
                <w:color w:val="auto"/>
                <w:szCs w:val="21"/>
              </w:rPr>
            </w:pPr>
            <w:r>
              <w:rPr>
                <w:rFonts w:hint="eastAsia" w:ascii="宋体" w:hAnsi="宋体"/>
                <w:b/>
                <w:bCs/>
                <w:color w:val="auto"/>
                <w:szCs w:val="21"/>
              </w:rPr>
              <w:t>　</w:t>
            </w:r>
            <w:r>
              <w:rPr>
                <w:rFonts w:hint="eastAsia" w:ascii="宋体" w:hAnsi="宋体"/>
                <w:b/>
                <w:bCs/>
                <w:color w:val="auto"/>
                <w:szCs w:val="21"/>
                <w:u w:val="single"/>
              </w:rPr>
              <w:t>　　　</w:t>
            </w:r>
            <w:r>
              <w:rPr>
                <w:rFonts w:hint="eastAsia" w:ascii="宋体" w:hAnsi="宋体"/>
                <w:b/>
                <w:bCs/>
                <w:color w:val="auto"/>
                <w:szCs w:val="21"/>
              </w:rPr>
              <w:t>年</w:t>
            </w:r>
          </w:p>
        </w:tc>
        <w:tc>
          <w:tcPr>
            <w:tcW w:w="1539" w:type="dxa"/>
            <w:vAlign w:val="center"/>
          </w:tcPr>
          <w:p w14:paraId="2D2DDF96">
            <w:pPr>
              <w:jc w:val="center"/>
              <w:rPr>
                <w:rFonts w:ascii="宋体" w:hAnsi="宋体"/>
                <w:b/>
                <w:bCs/>
                <w:color w:val="auto"/>
                <w:szCs w:val="21"/>
              </w:rPr>
            </w:pPr>
            <w:r>
              <w:rPr>
                <w:rFonts w:hint="eastAsia" w:ascii="宋体" w:hAnsi="宋体"/>
                <w:b/>
                <w:bCs/>
                <w:color w:val="auto"/>
                <w:szCs w:val="21"/>
              </w:rPr>
              <w:t>　</w:t>
            </w:r>
            <w:r>
              <w:rPr>
                <w:rFonts w:hint="eastAsia" w:ascii="宋体" w:hAnsi="宋体"/>
                <w:b/>
                <w:bCs/>
                <w:color w:val="auto"/>
                <w:szCs w:val="21"/>
                <w:u w:val="single"/>
              </w:rPr>
              <w:t>　　　</w:t>
            </w:r>
            <w:r>
              <w:rPr>
                <w:rFonts w:hint="eastAsia" w:ascii="宋体" w:hAnsi="宋体"/>
                <w:b/>
                <w:bCs/>
                <w:color w:val="auto"/>
                <w:szCs w:val="21"/>
              </w:rPr>
              <w:t>年</w:t>
            </w:r>
          </w:p>
        </w:tc>
        <w:tc>
          <w:tcPr>
            <w:tcW w:w="1539" w:type="dxa"/>
            <w:vAlign w:val="center"/>
          </w:tcPr>
          <w:p w14:paraId="6C56DFA1">
            <w:pPr>
              <w:jc w:val="center"/>
              <w:rPr>
                <w:rFonts w:ascii="宋体" w:hAnsi="宋体"/>
                <w:b/>
                <w:bCs/>
                <w:color w:val="auto"/>
                <w:szCs w:val="21"/>
              </w:rPr>
            </w:pPr>
            <w:r>
              <w:rPr>
                <w:rFonts w:hint="eastAsia" w:ascii="宋体" w:hAnsi="宋体"/>
                <w:b/>
                <w:bCs/>
                <w:color w:val="auto"/>
                <w:szCs w:val="21"/>
                <w:u w:val="single"/>
              </w:rPr>
              <w:t>　　　</w:t>
            </w:r>
            <w:r>
              <w:rPr>
                <w:rFonts w:hint="eastAsia" w:ascii="宋体" w:hAnsi="宋体"/>
                <w:b/>
                <w:bCs/>
                <w:color w:val="auto"/>
                <w:szCs w:val="21"/>
              </w:rPr>
              <w:t>年</w:t>
            </w:r>
          </w:p>
        </w:tc>
        <w:tc>
          <w:tcPr>
            <w:tcW w:w="1539" w:type="dxa"/>
            <w:vAlign w:val="center"/>
          </w:tcPr>
          <w:p w14:paraId="2E3D8DD2">
            <w:pPr>
              <w:jc w:val="center"/>
              <w:rPr>
                <w:rFonts w:ascii="宋体" w:hAnsi="宋体"/>
                <w:b/>
                <w:bCs/>
                <w:color w:val="auto"/>
                <w:szCs w:val="21"/>
              </w:rPr>
            </w:pPr>
            <w:r>
              <w:rPr>
                <w:rFonts w:hint="eastAsia" w:ascii="宋体" w:hAnsi="宋体"/>
                <w:b/>
                <w:bCs/>
                <w:color w:val="auto"/>
                <w:szCs w:val="21"/>
              </w:rPr>
              <w:t>近年平均值　</w:t>
            </w:r>
          </w:p>
        </w:tc>
      </w:tr>
      <w:tr w14:paraId="4AF0D9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3B068424">
            <w:pPr>
              <w:rPr>
                <w:rFonts w:ascii="宋体" w:hAnsi="宋体"/>
                <w:color w:val="auto"/>
                <w:szCs w:val="21"/>
              </w:rPr>
            </w:pPr>
            <w:r>
              <w:rPr>
                <w:rFonts w:hint="eastAsia" w:ascii="宋体" w:hAnsi="宋体"/>
                <w:color w:val="auto"/>
                <w:szCs w:val="21"/>
                <w:lang w:eastAsia="zh-CN"/>
              </w:rPr>
              <w:t>一、</w:t>
            </w:r>
            <w:r>
              <w:rPr>
                <w:rFonts w:hint="eastAsia" w:ascii="宋体" w:hAnsi="宋体"/>
                <w:color w:val="auto"/>
                <w:szCs w:val="21"/>
              </w:rPr>
              <w:t>注册资金</w:t>
            </w:r>
          </w:p>
        </w:tc>
        <w:tc>
          <w:tcPr>
            <w:tcW w:w="815" w:type="dxa"/>
            <w:vAlign w:val="center"/>
          </w:tcPr>
          <w:p w14:paraId="1EED0483">
            <w:pPr>
              <w:jc w:val="center"/>
              <w:rPr>
                <w:rFonts w:ascii="宋体" w:hAnsi="宋体"/>
                <w:color w:val="auto"/>
                <w:szCs w:val="21"/>
              </w:rPr>
            </w:pPr>
            <w:r>
              <w:rPr>
                <w:rFonts w:hint="eastAsia" w:ascii="宋体" w:hAnsi="宋体"/>
                <w:color w:val="auto"/>
                <w:szCs w:val="21"/>
              </w:rPr>
              <w:t>元</w:t>
            </w:r>
          </w:p>
        </w:tc>
        <w:tc>
          <w:tcPr>
            <w:tcW w:w="1539" w:type="dxa"/>
            <w:vAlign w:val="center"/>
          </w:tcPr>
          <w:p w14:paraId="3CE9F86F">
            <w:pPr>
              <w:jc w:val="center"/>
              <w:rPr>
                <w:rFonts w:ascii="宋体" w:hAnsi="宋体"/>
                <w:color w:val="auto"/>
                <w:szCs w:val="21"/>
              </w:rPr>
            </w:pPr>
          </w:p>
        </w:tc>
        <w:tc>
          <w:tcPr>
            <w:tcW w:w="1539" w:type="dxa"/>
            <w:vAlign w:val="center"/>
          </w:tcPr>
          <w:p w14:paraId="6CFCF68A">
            <w:pPr>
              <w:jc w:val="center"/>
              <w:rPr>
                <w:rFonts w:ascii="宋体" w:hAnsi="宋体"/>
                <w:color w:val="auto"/>
                <w:szCs w:val="21"/>
              </w:rPr>
            </w:pPr>
          </w:p>
        </w:tc>
        <w:tc>
          <w:tcPr>
            <w:tcW w:w="1539" w:type="dxa"/>
            <w:vAlign w:val="center"/>
          </w:tcPr>
          <w:p w14:paraId="35F2FEB1">
            <w:pPr>
              <w:jc w:val="center"/>
              <w:rPr>
                <w:rFonts w:ascii="宋体" w:hAnsi="宋体"/>
                <w:color w:val="auto"/>
                <w:szCs w:val="21"/>
              </w:rPr>
            </w:pPr>
          </w:p>
        </w:tc>
        <w:tc>
          <w:tcPr>
            <w:tcW w:w="1539" w:type="dxa"/>
            <w:vAlign w:val="center"/>
          </w:tcPr>
          <w:p w14:paraId="3796C9C6">
            <w:pPr>
              <w:jc w:val="center"/>
              <w:rPr>
                <w:rFonts w:ascii="宋体" w:hAnsi="宋体"/>
                <w:color w:val="auto"/>
                <w:szCs w:val="21"/>
              </w:rPr>
            </w:pPr>
            <w:r>
              <w:rPr>
                <w:rFonts w:hint="eastAsia" w:ascii="宋体" w:hAnsi="宋体"/>
                <w:color w:val="auto"/>
                <w:szCs w:val="21"/>
              </w:rPr>
              <w:t>-</w:t>
            </w:r>
          </w:p>
        </w:tc>
      </w:tr>
      <w:tr w14:paraId="4DC01B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530E530E">
            <w:pPr>
              <w:rPr>
                <w:rFonts w:ascii="宋体" w:hAnsi="宋体"/>
                <w:color w:val="auto"/>
                <w:szCs w:val="21"/>
              </w:rPr>
            </w:pPr>
            <w:r>
              <w:rPr>
                <w:rFonts w:hint="eastAsia" w:ascii="宋体" w:hAnsi="宋体"/>
                <w:color w:val="auto"/>
                <w:szCs w:val="21"/>
                <w:lang w:eastAsia="zh-CN"/>
              </w:rPr>
              <w:t>二、</w:t>
            </w:r>
            <w:r>
              <w:rPr>
                <w:rFonts w:hint="eastAsia" w:ascii="宋体" w:hAnsi="宋体"/>
                <w:color w:val="auto"/>
                <w:szCs w:val="21"/>
              </w:rPr>
              <w:t>净资产</w:t>
            </w:r>
          </w:p>
        </w:tc>
        <w:tc>
          <w:tcPr>
            <w:tcW w:w="815" w:type="dxa"/>
            <w:vAlign w:val="center"/>
          </w:tcPr>
          <w:p w14:paraId="12E33C08">
            <w:pPr>
              <w:jc w:val="center"/>
              <w:rPr>
                <w:rFonts w:ascii="宋体" w:hAnsi="宋体"/>
                <w:color w:val="auto"/>
                <w:szCs w:val="21"/>
              </w:rPr>
            </w:pPr>
            <w:r>
              <w:rPr>
                <w:rFonts w:hint="eastAsia" w:ascii="宋体" w:hAnsi="宋体"/>
                <w:color w:val="auto"/>
                <w:szCs w:val="21"/>
              </w:rPr>
              <w:t>元</w:t>
            </w:r>
          </w:p>
        </w:tc>
        <w:tc>
          <w:tcPr>
            <w:tcW w:w="1539" w:type="dxa"/>
            <w:vAlign w:val="center"/>
          </w:tcPr>
          <w:p w14:paraId="36D8ADC2">
            <w:pPr>
              <w:jc w:val="center"/>
              <w:rPr>
                <w:rFonts w:ascii="宋体" w:hAnsi="宋体"/>
                <w:color w:val="auto"/>
                <w:szCs w:val="21"/>
              </w:rPr>
            </w:pPr>
          </w:p>
        </w:tc>
        <w:tc>
          <w:tcPr>
            <w:tcW w:w="1539" w:type="dxa"/>
            <w:vAlign w:val="center"/>
          </w:tcPr>
          <w:p w14:paraId="2D8CA1EA">
            <w:pPr>
              <w:jc w:val="center"/>
              <w:rPr>
                <w:rFonts w:ascii="宋体" w:hAnsi="宋体"/>
                <w:color w:val="auto"/>
                <w:szCs w:val="21"/>
              </w:rPr>
            </w:pPr>
          </w:p>
        </w:tc>
        <w:tc>
          <w:tcPr>
            <w:tcW w:w="1539" w:type="dxa"/>
            <w:vAlign w:val="center"/>
          </w:tcPr>
          <w:p w14:paraId="52C21E20">
            <w:pPr>
              <w:jc w:val="center"/>
              <w:rPr>
                <w:rFonts w:ascii="宋体" w:hAnsi="宋体"/>
                <w:color w:val="auto"/>
                <w:szCs w:val="21"/>
              </w:rPr>
            </w:pPr>
          </w:p>
        </w:tc>
        <w:tc>
          <w:tcPr>
            <w:tcW w:w="1539" w:type="dxa"/>
            <w:vAlign w:val="center"/>
          </w:tcPr>
          <w:p w14:paraId="1ECF9FE7">
            <w:pPr>
              <w:jc w:val="center"/>
              <w:rPr>
                <w:rFonts w:ascii="宋体" w:hAnsi="宋体"/>
                <w:color w:val="auto"/>
                <w:szCs w:val="21"/>
              </w:rPr>
            </w:pPr>
            <w:r>
              <w:rPr>
                <w:rFonts w:hint="eastAsia" w:ascii="宋体" w:hAnsi="宋体"/>
                <w:color w:val="auto"/>
                <w:szCs w:val="21"/>
              </w:rPr>
              <w:t>-</w:t>
            </w:r>
          </w:p>
        </w:tc>
      </w:tr>
      <w:tr w14:paraId="38ADF9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18259821">
            <w:pPr>
              <w:rPr>
                <w:rFonts w:ascii="宋体" w:hAnsi="宋体"/>
                <w:color w:val="auto"/>
                <w:szCs w:val="21"/>
              </w:rPr>
            </w:pPr>
            <w:r>
              <w:rPr>
                <w:rFonts w:hint="eastAsia" w:ascii="宋体" w:hAnsi="宋体"/>
                <w:color w:val="auto"/>
                <w:szCs w:val="21"/>
                <w:lang w:eastAsia="zh-CN"/>
              </w:rPr>
              <w:t>三、</w:t>
            </w:r>
            <w:r>
              <w:rPr>
                <w:rFonts w:hint="eastAsia" w:ascii="宋体" w:hAnsi="宋体"/>
                <w:color w:val="auto"/>
                <w:szCs w:val="21"/>
              </w:rPr>
              <w:t>总资产</w:t>
            </w:r>
          </w:p>
        </w:tc>
        <w:tc>
          <w:tcPr>
            <w:tcW w:w="815" w:type="dxa"/>
            <w:vAlign w:val="center"/>
          </w:tcPr>
          <w:p w14:paraId="284545CB">
            <w:pPr>
              <w:jc w:val="center"/>
              <w:rPr>
                <w:rFonts w:ascii="宋体" w:hAnsi="宋体"/>
                <w:color w:val="auto"/>
                <w:szCs w:val="21"/>
              </w:rPr>
            </w:pPr>
            <w:r>
              <w:rPr>
                <w:rFonts w:hint="eastAsia" w:ascii="宋体" w:hAnsi="宋体"/>
                <w:color w:val="auto"/>
                <w:szCs w:val="21"/>
              </w:rPr>
              <w:t>元</w:t>
            </w:r>
          </w:p>
        </w:tc>
        <w:tc>
          <w:tcPr>
            <w:tcW w:w="1539" w:type="dxa"/>
            <w:vAlign w:val="center"/>
          </w:tcPr>
          <w:p w14:paraId="26072607">
            <w:pPr>
              <w:jc w:val="center"/>
              <w:rPr>
                <w:rFonts w:ascii="宋体" w:hAnsi="宋体"/>
                <w:color w:val="auto"/>
                <w:szCs w:val="21"/>
              </w:rPr>
            </w:pPr>
          </w:p>
        </w:tc>
        <w:tc>
          <w:tcPr>
            <w:tcW w:w="1539" w:type="dxa"/>
            <w:vAlign w:val="center"/>
          </w:tcPr>
          <w:p w14:paraId="310C10BC">
            <w:pPr>
              <w:jc w:val="center"/>
              <w:rPr>
                <w:rFonts w:ascii="宋体" w:hAnsi="宋体"/>
                <w:color w:val="auto"/>
                <w:szCs w:val="21"/>
              </w:rPr>
            </w:pPr>
          </w:p>
        </w:tc>
        <w:tc>
          <w:tcPr>
            <w:tcW w:w="1539" w:type="dxa"/>
            <w:vAlign w:val="center"/>
          </w:tcPr>
          <w:p w14:paraId="6CCA520D">
            <w:pPr>
              <w:jc w:val="center"/>
              <w:rPr>
                <w:rFonts w:ascii="宋体" w:hAnsi="宋体"/>
                <w:color w:val="auto"/>
                <w:szCs w:val="21"/>
              </w:rPr>
            </w:pPr>
          </w:p>
        </w:tc>
        <w:tc>
          <w:tcPr>
            <w:tcW w:w="1539" w:type="dxa"/>
            <w:vAlign w:val="center"/>
          </w:tcPr>
          <w:p w14:paraId="642F5C08">
            <w:pPr>
              <w:jc w:val="center"/>
              <w:rPr>
                <w:rFonts w:ascii="宋体" w:hAnsi="宋体"/>
                <w:color w:val="auto"/>
                <w:szCs w:val="21"/>
              </w:rPr>
            </w:pPr>
          </w:p>
        </w:tc>
      </w:tr>
      <w:tr w14:paraId="043841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5C52DAAF">
            <w:pPr>
              <w:rPr>
                <w:rFonts w:ascii="宋体" w:hAnsi="宋体"/>
                <w:color w:val="auto"/>
                <w:szCs w:val="21"/>
              </w:rPr>
            </w:pPr>
            <w:r>
              <w:rPr>
                <w:rFonts w:hint="eastAsia" w:ascii="宋体" w:hAnsi="宋体"/>
                <w:color w:val="auto"/>
                <w:szCs w:val="21"/>
                <w:lang w:eastAsia="zh-CN"/>
              </w:rPr>
              <w:t>四、</w:t>
            </w:r>
            <w:r>
              <w:rPr>
                <w:rFonts w:hint="eastAsia" w:ascii="宋体" w:hAnsi="宋体"/>
                <w:color w:val="auto"/>
                <w:szCs w:val="21"/>
              </w:rPr>
              <w:t>固定资产</w:t>
            </w:r>
          </w:p>
        </w:tc>
        <w:tc>
          <w:tcPr>
            <w:tcW w:w="815" w:type="dxa"/>
            <w:vAlign w:val="center"/>
          </w:tcPr>
          <w:p w14:paraId="3CCEE835">
            <w:pPr>
              <w:jc w:val="center"/>
              <w:rPr>
                <w:rFonts w:ascii="宋体" w:hAnsi="宋体"/>
                <w:color w:val="auto"/>
                <w:szCs w:val="21"/>
              </w:rPr>
            </w:pPr>
            <w:r>
              <w:rPr>
                <w:rFonts w:hint="eastAsia" w:ascii="宋体" w:hAnsi="宋体"/>
                <w:color w:val="auto"/>
                <w:szCs w:val="21"/>
              </w:rPr>
              <w:t>元</w:t>
            </w:r>
          </w:p>
        </w:tc>
        <w:tc>
          <w:tcPr>
            <w:tcW w:w="1539" w:type="dxa"/>
            <w:vAlign w:val="center"/>
          </w:tcPr>
          <w:p w14:paraId="1D1B0C86">
            <w:pPr>
              <w:jc w:val="center"/>
              <w:rPr>
                <w:rFonts w:ascii="宋体" w:hAnsi="宋体"/>
                <w:color w:val="auto"/>
                <w:szCs w:val="21"/>
              </w:rPr>
            </w:pPr>
          </w:p>
        </w:tc>
        <w:tc>
          <w:tcPr>
            <w:tcW w:w="1539" w:type="dxa"/>
            <w:vAlign w:val="center"/>
          </w:tcPr>
          <w:p w14:paraId="6236B441">
            <w:pPr>
              <w:jc w:val="center"/>
              <w:rPr>
                <w:rFonts w:ascii="宋体" w:hAnsi="宋体"/>
                <w:color w:val="auto"/>
                <w:szCs w:val="21"/>
              </w:rPr>
            </w:pPr>
          </w:p>
        </w:tc>
        <w:tc>
          <w:tcPr>
            <w:tcW w:w="1539" w:type="dxa"/>
            <w:vAlign w:val="center"/>
          </w:tcPr>
          <w:p w14:paraId="1ED0A441">
            <w:pPr>
              <w:jc w:val="center"/>
              <w:rPr>
                <w:rFonts w:ascii="宋体" w:hAnsi="宋体"/>
                <w:color w:val="auto"/>
                <w:szCs w:val="21"/>
              </w:rPr>
            </w:pPr>
          </w:p>
        </w:tc>
        <w:tc>
          <w:tcPr>
            <w:tcW w:w="1539" w:type="dxa"/>
            <w:vAlign w:val="center"/>
          </w:tcPr>
          <w:p w14:paraId="55F319C7">
            <w:pPr>
              <w:jc w:val="center"/>
              <w:rPr>
                <w:rFonts w:ascii="宋体" w:hAnsi="宋体"/>
                <w:color w:val="auto"/>
                <w:szCs w:val="21"/>
              </w:rPr>
            </w:pPr>
            <w:r>
              <w:rPr>
                <w:rFonts w:hint="eastAsia" w:ascii="宋体" w:hAnsi="宋体"/>
                <w:color w:val="auto"/>
                <w:szCs w:val="21"/>
              </w:rPr>
              <w:t>-</w:t>
            </w:r>
          </w:p>
        </w:tc>
      </w:tr>
      <w:tr w14:paraId="4DAF59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590FC19E">
            <w:pPr>
              <w:rPr>
                <w:rFonts w:ascii="宋体" w:hAnsi="宋体"/>
                <w:color w:val="auto"/>
                <w:szCs w:val="21"/>
              </w:rPr>
            </w:pPr>
            <w:r>
              <w:rPr>
                <w:rFonts w:hint="eastAsia" w:ascii="宋体" w:hAnsi="宋体"/>
                <w:color w:val="auto"/>
                <w:szCs w:val="21"/>
                <w:lang w:eastAsia="zh-CN"/>
              </w:rPr>
              <w:t>五、</w:t>
            </w:r>
            <w:r>
              <w:rPr>
                <w:rFonts w:hint="eastAsia" w:ascii="宋体" w:hAnsi="宋体"/>
                <w:color w:val="auto"/>
                <w:szCs w:val="21"/>
              </w:rPr>
              <w:t>流动资产</w:t>
            </w:r>
          </w:p>
        </w:tc>
        <w:tc>
          <w:tcPr>
            <w:tcW w:w="815" w:type="dxa"/>
            <w:vAlign w:val="center"/>
          </w:tcPr>
          <w:p w14:paraId="141887C8">
            <w:pPr>
              <w:jc w:val="center"/>
              <w:rPr>
                <w:rFonts w:ascii="宋体" w:hAnsi="宋体"/>
                <w:color w:val="auto"/>
                <w:szCs w:val="21"/>
              </w:rPr>
            </w:pPr>
            <w:r>
              <w:rPr>
                <w:rFonts w:hint="eastAsia" w:ascii="宋体" w:hAnsi="宋体"/>
                <w:color w:val="auto"/>
                <w:szCs w:val="21"/>
              </w:rPr>
              <w:t>元</w:t>
            </w:r>
          </w:p>
        </w:tc>
        <w:tc>
          <w:tcPr>
            <w:tcW w:w="1539" w:type="dxa"/>
            <w:vAlign w:val="center"/>
          </w:tcPr>
          <w:p w14:paraId="1D939555">
            <w:pPr>
              <w:jc w:val="center"/>
              <w:rPr>
                <w:rFonts w:ascii="宋体" w:hAnsi="宋体"/>
                <w:color w:val="auto"/>
                <w:szCs w:val="21"/>
              </w:rPr>
            </w:pPr>
          </w:p>
        </w:tc>
        <w:tc>
          <w:tcPr>
            <w:tcW w:w="1539" w:type="dxa"/>
            <w:vAlign w:val="center"/>
          </w:tcPr>
          <w:p w14:paraId="1F256DB0">
            <w:pPr>
              <w:jc w:val="center"/>
              <w:rPr>
                <w:rFonts w:ascii="宋体" w:hAnsi="宋体"/>
                <w:color w:val="auto"/>
                <w:szCs w:val="21"/>
              </w:rPr>
            </w:pPr>
          </w:p>
        </w:tc>
        <w:tc>
          <w:tcPr>
            <w:tcW w:w="1539" w:type="dxa"/>
            <w:vAlign w:val="center"/>
          </w:tcPr>
          <w:p w14:paraId="59ED9FFD">
            <w:pPr>
              <w:jc w:val="center"/>
              <w:rPr>
                <w:rFonts w:ascii="宋体" w:hAnsi="宋体"/>
                <w:color w:val="auto"/>
                <w:szCs w:val="21"/>
              </w:rPr>
            </w:pPr>
          </w:p>
        </w:tc>
        <w:tc>
          <w:tcPr>
            <w:tcW w:w="1539" w:type="dxa"/>
            <w:vAlign w:val="center"/>
          </w:tcPr>
          <w:p w14:paraId="248C5B07">
            <w:pPr>
              <w:jc w:val="center"/>
              <w:rPr>
                <w:rFonts w:ascii="宋体" w:hAnsi="宋体"/>
                <w:color w:val="auto"/>
                <w:szCs w:val="21"/>
              </w:rPr>
            </w:pPr>
          </w:p>
        </w:tc>
      </w:tr>
      <w:tr w14:paraId="21520A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6A9BB893">
            <w:pPr>
              <w:rPr>
                <w:rFonts w:ascii="宋体" w:hAnsi="宋体"/>
                <w:color w:val="auto"/>
                <w:szCs w:val="21"/>
              </w:rPr>
            </w:pPr>
            <w:r>
              <w:rPr>
                <w:rFonts w:hint="eastAsia" w:ascii="宋体" w:hAnsi="宋体"/>
                <w:color w:val="auto"/>
                <w:szCs w:val="21"/>
                <w:lang w:eastAsia="zh-CN"/>
              </w:rPr>
              <w:t>六、</w:t>
            </w:r>
            <w:r>
              <w:rPr>
                <w:rFonts w:hint="eastAsia" w:ascii="宋体" w:hAnsi="宋体"/>
                <w:color w:val="auto"/>
                <w:szCs w:val="21"/>
              </w:rPr>
              <w:t>流动负债</w:t>
            </w:r>
          </w:p>
        </w:tc>
        <w:tc>
          <w:tcPr>
            <w:tcW w:w="815" w:type="dxa"/>
            <w:vAlign w:val="center"/>
          </w:tcPr>
          <w:p w14:paraId="6393680F">
            <w:pPr>
              <w:jc w:val="center"/>
              <w:rPr>
                <w:rFonts w:ascii="宋体" w:hAnsi="宋体"/>
                <w:color w:val="auto"/>
                <w:szCs w:val="21"/>
              </w:rPr>
            </w:pPr>
            <w:r>
              <w:rPr>
                <w:rFonts w:hint="eastAsia" w:ascii="宋体" w:hAnsi="宋体"/>
                <w:color w:val="auto"/>
                <w:szCs w:val="21"/>
              </w:rPr>
              <w:t>元</w:t>
            </w:r>
          </w:p>
        </w:tc>
        <w:tc>
          <w:tcPr>
            <w:tcW w:w="1539" w:type="dxa"/>
            <w:vAlign w:val="center"/>
          </w:tcPr>
          <w:p w14:paraId="713B5CDF">
            <w:pPr>
              <w:jc w:val="center"/>
              <w:rPr>
                <w:rFonts w:ascii="宋体" w:hAnsi="宋体"/>
                <w:color w:val="auto"/>
                <w:szCs w:val="21"/>
              </w:rPr>
            </w:pPr>
          </w:p>
        </w:tc>
        <w:tc>
          <w:tcPr>
            <w:tcW w:w="1539" w:type="dxa"/>
            <w:vAlign w:val="center"/>
          </w:tcPr>
          <w:p w14:paraId="4F881B96">
            <w:pPr>
              <w:jc w:val="center"/>
              <w:rPr>
                <w:rFonts w:ascii="宋体" w:hAnsi="宋体"/>
                <w:color w:val="auto"/>
                <w:szCs w:val="21"/>
              </w:rPr>
            </w:pPr>
          </w:p>
        </w:tc>
        <w:tc>
          <w:tcPr>
            <w:tcW w:w="1539" w:type="dxa"/>
            <w:vAlign w:val="center"/>
          </w:tcPr>
          <w:p w14:paraId="63374FE6">
            <w:pPr>
              <w:jc w:val="center"/>
              <w:rPr>
                <w:rFonts w:ascii="宋体" w:hAnsi="宋体"/>
                <w:color w:val="auto"/>
                <w:szCs w:val="21"/>
              </w:rPr>
            </w:pPr>
          </w:p>
        </w:tc>
        <w:tc>
          <w:tcPr>
            <w:tcW w:w="1539" w:type="dxa"/>
            <w:vAlign w:val="center"/>
          </w:tcPr>
          <w:p w14:paraId="412D7DCB">
            <w:pPr>
              <w:jc w:val="center"/>
              <w:rPr>
                <w:rFonts w:ascii="宋体" w:hAnsi="宋体"/>
                <w:color w:val="auto"/>
                <w:szCs w:val="21"/>
              </w:rPr>
            </w:pPr>
          </w:p>
        </w:tc>
      </w:tr>
      <w:tr w14:paraId="6CE0D2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254754DD">
            <w:pPr>
              <w:rPr>
                <w:rFonts w:ascii="宋体" w:hAnsi="宋体"/>
                <w:color w:val="auto"/>
                <w:szCs w:val="21"/>
              </w:rPr>
            </w:pPr>
            <w:r>
              <w:rPr>
                <w:rFonts w:hint="eastAsia" w:ascii="宋体" w:hAnsi="宋体"/>
                <w:color w:val="auto"/>
                <w:szCs w:val="21"/>
                <w:lang w:eastAsia="zh-CN"/>
              </w:rPr>
              <w:t>七、</w:t>
            </w:r>
            <w:r>
              <w:rPr>
                <w:rFonts w:hint="eastAsia" w:ascii="宋体" w:hAnsi="宋体"/>
                <w:color w:val="auto"/>
                <w:szCs w:val="21"/>
              </w:rPr>
              <w:t>负债合计</w:t>
            </w:r>
          </w:p>
        </w:tc>
        <w:tc>
          <w:tcPr>
            <w:tcW w:w="815" w:type="dxa"/>
            <w:vAlign w:val="center"/>
          </w:tcPr>
          <w:p w14:paraId="68187CF2">
            <w:pPr>
              <w:jc w:val="center"/>
              <w:rPr>
                <w:rFonts w:ascii="宋体" w:hAnsi="宋体"/>
                <w:color w:val="auto"/>
                <w:szCs w:val="21"/>
              </w:rPr>
            </w:pPr>
            <w:r>
              <w:rPr>
                <w:rFonts w:hint="eastAsia" w:ascii="宋体" w:hAnsi="宋体"/>
                <w:color w:val="auto"/>
                <w:szCs w:val="21"/>
              </w:rPr>
              <w:t>元</w:t>
            </w:r>
          </w:p>
        </w:tc>
        <w:tc>
          <w:tcPr>
            <w:tcW w:w="1539" w:type="dxa"/>
            <w:vAlign w:val="center"/>
          </w:tcPr>
          <w:p w14:paraId="267BB9FC">
            <w:pPr>
              <w:jc w:val="center"/>
              <w:rPr>
                <w:rFonts w:ascii="宋体" w:hAnsi="宋体"/>
                <w:color w:val="auto"/>
                <w:szCs w:val="21"/>
              </w:rPr>
            </w:pPr>
          </w:p>
        </w:tc>
        <w:tc>
          <w:tcPr>
            <w:tcW w:w="1539" w:type="dxa"/>
            <w:vAlign w:val="center"/>
          </w:tcPr>
          <w:p w14:paraId="22705763">
            <w:pPr>
              <w:jc w:val="center"/>
              <w:rPr>
                <w:rFonts w:ascii="宋体" w:hAnsi="宋体"/>
                <w:color w:val="auto"/>
                <w:szCs w:val="21"/>
              </w:rPr>
            </w:pPr>
          </w:p>
        </w:tc>
        <w:tc>
          <w:tcPr>
            <w:tcW w:w="1539" w:type="dxa"/>
            <w:vAlign w:val="center"/>
          </w:tcPr>
          <w:p w14:paraId="4B756CB0">
            <w:pPr>
              <w:jc w:val="center"/>
              <w:rPr>
                <w:rFonts w:ascii="宋体" w:hAnsi="宋体"/>
                <w:color w:val="auto"/>
                <w:szCs w:val="21"/>
              </w:rPr>
            </w:pPr>
          </w:p>
        </w:tc>
        <w:tc>
          <w:tcPr>
            <w:tcW w:w="1539" w:type="dxa"/>
            <w:vAlign w:val="center"/>
          </w:tcPr>
          <w:p w14:paraId="0CE57A8F">
            <w:pPr>
              <w:jc w:val="center"/>
              <w:rPr>
                <w:rFonts w:ascii="宋体" w:hAnsi="宋体"/>
                <w:color w:val="auto"/>
                <w:szCs w:val="21"/>
              </w:rPr>
            </w:pPr>
          </w:p>
        </w:tc>
      </w:tr>
      <w:tr w14:paraId="597556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2378968E">
            <w:pPr>
              <w:rPr>
                <w:rFonts w:ascii="宋体" w:hAnsi="宋体"/>
                <w:color w:val="auto"/>
                <w:szCs w:val="21"/>
              </w:rPr>
            </w:pPr>
            <w:r>
              <w:rPr>
                <w:rFonts w:hint="eastAsia" w:ascii="宋体" w:hAnsi="宋体"/>
                <w:color w:val="auto"/>
                <w:szCs w:val="21"/>
                <w:lang w:eastAsia="zh-CN"/>
              </w:rPr>
              <w:t>八、</w:t>
            </w:r>
            <w:r>
              <w:rPr>
                <w:rFonts w:hint="eastAsia" w:ascii="宋体" w:hAnsi="宋体"/>
                <w:color w:val="auto"/>
                <w:szCs w:val="21"/>
              </w:rPr>
              <w:t>营业收入</w:t>
            </w:r>
          </w:p>
        </w:tc>
        <w:tc>
          <w:tcPr>
            <w:tcW w:w="815" w:type="dxa"/>
            <w:vAlign w:val="center"/>
          </w:tcPr>
          <w:p w14:paraId="1D630436">
            <w:pPr>
              <w:jc w:val="center"/>
              <w:rPr>
                <w:rFonts w:ascii="宋体" w:hAnsi="宋体"/>
                <w:color w:val="auto"/>
                <w:szCs w:val="21"/>
              </w:rPr>
            </w:pPr>
            <w:r>
              <w:rPr>
                <w:rFonts w:hint="eastAsia" w:ascii="宋体" w:hAnsi="宋体"/>
                <w:color w:val="auto"/>
                <w:szCs w:val="21"/>
              </w:rPr>
              <w:t>元</w:t>
            </w:r>
          </w:p>
        </w:tc>
        <w:tc>
          <w:tcPr>
            <w:tcW w:w="1539" w:type="dxa"/>
            <w:vAlign w:val="center"/>
          </w:tcPr>
          <w:p w14:paraId="499D7D21">
            <w:pPr>
              <w:jc w:val="center"/>
              <w:rPr>
                <w:rFonts w:ascii="宋体" w:hAnsi="宋体"/>
                <w:color w:val="auto"/>
                <w:szCs w:val="21"/>
              </w:rPr>
            </w:pPr>
          </w:p>
        </w:tc>
        <w:tc>
          <w:tcPr>
            <w:tcW w:w="1539" w:type="dxa"/>
            <w:vAlign w:val="center"/>
          </w:tcPr>
          <w:p w14:paraId="3EF421EE">
            <w:pPr>
              <w:jc w:val="center"/>
              <w:rPr>
                <w:rFonts w:ascii="宋体" w:hAnsi="宋体"/>
                <w:color w:val="auto"/>
                <w:szCs w:val="21"/>
              </w:rPr>
            </w:pPr>
          </w:p>
        </w:tc>
        <w:tc>
          <w:tcPr>
            <w:tcW w:w="1539" w:type="dxa"/>
            <w:vAlign w:val="center"/>
          </w:tcPr>
          <w:p w14:paraId="25C68226">
            <w:pPr>
              <w:jc w:val="center"/>
              <w:rPr>
                <w:rFonts w:ascii="宋体" w:hAnsi="宋体"/>
                <w:color w:val="auto"/>
                <w:szCs w:val="21"/>
              </w:rPr>
            </w:pPr>
          </w:p>
        </w:tc>
        <w:tc>
          <w:tcPr>
            <w:tcW w:w="1539" w:type="dxa"/>
            <w:vAlign w:val="center"/>
          </w:tcPr>
          <w:p w14:paraId="349DFC82">
            <w:pPr>
              <w:jc w:val="center"/>
              <w:rPr>
                <w:rFonts w:ascii="宋体" w:hAnsi="宋体"/>
                <w:color w:val="auto"/>
                <w:szCs w:val="21"/>
              </w:rPr>
            </w:pPr>
          </w:p>
        </w:tc>
      </w:tr>
      <w:tr w14:paraId="739AB8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542A2DDA">
            <w:pPr>
              <w:rPr>
                <w:rFonts w:ascii="宋体" w:hAnsi="宋体"/>
                <w:color w:val="auto"/>
                <w:szCs w:val="21"/>
              </w:rPr>
            </w:pPr>
            <w:r>
              <w:rPr>
                <w:rFonts w:hint="eastAsia" w:ascii="宋体" w:hAnsi="宋体"/>
                <w:color w:val="auto"/>
                <w:szCs w:val="21"/>
                <w:lang w:eastAsia="zh-CN"/>
              </w:rPr>
              <w:t>九、</w:t>
            </w:r>
            <w:r>
              <w:rPr>
                <w:rFonts w:hint="eastAsia" w:ascii="宋体" w:hAnsi="宋体"/>
                <w:color w:val="auto"/>
                <w:szCs w:val="21"/>
              </w:rPr>
              <w:t>净利润</w:t>
            </w:r>
          </w:p>
        </w:tc>
        <w:tc>
          <w:tcPr>
            <w:tcW w:w="815" w:type="dxa"/>
            <w:vAlign w:val="center"/>
          </w:tcPr>
          <w:p w14:paraId="6DA71CF7">
            <w:pPr>
              <w:jc w:val="center"/>
              <w:rPr>
                <w:rFonts w:ascii="宋体" w:hAnsi="宋体"/>
                <w:color w:val="auto"/>
                <w:szCs w:val="21"/>
              </w:rPr>
            </w:pPr>
            <w:r>
              <w:rPr>
                <w:rFonts w:hint="eastAsia" w:ascii="宋体" w:hAnsi="宋体"/>
                <w:color w:val="auto"/>
                <w:szCs w:val="21"/>
              </w:rPr>
              <w:t>元</w:t>
            </w:r>
          </w:p>
        </w:tc>
        <w:tc>
          <w:tcPr>
            <w:tcW w:w="1539" w:type="dxa"/>
            <w:vAlign w:val="center"/>
          </w:tcPr>
          <w:p w14:paraId="1EF3338D">
            <w:pPr>
              <w:jc w:val="center"/>
              <w:rPr>
                <w:rFonts w:ascii="宋体" w:hAnsi="宋体"/>
                <w:color w:val="auto"/>
                <w:szCs w:val="21"/>
              </w:rPr>
            </w:pPr>
          </w:p>
        </w:tc>
        <w:tc>
          <w:tcPr>
            <w:tcW w:w="1539" w:type="dxa"/>
            <w:vAlign w:val="center"/>
          </w:tcPr>
          <w:p w14:paraId="1C891B61">
            <w:pPr>
              <w:jc w:val="center"/>
              <w:rPr>
                <w:rFonts w:ascii="宋体" w:hAnsi="宋体"/>
                <w:color w:val="auto"/>
                <w:szCs w:val="21"/>
              </w:rPr>
            </w:pPr>
          </w:p>
        </w:tc>
        <w:tc>
          <w:tcPr>
            <w:tcW w:w="1539" w:type="dxa"/>
            <w:vAlign w:val="center"/>
          </w:tcPr>
          <w:p w14:paraId="160D0EB3">
            <w:pPr>
              <w:jc w:val="center"/>
              <w:rPr>
                <w:rFonts w:ascii="宋体" w:hAnsi="宋体"/>
                <w:color w:val="auto"/>
                <w:szCs w:val="21"/>
              </w:rPr>
            </w:pPr>
          </w:p>
        </w:tc>
        <w:tc>
          <w:tcPr>
            <w:tcW w:w="1539" w:type="dxa"/>
            <w:vAlign w:val="center"/>
          </w:tcPr>
          <w:p w14:paraId="7BB1C4BE">
            <w:pPr>
              <w:jc w:val="center"/>
              <w:rPr>
                <w:rFonts w:ascii="宋体" w:hAnsi="宋体"/>
                <w:color w:val="auto"/>
                <w:szCs w:val="21"/>
              </w:rPr>
            </w:pPr>
            <w:r>
              <w:rPr>
                <w:rFonts w:hint="eastAsia" w:ascii="宋体" w:hAnsi="宋体"/>
                <w:color w:val="auto"/>
                <w:szCs w:val="21"/>
              </w:rPr>
              <w:t>-</w:t>
            </w:r>
          </w:p>
        </w:tc>
      </w:tr>
      <w:tr w14:paraId="762635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68CBB7F4">
            <w:pPr>
              <w:rPr>
                <w:rFonts w:ascii="宋体" w:hAnsi="宋体"/>
                <w:color w:val="auto"/>
                <w:szCs w:val="21"/>
              </w:rPr>
            </w:pPr>
            <w:r>
              <w:rPr>
                <w:rFonts w:hint="eastAsia" w:ascii="宋体" w:hAnsi="宋体"/>
                <w:color w:val="auto"/>
                <w:szCs w:val="21"/>
                <w:lang w:eastAsia="zh-CN"/>
              </w:rPr>
              <w:t>十、</w:t>
            </w:r>
            <w:r>
              <w:rPr>
                <w:rFonts w:hint="eastAsia" w:ascii="宋体" w:hAnsi="宋体"/>
                <w:color w:val="auto"/>
                <w:szCs w:val="21"/>
              </w:rPr>
              <w:t>现金流量净额</w:t>
            </w:r>
          </w:p>
        </w:tc>
        <w:tc>
          <w:tcPr>
            <w:tcW w:w="815" w:type="dxa"/>
            <w:vAlign w:val="center"/>
          </w:tcPr>
          <w:p w14:paraId="18D7736B">
            <w:pPr>
              <w:jc w:val="center"/>
              <w:rPr>
                <w:rFonts w:ascii="宋体" w:hAnsi="宋体"/>
                <w:color w:val="auto"/>
                <w:szCs w:val="21"/>
              </w:rPr>
            </w:pPr>
            <w:r>
              <w:rPr>
                <w:rFonts w:hint="eastAsia" w:ascii="宋体" w:hAnsi="宋体"/>
                <w:color w:val="auto"/>
                <w:szCs w:val="21"/>
              </w:rPr>
              <w:t>元</w:t>
            </w:r>
          </w:p>
        </w:tc>
        <w:tc>
          <w:tcPr>
            <w:tcW w:w="1539" w:type="dxa"/>
            <w:vAlign w:val="center"/>
          </w:tcPr>
          <w:p w14:paraId="36B98D96">
            <w:pPr>
              <w:jc w:val="center"/>
              <w:rPr>
                <w:rFonts w:ascii="宋体" w:hAnsi="宋体"/>
                <w:color w:val="auto"/>
                <w:szCs w:val="21"/>
              </w:rPr>
            </w:pPr>
          </w:p>
        </w:tc>
        <w:tc>
          <w:tcPr>
            <w:tcW w:w="1539" w:type="dxa"/>
            <w:vAlign w:val="center"/>
          </w:tcPr>
          <w:p w14:paraId="781841B9">
            <w:pPr>
              <w:jc w:val="center"/>
              <w:rPr>
                <w:rFonts w:ascii="宋体" w:hAnsi="宋体"/>
                <w:color w:val="auto"/>
                <w:szCs w:val="21"/>
              </w:rPr>
            </w:pPr>
          </w:p>
        </w:tc>
        <w:tc>
          <w:tcPr>
            <w:tcW w:w="1539" w:type="dxa"/>
            <w:vAlign w:val="center"/>
          </w:tcPr>
          <w:p w14:paraId="5A183591">
            <w:pPr>
              <w:jc w:val="center"/>
              <w:rPr>
                <w:rFonts w:ascii="宋体" w:hAnsi="宋体"/>
                <w:color w:val="auto"/>
                <w:szCs w:val="21"/>
              </w:rPr>
            </w:pPr>
          </w:p>
        </w:tc>
        <w:tc>
          <w:tcPr>
            <w:tcW w:w="1539" w:type="dxa"/>
            <w:vAlign w:val="center"/>
          </w:tcPr>
          <w:p w14:paraId="63379159">
            <w:pPr>
              <w:jc w:val="center"/>
              <w:rPr>
                <w:rFonts w:ascii="宋体" w:hAnsi="宋体"/>
                <w:color w:val="auto"/>
                <w:szCs w:val="21"/>
              </w:rPr>
            </w:pPr>
            <w:r>
              <w:rPr>
                <w:rFonts w:hint="eastAsia" w:ascii="宋体" w:hAnsi="宋体"/>
                <w:color w:val="auto"/>
                <w:szCs w:val="21"/>
              </w:rPr>
              <w:t>-</w:t>
            </w:r>
          </w:p>
        </w:tc>
      </w:tr>
      <w:tr w14:paraId="6E368E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76527884">
            <w:pPr>
              <w:rPr>
                <w:rFonts w:ascii="宋体" w:hAnsi="宋体"/>
                <w:color w:val="auto"/>
                <w:szCs w:val="21"/>
              </w:rPr>
            </w:pPr>
            <w:r>
              <w:rPr>
                <w:rFonts w:hint="eastAsia" w:ascii="宋体" w:hAnsi="宋体"/>
                <w:color w:val="auto"/>
                <w:szCs w:val="21"/>
                <w:lang w:eastAsia="zh-CN"/>
              </w:rPr>
              <w:t>十一、</w:t>
            </w:r>
            <w:r>
              <w:rPr>
                <w:rFonts w:hint="eastAsia" w:ascii="宋体" w:hAnsi="宋体"/>
                <w:color w:val="auto"/>
                <w:szCs w:val="21"/>
              </w:rPr>
              <w:t>主要财务指标</w:t>
            </w:r>
          </w:p>
        </w:tc>
        <w:tc>
          <w:tcPr>
            <w:tcW w:w="815" w:type="dxa"/>
            <w:vAlign w:val="center"/>
          </w:tcPr>
          <w:p w14:paraId="225ECE7D">
            <w:pPr>
              <w:jc w:val="center"/>
              <w:rPr>
                <w:rFonts w:ascii="宋体" w:hAnsi="宋体"/>
                <w:color w:val="auto"/>
                <w:szCs w:val="21"/>
              </w:rPr>
            </w:pPr>
          </w:p>
        </w:tc>
        <w:tc>
          <w:tcPr>
            <w:tcW w:w="1539" w:type="dxa"/>
            <w:vAlign w:val="center"/>
          </w:tcPr>
          <w:p w14:paraId="178AC21E">
            <w:pPr>
              <w:jc w:val="center"/>
              <w:rPr>
                <w:rFonts w:ascii="宋体" w:hAnsi="宋体"/>
                <w:color w:val="auto"/>
                <w:szCs w:val="21"/>
              </w:rPr>
            </w:pPr>
          </w:p>
        </w:tc>
        <w:tc>
          <w:tcPr>
            <w:tcW w:w="1539" w:type="dxa"/>
            <w:vAlign w:val="center"/>
          </w:tcPr>
          <w:p w14:paraId="7B4D70CF">
            <w:pPr>
              <w:jc w:val="center"/>
              <w:rPr>
                <w:rFonts w:ascii="宋体" w:hAnsi="宋体"/>
                <w:color w:val="auto"/>
                <w:szCs w:val="21"/>
              </w:rPr>
            </w:pPr>
          </w:p>
        </w:tc>
        <w:tc>
          <w:tcPr>
            <w:tcW w:w="1539" w:type="dxa"/>
            <w:vAlign w:val="center"/>
          </w:tcPr>
          <w:p w14:paraId="4BD6CF11">
            <w:pPr>
              <w:jc w:val="center"/>
              <w:rPr>
                <w:rFonts w:ascii="宋体" w:hAnsi="宋体"/>
                <w:color w:val="auto"/>
                <w:szCs w:val="21"/>
              </w:rPr>
            </w:pPr>
          </w:p>
        </w:tc>
        <w:tc>
          <w:tcPr>
            <w:tcW w:w="1539" w:type="dxa"/>
            <w:vAlign w:val="center"/>
          </w:tcPr>
          <w:p w14:paraId="58700A2B">
            <w:pPr>
              <w:jc w:val="center"/>
              <w:rPr>
                <w:rFonts w:ascii="宋体" w:hAnsi="宋体"/>
                <w:color w:val="auto"/>
                <w:szCs w:val="21"/>
              </w:rPr>
            </w:pPr>
            <w:r>
              <w:rPr>
                <w:rFonts w:hint="eastAsia" w:ascii="宋体" w:hAnsi="宋体"/>
                <w:color w:val="auto"/>
                <w:szCs w:val="21"/>
              </w:rPr>
              <w:t>-</w:t>
            </w:r>
          </w:p>
        </w:tc>
      </w:tr>
      <w:tr w14:paraId="208CC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5912520C">
            <w:pPr>
              <w:rPr>
                <w:rFonts w:ascii="宋体" w:hAnsi="宋体"/>
                <w:color w:val="auto"/>
                <w:szCs w:val="21"/>
              </w:rPr>
            </w:pPr>
            <w:r>
              <w:rPr>
                <w:rFonts w:hint="eastAsia" w:ascii="宋体" w:hAnsi="宋体"/>
                <w:color w:val="auto"/>
                <w:szCs w:val="21"/>
                <w:lang w:eastAsia="zh-CN"/>
              </w:rPr>
              <w:t>1.</w:t>
            </w:r>
            <w:r>
              <w:rPr>
                <w:rFonts w:hint="eastAsia" w:ascii="宋体" w:hAnsi="宋体"/>
                <w:color w:val="auto"/>
                <w:szCs w:val="21"/>
              </w:rPr>
              <w:t>净资产收益率</w:t>
            </w:r>
          </w:p>
        </w:tc>
        <w:tc>
          <w:tcPr>
            <w:tcW w:w="815" w:type="dxa"/>
          </w:tcPr>
          <w:p w14:paraId="0B29FFE2">
            <w:pPr>
              <w:widowControl/>
              <w:autoSpaceDE w:val="0"/>
              <w:autoSpaceDN w:val="0"/>
              <w:spacing w:line="400" w:lineRule="atLeast"/>
              <w:ind w:firstLine="13"/>
              <w:jc w:val="center"/>
              <w:textAlignment w:val="bottom"/>
              <w:rPr>
                <w:color w:val="auto"/>
                <w:szCs w:val="21"/>
              </w:rPr>
            </w:pPr>
            <w:r>
              <w:rPr>
                <w:color w:val="auto"/>
                <w:szCs w:val="21"/>
              </w:rPr>
              <w:t>%</w:t>
            </w:r>
          </w:p>
        </w:tc>
        <w:tc>
          <w:tcPr>
            <w:tcW w:w="1539" w:type="dxa"/>
            <w:vAlign w:val="center"/>
          </w:tcPr>
          <w:p w14:paraId="1ABF6737">
            <w:pPr>
              <w:jc w:val="center"/>
              <w:rPr>
                <w:rFonts w:ascii="宋体" w:hAnsi="宋体"/>
                <w:color w:val="auto"/>
                <w:szCs w:val="21"/>
              </w:rPr>
            </w:pPr>
          </w:p>
        </w:tc>
        <w:tc>
          <w:tcPr>
            <w:tcW w:w="1539" w:type="dxa"/>
            <w:vAlign w:val="center"/>
          </w:tcPr>
          <w:p w14:paraId="6CF5D2F5">
            <w:pPr>
              <w:jc w:val="center"/>
              <w:rPr>
                <w:rFonts w:ascii="宋体" w:hAnsi="宋体"/>
                <w:color w:val="auto"/>
                <w:szCs w:val="21"/>
              </w:rPr>
            </w:pPr>
          </w:p>
        </w:tc>
        <w:tc>
          <w:tcPr>
            <w:tcW w:w="1539" w:type="dxa"/>
            <w:vAlign w:val="center"/>
          </w:tcPr>
          <w:p w14:paraId="4F76F09A">
            <w:pPr>
              <w:jc w:val="center"/>
              <w:rPr>
                <w:rFonts w:ascii="宋体" w:hAnsi="宋体"/>
                <w:color w:val="auto"/>
                <w:szCs w:val="21"/>
              </w:rPr>
            </w:pPr>
          </w:p>
        </w:tc>
        <w:tc>
          <w:tcPr>
            <w:tcW w:w="1539" w:type="dxa"/>
            <w:vAlign w:val="center"/>
          </w:tcPr>
          <w:p w14:paraId="27D33B4B">
            <w:pPr>
              <w:jc w:val="center"/>
              <w:rPr>
                <w:rFonts w:ascii="宋体" w:hAnsi="宋体"/>
                <w:color w:val="auto"/>
                <w:szCs w:val="21"/>
              </w:rPr>
            </w:pPr>
          </w:p>
        </w:tc>
      </w:tr>
      <w:tr w14:paraId="453E9D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23EC9E49">
            <w:pPr>
              <w:rPr>
                <w:rFonts w:ascii="宋体" w:hAnsi="宋体"/>
                <w:color w:val="auto"/>
                <w:szCs w:val="21"/>
              </w:rPr>
            </w:pPr>
            <w:r>
              <w:rPr>
                <w:rFonts w:hint="eastAsia" w:ascii="宋体" w:hAnsi="宋体"/>
                <w:color w:val="auto"/>
                <w:szCs w:val="21"/>
                <w:lang w:eastAsia="zh-CN"/>
              </w:rPr>
              <w:t>2.</w:t>
            </w:r>
            <w:r>
              <w:rPr>
                <w:rFonts w:hint="eastAsia" w:ascii="宋体" w:hAnsi="宋体"/>
                <w:color w:val="auto"/>
                <w:szCs w:val="21"/>
              </w:rPr>
              <w:t>总资产报酬率</w:t>
            </w:r>
          </w:p>
        </w:tc>
        <w:tc>
          <w:tcPr>
            <w:tcW w:w="815" w:type="dxa"/>
          </w:tcPr>
          <w:p w14:paraId="13192856">
            <w:pPr>
              <w:widowControl/>
              <w:autoSpaceDE w:val="0"/>
              <w:autoSpaceDN w:val="0"/>
              <w:spacing w:line="400" w:lineRule="atLeast"/>
              <w:ind w:firstLine="13"/>
              <w:jc w:val="center"/>
              <w:textAlignment w:val="bottom"/>
              <w:rPr>
                <w:color w:val="auto"/>
                <w:szCs w:val="21"/>
              </w:rPr>
            </w:pPr>
            <w:r>
              <w:rPr>
                <w:color w:val="auto"/>
                <w:szCs w:val="21"/>
              </w:rPr>
              <w:t>%</w:t>
            </w:r>
          </w:p>
        </w:tc>
        <w:tc>
          <w:tcPr>
            <w:tcW w:w="1539" w:type="dxa"/>
            <w:vAlign w:val="center"/>
          </w:tcPr>
          <w:p w14:paraId="10B60B7C">
            <w:pPr>
              <w:jc w:val="center"/>
              <w:rPr>
                <w:rFonts w:ascii="宋体" w:hAnsi="宋体"/>
                <w:color w:val="auto"/>
                <w:szCs w:val="21"/>
              </w:rPr>
            </w:pPr>
          </w:p>
        </w:tc>
        <w:tc>
          <w:tcPr>
            <w:tcW w:w="1539" w:type="dxa"/>
            <w:vAlign w:val="center"/>
          </w:tcPr>
          <w:p w14:paraId="0099E4F6">
            <w:pPr>
              <w:jc w:val="center"/>
              <w:rPr>
                <w:rFonts w:ascii="宋体" w:hAnsi="宋体"/>
                <w:color w:val="auto"/>
                <w:szCs w:val="21"/>
              </w:rPr>
            </w:pPr>
          </w:p>
        </w:tc>
        <w:tc>
          <w:tcPr>
            <w:tcW w:w="1539" w:type="dxa"/>
            <w:vAlign w:val="center"/>
          </w:tcPr>
          <w:p w14:paraId="6951D21A">
            <w:pPr>
              <w:jc w:val="center"/>
              <w:rPr>
                <w:rFonts w:ascii="宋体" w:hAnsi="宋体"/>
                <w:color w:val="auto"/>
                <w:szCs w:val="21"/>
              </w:rPr>
            </w:pPr>
          </w:p>
        </w:tc>
        <w:tc>
          <w:tcPr>
            <w:tcW w:w="1539" w:type="dxa"/>
            <w:vAlign w:val="center"/>
          </w:tcPr>
          <w:p w14:paraId="5FCCAA75">
            <w:pPr>
              <w:jc w:val="center"/>
              <w:rPr>
                <w:rFonts w:ascii="宋体" w:hAnsi="宋体"/>
                <w:color w:val="auto"/>
                <w:szCs w:val="21"/>
              </w:rPr>
            </w:pPr>
          </w:p>
        </w:tc>
      </w:tr>
      <w:tr w14:paraId="5266C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30B218ED">
            <w:pPr>
              <w:rPr>
                <w:rFonts w:ascii="宋体" w:hAnsi="宋体"/>
                <w:color w:val="auto"/>
                <w:szCs w:val="21"/>
              </w:rPr>
            </w:pPr>
            <w:r>
              <w:rPr>
                <w:rFonts w:hint="eastAsia" w:ascii="宋体" w:hAnsi="宋体"/>
                <w:color w:val="auto"/>
                <w:szCs w:val="21"/>
                <w:lang w:eastAsia="zh-CN"/>
              </w:rPr>
              <w:t>3.</w:t>
            </w:r>
            <w:r>
              <w:rPr>
                <w:rFonts w:hint="eastAsia" w:ascii="宋体" w:hAnsi="宋体"/>
                <w:color w:val="auto"/>
                <w:szCs w:val="21"/>
              </w:rPr>
              <w:t>主营业务利润率</w:t>
            </w:r>
          </w:p>
        </w:tc>
        <w:tc>
          <w:tcPr>
            <w:tcW w:w="815" w:type="dxa"/>
          </w:tcPr>
          <w:p w14:paraId="06D5868C">
            <w:pPr>
              <w:widowControl/>
              <w:autoSpaceDE w:val="0"/>
              <w:autoSpaceDN w:val="0"/>
              <w:spacing w:line="400" w:lineRule="atLeast"/>
              <w:ind w:firstLine="13"/>
              <w:jc w:val="center"/>
              <w:textAlignment w:val="bottom"/>
              <w:rPr>
                <w:color w:val="auto"/>
                <w:szCs w:val="21"/>
              </w:rPr>
            </w:pPr>
            <w:r>
              <w:rPr>
                <w:color w:val="auto"/>
                <w:szCs w:val="21"/>
              </w:rPr>
              <w:t>%</w:t>
            </w:r>
          </w:p>
        </w:tc>
        <w:tc>
          <w:tcPr>
            <w:tcW w:w="1539" w:type="dxa"/>
            <w:vAlign w:val="center"/>
          </w:tcPr>
          <w:p w14:paraId="4111183B">
            <w:pPr>
              <w:jc w:val="center"/>
              <w:rPr>
                <w:rFonts w:ascii="宋体" w:hAnsi="宋体"/>
                <w:color w:val="auto"/>
                <w:szCs w:val="21"/>
              </w:rPr>
            </w:pPr>
          </w:p>
        </w:tc>
        <w:tc>
          <w:tcPr>
            <w:tcW w:w="1539" w:type="dxa"/>
            <w:vAlign w:val="center"/>
          </w:tcPr>
          <w:p w14:paraId="7BA06E2B">
            <w:pPr>
              <w:jc w:val="center"/>
              <w:rPr>
                <w:rFonts w:ascii="宋体" w:hAnsi="宋体"/>
                <w:color w:val="auto"/>
                <w:szCs w:val="21"/>
              </w:rPr>
            </w:pPr>
          </w:p>
        </w:tc>
        <w:tc>
          <w:tcPr>
            <w:tcW w:w="1539" w:type="dxa"/>
            <w:vAlign w:val="center"/>
          </w:tcPr>
          <w:p w14:paraId="0009B063">
            <w:pPr>
              <w:jc w:val="center"/>
              <w:rPr>
                <w:rFonts w:ascii="宋体" w:hAnsi="宋体"/>
                <w:color w:val="auto"/>
                <w:szCs w:val="21"/>
              </w:rPr>
            </w:pPr>
          </w:p>
        </w:tc>
        <w:tc>
          <w:tcPr>
            <w:tcW w:w="1539" w:type="dxa"/>
            <w:vAlign w:val="center"/>
          </w:tcPr>
          <w:p w14:paraId="02C4970A">
            <w:pPr>
              <w:jc w:val="center"/>
              <w:rPr>
                <w:rFonts w:ascii="宋体" w:hAnsi="宋体"/>
                <w:color w:val="auto"/>
                <w:szCs w:val="21"/>
              </w:rPr>
            </w:pPr>
            <w:r>
              <w:rPr>
                <w:rFonts w:hint="eastAsia" w:ascii="宋体" w:hAnsi="宋体"/>
                <w:color w:val="auto"/>
                <w:szCs w:val="21"/>
              </w:rPr>
              <w:t>-</w:t>
            </w:r>
          </w:p>
        </w:tc>
      </w:tr>
      <w:tr w14:paraId="6BF1C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20717EFB">
            <w:pPr>
              <w:rPr>
                <w:rFonts w:ascii="宋体" w:hAnsi="宋体"/>
                <w:color w:val="auto"/>
                <w:szCs w:val="21"/>
              </w:rPr>
            </w:pPr>
            <w:r>
              <w:rPr>
                <w:rFonts w:hint="eastAsia" w:ascii="宋体" w:hAnsi="宋体"/>
                <w:color w:val="auto"/>
                <w:szCs w:val="21"/>
                <w:lang w:eastAsia="zh-CN"/>
              </w:rPr>
              <w:t>4.</w:t>
            </w:r>
            <w:r>
              <w:rPr>
                <w:rFonts w:hint="eastAsia" w:ascii="宋体" w:hAnsi="宋体"/>
                <w:color w:val="auto"/>
                <w:szCs w:val="21"/>
              </w:rPr>
              <w:t>资产负债率</w:t>
            </w:r>
          </w:p>
        </w:tc>
        <w:tc>
          <w:tcPr>
            <w:tcW w:w="815" w:type="dxa"/>
          </w:tcPr>
          <w:p w14:paraId="574EAC9C">
            <w:pPr>
              <w:widowControl/>
              <w:autoSpaceDE w:val="0"/>
              <w:autoSpaceDN w:val="0"/>
              <w:spacing w:line="400" w:lineRule="atLeast"/>
              <w:ind w:firstLine="13"/>
              <w:jc w:val="center"/>
              <w:textAlignment w:val="bottom"/>
              <w:rPr>
                <w:color w:val="auto"/>
                <w:szCs w:val="21"/>
              </w:rPr>
            </w:pPr>
            <w:r>
              <w:rPr>
                <w:color w:val="auto"/>
                <w:szCs w:val="21"/>
              </w:rPr>
              <w:t>%</w:t>
            </w:r>
          </w:p>
        </w:tc>
        <w:tc>
          <w:tcPr>
            <w:tcW w:w="1539" w:type="dxa"/>
            <w:vAlign w:val="center"/>
          </w:tcPr>
          <w:p w14:paraId="5CA387BF">
            <w:pPr>
              <w:jc w:val="center"/>
              <w:rPr>
                <w:rFonts w:ascii="宋体" w:hAnsi="宋体"/>
                <w:color w:val="auto"/>
                <w:szCs w:val="21"/>
              </w:rPr>
            </w:pPr>
          </w:p>
        </w:tc>
        <w:tc>
          <w:tcPr>
            <w:tcW w:w="1539" w:type="dxa"/>
            <w:vAlign w:val="center"/>
          </w:tcPr>
          <w:p w14:paraId="74217292">
            <w:pPr>
              <w:jc w:val="center"/>
              <w:rPr>
                <w:rFonts w:ascii="宋体" w:hAnsi="宋体"/>
                <w:color w:val="auto"/>
                <w:szCs w:val="21"/>
              </w:rPr>
            </w:pPr>
          </w:p>
        </w:tc>
        <w:tc>
          <w:tcPr>
            <w:tcW w:w="1539" w:type="dxa"/>
            <w:vAlign w:val="center"/>
          </w:tcPr>
          <w:p w14:paraId="321FE967">
            <w:pPr>
              <w:jc w:val="center"/>
              <w:rPr>
                <w:rFonts w:ascii="宋体" w:hAnsi="宋体"/>
                <w:color w:val="auto"/>
                <w:szCs w:val="21"/>
              </w:rPr>
            </w:pPr>
          </w:p>
        </w:tc>
        <w:tc>
          <w:tcPr>
            <w:tcW w:w="1539" w:type="dxa"/>
            <w:vAlign w:val="center"/>
          </w:tcPr>
          <w:p w14:paraId="670B1FC0">
            <w:pPr>
              <w:jc w:val="center"/>
              <w:rPr>
                <w:rFonts w:ascii="宋体" w:hAnsi="宋体"/>
                <w:color w:val="auto"/>
                <w:szCs w:val="21"/>
              </w:rPr>
            </w:pPr>
          </w:p>
        </w:tc>
      </w:tr>
      <w:tr w14:paraId="51884E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5FA152C5">
            <w:pPr>
              <w:rPr>
                <w:rFonts w:ascii="宋体" w:hAnsi="宋体"/>
                <w:color w:val="auto"/>
                <w:szCs w:val="21"/>
              </w:rPr>
            </w:pPr>
            <w:r>
              <w:rPr>
                <w:rFonts w:hint="eastAsia" w:ascii="宋体" w:hAnsi="宋体"/>
                <w:color w:val="auto"/>
                <w:szCs w:val="21"/>
                <w:lang w:eastAsia="zh-CN"/>
              </w:rPr>
              <w:t>5.</w:t>
            </w:r>
            <w:r>
              <w:rPr>
                <w:rFonts w:hint="eastAsia" w:ascii="宋体" w:hAnsi="宋体"/>
                <w:color w:val="auto"/>
                <w:szCs w:val="21"/>
              </w:rPr>
              <w:t>流动比率</w:t>
            </w:r>
          </w:p>
        </w:tc>
        <w:tc>
          <w:tcPr>
            <w:tcW w:w="815" w:type="dxa"/>
          </w:tcPr>
          <w:p w14:paraId="37BDAD2C">
            <w:pPr>
              <w:widowControl/>
              <w:autoSpaceDE w:val="0"/>
              <w:autoSpaceDN w:val="0"/>
              <w:spacing w:line="400" w:lineRule="atLeast"/>
              <w:ind w:firstLine="13"/>
              <w:jc w:val="center"/>
              <w:textAlignment w:val="bottom"/>
              <w:rPr>
                <w:color w:val="auto"/>
                <w:szCs w:val="21"/>
              </w:rPr>
            </w:pPr>
            <w:r>
              <w:rPr>
                <w:color w:val="auto"/>
                <w:szCs w:val="21"/>
              </w:rPr>
              <w:t>%</w:t>
            </w:r>
          </w:p>
        </w:tc>
        <w:tc>
          <w:tcPr>
            <w:tcW w:w="1539" w:type="dxa"/>
            <w:vAlign w:val="center"/>
          </w:tcPr>
          <w:p w14:paraId="0FC4E71B">
            <w:pPr>
              <w:jc w:val="center"/>
              <w:rPr>
                <w:rFonts w:ascii="宋体" w:hAnsi="宋体"/>
                <w:color w:val="auto"/>
                <w:szCs w:val="21"/>
              </w:rPr>
            </w:pPr>
          </w:p>
        </w:tc>
        <w:tc>
          <w:tcPr>
            <w:tcW w:w="1539" w:type="dxa"/>
            <w:vAlign w:val="center"/>
          </w:tcPr>
          <w:p w14:paraId="124A3694">
            <w:pPr>
              <w:jc w:val="center"/>
              <w:rPr>
                <w:rFonts w:ascii="宋体" w:hAnsi="宋体"/>
                <w:color w:val="auto"/>
                <w:szCs w:val="21"/>
              </w:rPr>
            </w:pPr>
          </w:p>
        </w:tc>
        <w:tc>
          <w:tcPr>
            <w:tcW w:w="1539" w:type="dxa"/>
            <w:vAlign w:val="center"/>
          </w:tcPr>
          <w:p w14:paraId="0B1DC58D">
            <w:pPr>
              <w:jc w:val="center"/>
              <w:rPr>
                <w:rFonts w:ascii="宋体" w:hAnsi="宋体"/>
                <w:color w:val="auto"/>
                <w:szCs w:val="21"/>
              </w:rPr>
            </w:pPr>
          </w:p>
        </w:tc>
        <w:tc>
          <w:tcPr>
            <w:tcW w:w="1539" w:type="dxa"/>
            <w:vAlign w:val="center"/>
          </w:tcPr>
          <w:p w14:paraId="0258D652">
            <w:pPr>
              <w:jc w:val="center"/>
              <w:rPr>
                <w:rFonts w:ascii="宋体" w:hAnsi="宋体"/>
                <w:color w:val="auto"/>
                <w:szCs w:val="21"/>
              </w:rPr>
            </w:pPr>
          </w:p>
        </w:tc>
      </w:tr>
      <w:tr w14:paraId="4C60C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2F7FE79F">
            <w:pPr>
              <w:rPr>
                <w:rFonts w:ascii="宋体" w:hAnsi="宋体"/>
                <w:color w:val="auto"/>
                <w:szCs w:val="21"/>
              </w:rPr>
            </w:pPr>
            <w:r>
              <w:rPr>
                <w:rFonts w:hint="eastAsia" w:ascii="宋体" w:hAnsi="宋体"/>
                <w:color w:val="auto"/>
                <w:szCs w:val="21"/>
                <w:lang w:eastAsia="zh-CN"/>
              </w:rPr>
              <w:t>6.</w:t>
            </w:r>
            <w:r>
              <w:rPr>
                <w:rFonts w:hint="eastAsia" w:ascii="宋体" w:hAnsi="宋体"/>
                <w:color w:val="auto"/>
                <w:szCs w:val="21"/>
              </w:rPr>
              <w:t>速动比率</w:t>
            </w:r>
          </w:p>
        </w:tc>
        <w:tc>
          <w:tcPr>
            <w:tcW w:w="815" w:type="dxa"/>
          </w:tcPr>
          <w:p w14:paraId="5A3725CA">
            <w:pPr>
              <w:widowControl/>
              <w:autoSpaceDE w:val="0"/>
              <w:autoSpaceDN w:val="0"/>
              <w:spacing w:line="400" w:lineRule="atLeast"/>
              <w:ind w:firstLine="13"/>
              <w:jc w:val="center"/>
              <w:textAlignment w:val="bottom"/>
              <w:rPr>
                <w:color w:val="auto"/>
                <w:szCs w:val="21"/>
              </w:rPr>
            </w:pPr>
            <w:r>
              <w:rPr>
                <w:color w:val="auto"/>
                <w:szCs w:val="21"/>
              </w:rPr>
              <w:t>%</w:t>
            </w:r>
          </w:p>
        </w:tc>
        <w:tc>
          <w:tcPr>
            <w:tcW w:w="1539" w:type="dxa"/>
            <w:vAlign w:val="center"/>
          </w:tcPr>
          <w:p w14:paraId="53B2622E">
            <w:pPr>
              <w:jc w:val="center"/>
              <w:rPr>
                <w:rFonts w:ascii="宋体" w:hAnsi="宋体"/>
                <w:color w:val="auto"/>
                <w:szCs w:val="21"/>
              </w:rPr>
            </w:pPr>
          </w:p>
        </w:tc>
        <w:tc>
          <w:tcPr>
            <w:tcW w:w="1539" w:type="dxa"/>
            <w:vAlign w:val="center"/>
          </w:tcPr>
          <w:p w14:paraId="06342B31">
            <w:pPr>
              <w:jc w:val="center"/>
              <w:rPr>
                <w:rFonts w:ascii="宋体" w:hAnsi="宋体"/>
                <w:color w:val="auto"/>
                <w:szCs w:val="21"/>
              </w:rPr>
            </w:pPr>
          </w:p>
        </w:tc>
        <w:tc>
          <w:tcPr>
            <w:tcW w:w="1539" w:type="dxa"/>
            <w:vAlign w:val="center"/>
          </w:tcPr>
          <w:p w14:paraId="0E43DC3E">
            <w:pPr>
              <w:jc w:val="center"/>
              <w:rPr>
                <w:rFonts w:ascii="宋体" w:hAnsi="宋体"/>
                <w:color w:val="auto"/>
                <w:szCs w:val="21"/>
              </w:rPr>
            </w:pPr>
          </w:p>
        </w:tc>
        <w:tc>
          <w:tcPr>
            <w:tcW w:w="1539" w:type="dxa"/>
            <w:vAlign w:val="center"/>
          </w:tcPr>
          <w:p w14:paraId="443892F1">
            <w:pPr>
              <w:jc w:val="center"/>
              <w:rPr>
                <w:rFonts w:ascii="宋体" w:hAnsi="宋体"/>
                <w:color w:val="auto"/>
                <w:szCs w:val="21"/>
              </w:rPr>
            </w:pPr>
          </w:p>
        </w:tc>
      </w:tr>
    </w:tbl>
    <w:p w14:paraId="22EF0A23">
      <w:pPr>
        <w:autoSpaceDE w:val="0"/>
        <w:autoSpaceDN w:val="0"/>
        <w:adjustRightInd w:val="0"/>
        <w:snapToGrid w:val="0"/>
        <w:spacing w:line="325" w:lineRule="exact"/>
        <w:ind w:left="945" w:hanging="945" w:hangingChars="450"/>
        <w:rPr>
          <w:rFonts w:ascii="宋体" w:cs="宋体"/>
          <w:color w:val="auto"/>
          <w:kern w:val="0"/>
          <w:szCs w:val="21"/>
        </w:rPr>
      </w:pPr>
      <w:r>
        <w:rPr>
          <w:rFonts w:hint="eastAsia" w:ascii="黑体" w:hAnsi="宋体" w:eastAsia="黑体"/>
          <w:color w:val="auto"/>
          <w:szCs w:val="21"/>
        </w:rPr>
        <w:t>备注：</w:t>
      </w:r>
      <w:r>
        <w:rPr>
          <w:rFonts w:ascii="宋体" w:cs="宋体"/>
          <w:color w:val="auto"/>
          <w:kern w:val="0"/>
          <w:szCs w:val="21"/>
        </w:rPr>
        <w:t>1</w:t>
      </w:r>
      <w:r>
        <w:rPr>
          <w:rFonts w:hint="eastAsia" w:ascii="宋体" w:hAnsi="宋体"/>
          <w:color w:val="auto"/>
          <w:szCs w:val="21"/>
        </w:rPr>
        <w:t>.</w:t>
      </w:r>
      <w:r>
        <w:rPr>
          <w:rFonts w:hint="eastAsia" w:ascii="宋体" w:cs="宋体"/>
          <w:color w:val="auto"/>
          <w:kern w:val="0"/>
          <w:szCs w:val="21"/>
        </w:rPr>
        <w:t>本表后应附近年经会计师事务所或审计机构审计的财务会计报表。</w:t>
      </w:r>
    </w:p>
    <w:p w14:paraId="2D75BDCA">
      <w:pPr>
        <w:autoSpaceDE w:val="0"/>
        <w:autoSpaceDN w:val="0"/>
        <w:adjustRightInd w:val="0"/>
        <w:snapToGrid w:val="0"/>
        <w:spacing w:line="325" w:lineRule="exact"/>
        <w:ind w:left="945" w:hanging="945" w:hangingChars="450"/>
        <w:rPr>
          <w:rFonts w:ascii="宋体" w:cs="宋体"/>
          <w:color w:val="auto"/>
          <w:kern w:val="0"/>
          <w:szCs w:val="21"/>
        </w:rPr>
      </w:pPr>
      <w:r>
        <w:rPr>
          <w:rFonts w:ascii="宋体" w:cs="宋体"/>
          <w:color w:val="auto"/>
          <w:kern w:val="0"/>
          <w:szCs w:val="21"/>
        </w:rPr>
        <w:t xml:space="preserve">  </w:t>
      </w:r>
      <w:r>
        <w:rPr>
          <w:rFonts w:hint="eastAsia" w:ascii="宋体" w:cs="宋体"/>
          <w:color w:val="auto"/>
          <w:kern w:val="0"/>
          <w:szCs w:val="21"/>
        </w:rPr>
        <w:t xml:space="preserve">    </w:t>
      </w:r>
      <w:r>
        <w:rPr>
          <w:rFonts w:ascii="宋体" w:cs="宋体"/>
          <w:color w:val="auto"/>
          <w:kern w:val="0"/>
          <w:szCs w:val="21"/>
        </w:rPr>
        <w:t>2</w:t>
      </w:r>
      <w:r>
        <w:rPr>
          <w:rFonts w:hint="eastAsia" w:ascii="宋体" w:hAnsi="宋体"/>
          <w:color w:val="auto"/>
          <w:szCs w:val="21"/>
        </w:rPr>
        <w:t>.</w:t>
      </w:r>
      <w:r>
        <w:rPr>
          <w:rFonts w:hint="eastAsia" w:ascii="宋体" w:cs="宋体"/>
          <w:color w:val="auto"/>
          <w:kern w:val="0"/>
          <w:szCs w:val="21"/>
        </w:rPr>
        <w:t>本表所列数据必须与本表各附件中的数据相一致。</w:t>
      </w:r>
      <w:r>
        <w:rPr>
          <w:rFonts w:hint="eastAsia" w:ascii="宋体" w:hAnsi="宋体"/>
          <w:color w:val="auto"/>
          <w:szCs w:val="21"/>
        </w:rPr>
        <w:t>如果有不一致之处，以不利于投标人的数据为准。</w:t>
      </w:r>
    </w:p>
    <w:p w14:paraId="523705AC">
      <w:pPr>
        <w:rPr>
          <w:color w:val="auto"/>
        </w:rPr>
        <w:sectPr>
          <w:footerReference r:id="rId48" w:type="default"/>
          <w:pgSz w:w="11906" w:h="16838"/>
          <w:pgMar w:top="1440" w:right="1800" w:bottom="1440" w:left="1800" w:header="851" w:footer="992" w:gutter="0"/>
          <w:pgNumType w:fmt="decimal"/>
          <w:cols w:space="425" w:num="1"/>
          <w:docGrid w:type="lines" w:linePitch="312" w:charSpace="0"/>
        </w:sectPr>
      </w:pPr>
      <w:r>
        <w:rPr>
          <w:rFonts w:ascii="宋体" w:cs="宋体"/>
          <w:color w:val="auto"/>
          <w:kern w:val="0"/>
          <w:szCs w:val="21"/>
        </w:rPr>
        <w:t xml:space="preserve">  </w:t>
      </w:r>
      <w:r>
        <w:rPr>
          <w:rFonts w:hint="eastAsia" w:ascii="宋体" w:cs="宋体"/>
          <w:color w:val="auto"/>
          <w:kern w:val="0"/>
          <w:szCs w:val="21"/>
        </w:rPr>
        <w:t xml:space="preserve">    </w:t>
      </w:r>
      <w:r>
        <w:rPr>
          <w:rFonts w:ascii="宋体" w:cs="宋体"/>
          <w:color w:val="auto"/>
          <w:kern w:val="0"/>
          <w:szCs w:val="21"/>
        </w:rPr>
        <w:t>3</w:t>
      </w:r>
      <w:r>
        <w:rPr>
          <w:rFonts w:hint="eastAsia" w:ascii="宋体" w:hAnsi="宋体"/>
          <w:color w:val="auto"/>
          <w:szCs w:val="21"/>
        </w:rPr>
        <w:t>.</w:t>
      </w:r>
      <w:r>
        <w:rPr>
          <w:rFonts w:hint="eastAsia" w:ascii="宋体" w:cs="宋体"/>
          <w:color w:val="auto"/>
          <w:kern w:val="0"/>
          <w:szCs w:val="21"/>
        </w:rPr>
        <w:t>联合体</w:t>
      </w:r>
      <w:r>
        <w:rPr>
          <w:rFonts w:hint="eastAsia"/>
          <w:color w:val="auto"/>
          <w:szCs w:val="21"/>
        </w:rPr>
        <w:t>投标</w:t>
      </w:r>
      <w:r>
        <w:rPr>
          <w:rFonts w:hint="eastAsia" w:ascii="宋体" w:cs="宋体"/>
          <w:color w:val="auto"/>
          <w:kern w:val="0"/>
          <w:szCs w:val="21"/>
        </w:rPr>
        <w:t>的，联合体各成员应分别填写。</w:t>
      </w:r>
    </w:p>
    <w:p w14:paraId="56AD3872">
      <w:pPr>
        <w:pStyle w:val="27"/>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szCs w:val="24"/>
        </w:rPr>
      </w:pPr>
      <w:bookmarkStart w:id="2031" w:name="_Toc122603092"/>
      <w:bookmarkStart w:id="2032" w:name="_Toc23059"/>
      <w:r>
        <w:rPr>
          <w:rFonts w:hint="eastAsia"/>
          <w:color w:val="auto"/>
          <w:szCs w:val="24"/>
          <w:lang w:eastAsia="zh-CN"/>
        </w:rPr>
        <w:t>（</w:t>
      </w:r>
      <w:r>
        <w:rPr>
          <w:rFonts w:hint="default"/>
          <w:color w:val="auto"/>
          <w:szCs w:val="24"/>
        </w:rPr>
        <w:t>三</w:t>
      </w:r>
      <w:r>
        <w:rPr>
          <w:rFonts w:hint="eastAsia"/>
          <w:color w:val="auto"/>
          <w:szCs w:val="24"/>
          <w:lang w:eastAsia="zh-CN"/>
        </w:rPr>
        <w:t>）</w:t>
      </w:r>
      <w:r>
        <w:rPr>
          <w:rFonts w:hint="eastAsia"/>
          <w:color w:val="auto"/>
          <w:szCs w:val="24"/>
        </w:rPr>
        <w:t>近年完成的类似项目情况</w:t>
      </w:r>
      <w:bookmarkEnd w:id="2031"/>
      <w:bookmarkEnd w:id="2032"/>
    </w:p>
    <w:p w14:paraId="5DB33C6A">
      <w:pPr>
        <w:numPr>
          <w:ilvl w:val="0"/>
          <w:numId w:val="0"/>
        </w:numPr>
        <w:bidi w:val="0"/>
        <w:spacing w:before="156" w:beforeLines="50" w:after="156" w:afterLines="50"/>
        <w:ind w:left="0" w:leftChars="0"/>
        <w:jc w:val="center"/>
        <w:rPr>
          <w:rFonts w:hint="eastAsia" w:ascii="黑体" w:hAnsi="黑体" w:eastAsia="黑体" w:cs="黑体"/>
          <w:color w:val="auto"/>
          <w:sz w:val="24"/>
          <w:szCs w:val="24"/>
        </w:rPr>
      </w:pPr>
      <w:bookmarkStart w:id="2033" w:name="_Toc122603093"/>
      <w:r>
        <w:rPr>
          <w:rFonts w:hint="eastAsia" w:ascii="黑体" w:hAnsi="黑体" w:eastAsia="黑体" w:cs="黑体"/>
          <w:color w:val="auto"/>
          <w:sz w:val="24"/>
          <w:szCs w:val="24"/>
        </w:rPr>
        <w:t>近年完成的类似项目汇总表</w:t>
      </w:r>
      <w:bookmarkEnd w:id="2033"/>
    </w:p>
    <w:tbl>
      <w:tblPr>
        <w:tblStyle w:val="18"/>
        <w:tblW w:w="88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846"/>
        <w:gridCol w:w="1394"/>
        <w:gridCol w:w="1080"/>
        <w:gridCol w:w="1112"/>
        <w:gridCol w:w="1778"/>
        <w:gridCol w:w="1080"/>
      </w:tblGrid>
      <w:tr w14:paraId="3A893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noWrap w:val="0"/>
            <w:vAlign w:val="center"/>
          </w:tcPr>
          <w:p w14:paraId="71EE2F53">
            <w:pPr>
              <w:topLinePunct/>
              <w:spacing w:line="400" w:lineRule="atLeast"/>
              <w:jc w:val="center"/>
              <w:rPr>
                <w:rFonts w:hint="eastAsia"/>
                <w:color w:val="auto"/>
                <w:szCs w:val="21"/>
              </w:rPr>
            </w:pPr>
            <w:r>
              <w:rPr>
                <w:rFonts w:hint="eastAsia"/>
                <w:color w:val="auto"/>
                <w:szCs w:val="21"/>
              </w:rPr>
              <w:t>序号</w:t>
            </w:r>
          </w:p>
        </w:tc>
        <w:tc>
          <w:tcPr>
            <w:tcW w:w="1846" w:type="dxa"/>
            <w:noWrap w:val="0"/>
            <w:vAlign w:val="center"/>
          </w:tcPr>
          <w:p w14:paraId="2C9C9E38">
            <w:pPr>
              <w:topLinePunct/>
              <w:spacing w:line="400" w:lineRule="atLeast"/>
              <w:jc w:val="center"/>
              <w:rPr>
                <w:rFonts w:hint="eastAsia"/>
                <w:color w:val="auto"/>
                <w:szCs w:val="21"/>
              </w:rPr>
            </w:pPr>
            <w:r>
              <w:rPr>
                <w:rFonts w:hint="eastAsia"/>
                <w:color w:val="auto"/>
                <w:szCs w:val="21"/>
              </w:rPr>
              <w:t>项目名称</w:t>
            </w:r>
          </w:p>
        </w:tc>
        <w:tc>
          <w:tcPr>
            <w:tcW w:w="1394" w:type="dxa"/>
            <w:noWrap w:val="0"/>
            <w:vAlign w:val="center"/>
          </w:tcPr>
          <w:p w14:paraId="43108F3C">
            <w:pPr>
              <w:topLinePunct/>
              <w:spacing w:line="400" w:lineRule="atLeast"/>
              <w:jc w:val="center"/>
              <w:rPr>
                <w:rFonts w:hint="eastAsia"/>
                <w:color w:val="auto"/>
                <w:szCs w:val="21"/>
              </w:rPr>
            </w:pPr>
            <w:r>
              <w:rPr>
                <w:rFonts w:hint="eastAsia" w:ascii="宋体" w:hAnsi="宋体"/>
                <w:color w:val="auto"/>
                <w:szCs w:val="21"/>
              </w:rPr>
              <w:t>发包人名称</w:t>
            </w:r>
          </w:p>
        </w:tc>
        <w:tc>
          <w:tcPr>
            <w:tcW w:w="1080" w:type="dxa"/>
            <w:noWrap w:val="0"/>
            <w:vAlign w:val="center"/>
          </w:tcPr>
          <w:p w14:paraId="75E13B2F">
            <w:pPr>
              <w:topLinePunct/>
              <w:spacing w:line="400" w:lineRule="atLeast"/>
              <w:jc w:val="center"/>
              <w:rPr>
                <w:rFonts w:hint="eastAsia"/>
                <w:color w:val="auto"/>
                <w:szCs w:val="21"/>
              </w:rPr>
            </w:pPr>
            <w:r>
              <w:rPr>
                <w:rFonts w:hint="eastAsia"/>
                <w:color w:val="auto"/>
                <w:szCs w:val="21"/>
              </w:rPr>
              <w:t>工程规模</w:t>
            </w:r>
          </w:p>
        </w:tc>
        <w:tc>
          <w:tcPr>
            <w:tcW w:w="1112" w:type="dxa"/>
            <w:noWrap w:val="0"/>
            <w:vAlign w:val="center"/>
          </w:tcPr>
          <w:p w14:paraId="169DF845">
            <w:pPr>
              <w:topLinePunct/>
              <w:spacing w:line="400" w:lineRule="atLeast"/>
              <w:jc w:val="center"/>
              <w:rPr>
                <w:rFonts w:hint="eastAsia"/>
                <w:color w:val="auto"/>
                <w:szCs w:val="21"/>
              </w:rPr>
            </w:pPr>
            <w:r>
              <w:rPr>
                <w:rFonts w:hint="eastAsia" w:ascii="宋体" w:hAnsi="宋体"/>
                <w:color w:val="auto"/>
                <w:szCs w:val="21"/>
              </w:rPr>
              <w:t>合同价格</w:t>
            </w:r>
            <w:r>
              <w:rPr>
                <w:rFonts w:hint="eastAsia"/>
                <w:color w:val="auto"/>
                <w:szCs w:val="21"/>
              </w:rPr>
              <w:t>（元）</w:t>
            </w:r>
          </w:p>
        </w:tc>
        <w:tc>
          <w:tcPr>
            <w:tcW w:w="1778" w:type="dxa"/>
            <w:noWrap w:val="0"/>
            <w:vAlign w:val="center"/>
          </w:tcPr>
          <w:p w14:paraId="473242BC">
            <w:pPr>
              <w:topLinePunct/>
              <w:spacing w:line="400" w:lineRule="atLeast"/>
              <w:jc w:val="center"/>
              <w:rPr>
                <w:rFonts w:hint="eastAsia"/>
                <w:color w:val="auto"/>
                <w:szCs w:val="21"/>
              </w:rPr>
            </w:pPr>
            <w:r>
              <w:rPr>
                <w:rFonts w:hint="eastAsia" w:ascii="宋体" w:hAnsi="宋体"/>
                <w:color w:val="auto"/>
                <w:szCs w:val="21"/>
              </w:rPr>
              <w:t>开、竣工日期</w:t>
            </w:r>
          </w:p>
        </w:tc>
        <w:tc>
          <w:tcPr>
            <w:tcW w:w="1080" w:type="dxa"/>
            <w:noWrap w:val="0"/>
            <w:vAlign w:val="center"/>
          </w:tcPr>
          <w:p w14:paraId="03B050F5">
            <w:pPr>
              <w:topLinePunct/>
              <w:spacing w:line="400" w:lineRule="atLeast"/>
              <w:jc w:val="center"/>
              <w:rPr>
                <w:rFonts w:hint="eastAsia"/>
                <w:color w:val="auto"/>
                <w:szCs w:val="21"/>
              </w:rPr>
            </w:pPr>
            <w:r>
              <w:rPr>
                <w:rFonts w:hint="eastAsia" w:ascii="宋体" w:hAnsi="宋体"/>
                <w:color w:val="auto"/>
                <w:szCs w:val="21"/>
              </w:rPr>
              <w:t>项目经理</w:t>
            </w:r>
          </w:p>
        </w:tc>
      </w:tr>
      <w:tr w14:paraId="5BEA5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07C27E76">
            <w:pPr>
              <w:topLinePunct/>
              <w:spacing w:line="400" w:lineRule="atLeast"/>
              <w:jc w:val="center"/>
              <w:rPr>
                <w:rFonts w:hint="eastAsia"/>
                <w:color w:val="auto"/>
                <w:szCs w:val="21"/>
              </w:rPr>
            </w:pPr>
          </w:p>
        </w:tc>
        <w:tc>
          <w:tcPr>
            <w:tcW w:w="1846" w:type="dxa"/>
            <w:noWrap w:val="0"/>
            <w:vAlign w:val="top"/>
          </w:tcPr>
          <w:p w14:paraId="3CD9504D">
            <w:pPr>
              <w:topLinePunct/>
              <w:spacing w:line="400" w:lineRule="atLeast"/>
              <w:jc w:val="center"/>
              <w:rPr>
                <w:rFonts w:hint="eastAsia"/>
                <w:color w:val="auto"/>
                <w:szCs w:val="21"/>
              </w:rPr>
            </w:pPr>
          </w:p>
        </w:tc>
        <w:tc>
          <w:tcPr>
            <w:tcW w:w="1394" w:type="dxa"/>
            <w:noWrap w:val="0"/>
            <w:vAlign w:val="top"/>
          </w:tcPr>
          <w:p w14:paraId="37946912">
            <w:pPr>
              <w:topLinePunct/>
              <w:spacing w:line="400" w:lineRule="atLeast"/>
              <w:jc w:val="center"/>
              <w:rPr>
                <w:rFonts w:hint="eastAsia"/>
                <w:color w:val="auto"/>
                <w:szCs w:val="21"/>
              </w:rPr>
            </w:pPr>
          </w:p>
        </w:tc>
        <w:tc>
          <w:tcPr>
            <w:tcW w:w="1080" w:type="dxa"/>
            <w:noWrap w:val="0"/>
            <w:vAlign w:val="top"/>
          </w:tcPr>
          <w:p w14:paraId="03756A08">
            <w:pPr>
              <w:topLinePunct/>
              <w:spacing w:line="400" w:lineRule="atLeast"/>
              <w:jc w:val="center"/>
              <w:rPr>
                <w:rFonts w:hint="eastAsia"/>
                <w:color w:val="auto"/>
                <w:szCs w:val="21"/>
              </w:rPr>
            </w:pPr>
          </w:p>
        </w:tc>
        <w:tc>
          <w:tcPr>
            <w:tcW w:w="1112" w:type="dxa"/>
            <w:noWrap w:val="0"/>
            <w:vAlign w:val="top"/>
          </w:tcPr>
          <w:p w14:paraId="0E95BA30">
            <w:pPr>
              <w:topLinePunct/>
              <w:spacing w:line="400" w:lineRule="atLeast"/>
              <w:jc w:val="center"/>
              <w:rPr>
                <w:rFonts w:hint="eastAsia"/>
                <w:color w:val="auto"/>
                <w:szCs w:val="21"/>
              </w:rPr>
            </w:pPr>
          </w:p>
        </w:tc>
        <w:tc>
          <w:tcPr>
            <w:tcW w:w="1778" w:type="dxa"/>
            <w:noWrap w:val="0"/>
            <w:vAlign w:val="top"/>
          </w:tcPr>
          <w:p w14:paraId="4C1ED65F">
            <w:pPr>
              <w:topLinePunct/>
              <w:spacing w:line="400" w:lineRule="atLeast"/>
              <w:jc w:val="center"/>
              <w:rPr>
                <w:rFonts w:hint="eastAsia"/>
                <w:color w:val="auto"/>
                <w:szCs w:val="21"/>
              </w:rPr>
            </w:pPr>
          </w:p>
        </w:tc>
        <w:tc>
          <w:tcPr>
            <w:tcW w:w="1080" w:type="dxa"/>
            <w:noWrap w:val="0"/>
            <w:vAlign w:val="top"/>
          </w:tcPr>
          <w:p w14:paraId="74DC442D">
            <w:pPr>
              <w:topLinePunct/>
              <w:spacing w:line="400" w:lineRule="atLeast"/>
              <w:jc w:val="center"/>
              <w:rPr>
                <w:rFonts w:hint="eastAsia"/>
                <w:color w:val="auto"/>
                <w:szCs w:val="21"/>
              </w:rPr>
            </w:pPr>
          </w:p>
        </w:tc>
      </w:tr>
      <w:tr w14:paraId="56DA2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074DE0A4">
            <w:pPr>
              <w:topLinePunct/>
              <w:spacing w:line="400" w:lineRule="atLeast"/>
              <w:jc w:val="center"/>
              <w:rPr>
                <w:rFonts w:hint="eastAsia"/>
                <w:color w:val="auto"/>
                <w:szCs w:val="21"/>
              </w:rPr>
            </w:pPr>
          </w:p>
        </w:tc>
        <w:tc>
          <w:tcPr>
            <w:tcW w:w="1846" w:type="dxa"/>
            <w:noWrap w:val="0"/>
            <w:vAlign w:val="top"/>
          </w:tcPr>
          <w:p w14:paraId="5C7535D3">
            <w:pPr>
              <w:topLinePunct/>
              <w:spacing w:line="400" w:lineRule="atLeast"/>
              <w:jc w:val="center"/>
              <w:rPr>
                <w:rFonts w:hint="eastAsia"/>
                <w:color w:val="auto"/>
                <w:szCs w:val="21"/>
              </w:rPr>
            </w:pPr>
          </w:p>
        </w:tc>
        <w:tc>
          <w:tcPr>
            <w:tcW w:w="1394" w:type="dxa"/>
            <w:noWrap w:val="0"/>
            <w:vAlign w:val="top"/>
          </w:tcPr>
          <w:p w14:paraId="475C8B5C">
            <w:pPr>
              <w:topLinePunct/>
              <w:spacing w:line="400" w:lineRule="atLeast"/>
              <w:jc w:val="center"/>
              <w:rPr>
                <w:rFonts w:hint="eastAsia"/>
                <w:color w:val="auto"/>
                <w:szCs w:val="21"/>
              </w:rPr>
            </w:pPr>
          </w:p>
        </w:tc>
        <w:tc>
          <w:tcPr>
            <w:tcW w:w="1080" w:type="dxa"/>
            <w:noWrap w:val="0"/>
            <w:vAlign w:val="top"/>
          </w:tcPr>
          <w:p w14:paraId="13BA13A6">
            <w:pPr>
              <w:topLinePunct/>
              <w:spacing w:line="400" w:lineRule="atLeast"/>
              <w:jc w:val="center"/>
              <w:rPr>
                <w:rFonts w:hint="eastAsia"/>
                <w:color w:val="auto"/>
                <w:szCs w:val="21"/>
              </w:rPr>
            </w:pPr>
          </w:p>
        </w:tc>
        <w:tc>
          <w:tcPr>
            <w:tcW w:w="1112" w:type="dxa"/>
            <w:noWrap w:val="0"/>
            <w:vAlign w:val="top"/>
          </w:tcPr>
          <w:p w14:paraId="560B7E64">
            <w:pPr>
              <w:topLinePunct/>
              <w:spacing w:line="400" w:lineRule="atLeast"/>
              <w:jc w:val="center"/>
              <w:rPr>
                <w:rFonts w:hint="eastAsia"/>
                <w:color w:val="auto"/>
                <w:szCs w:val="21"/>
              </w:rPr>
            </w:pPr>
          </w:p>
        </w:tc>
        <w:tc>
          <w:tcPr>
            <w:tcW w:w="1778" w:type="dxa"/>
            <w:noWrap w:val="0"/>
            <w:vAlign w:val="top"/>
          </w:tcPr>
          <w:p w14:paraId="3A0DB31F">
            <w:pPr>
              <w:topLinePunct/>
              <w:spacing w:line="400" w:lineRule="atLeast"/>
              <w:jc w:val="center"/>
              <w:rPr>
                <w:rFonts w:hint="eastAsia"/>
                <w:color w:val="auto"/>
                <w:szCs w:val="21"/>
              </w:rPr>
            </w:pPr>
          </w:p>
        </w:tc>
        <w:tc>
          <w:tcPr>
            <w:tcW w:w="1080" w:type="dxa"/>
            <w:noWrap w:val="0"/>
            <w:vAlign w:val="top"/>
          </w:tcPr>
          <w:p w14:paraId="3579DB5E">
            <w:pPr>
              <w:topLinePunct/>
              <w:spacing w:line="400" w:lineRule="atLeast"/>
              <w:jc w:val="center"/>
              <w:rPr>
                <w:rFonts w:hint="eastAsia"/>
                <w:color w:val="auto"/>
                <w:szCs w:val="21"/>
              </w:rPr>
            </w:pPr>
          </w:p>
        </w:tc>
      </w:tr>
      <w:tr w14:paraId="6B58F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2B965EF6">
            <w:pPr>
              <w:topLinePunct/>
              <w:spacing w:line="400" w:lineRule="atLeast"/>
              <w:jc w:val="center"/>
              <w:rPr>
                <w:rFonts w:hint="eastAsia"/>
                <w:color w:val="auto"/>
                <w:szCs w:val="21"/>
              </w:rPr>
            </w:pPr>
          </w:p>
        </w:tc>
        <w:tc>
          <w:tcPr>
            <w:tcW w:w="1846" w:type="dxa"/>
            <w:noWrap w:val="0"/>
            <w:vAlign w:val="top"/>
          </w:tcPr>
          <w:p w14:paraId="633CC395">
            <w:pPr>
              <w:topLinePunct/>
              <w:spacing w:line="400" w:lineRule="atLeast"/>
              <w:jc w:val="center"/>
              <w:rPr>
                <w:rFonts w:hint="eastAsia"/>
                <w:color w:val="auto"/>
                <w:szCs w:val="21"/>
              </w:rPr>
            </w:pPr>
          </w:p>
        </w:tc>
        <w:tc>
          <w:tcPr>
            <w:tcW w:w="1394" w:type="dxa"/>
            <w:noWrap w:val="0"/>
            <w:vAlign w:val="top"/>
          </w:tcPr>
          <w:p w14:paraId="4A3EB1B4">
            <w:pPr>
              <w:topLinePunct/>
              <w:spacing w:line="400" w:lineRule="atLeast"/>
              <w:jc w:val="center"/>
              <w:rPr>
                <w:rFonts w:hint="eastAsia"/>
                <w:color w:val="auto"/>
                <w:szCs w:val="21"/>
              </w:rPr>
            </w:pPr>
          </w:p>
        </w:tc>
        <w:tc>
          <w:tcPr>
            <w:tcW w:w="1080" w:type="dxa"/>
            <w:noWrap w:val="0"/>
            <w:vAlign w:val="top"/>
          </w:tcPr>
          <w:p w14:paraId="7788B1C6">
            <w:pPr>
              <w:topLinePunct/>
              <w:spacing w:line="400" w:lineRule="atLeast"/>
              <w:jc w:val="center"/>
              <w:rPr>
                <w:rFonts w:hint="eastAsia"/>
                <w:color w:val="auto"/>
                <w:szCs w:val="21"/>
              </w:rPr>
            </w:pPr>
          </w:p>
        </w:tc>
        <w:tc>
          <w:tcPr>
            <w:tcW w:w="1112" w:type="dxa"/>
            <w:noWrap w:val="0"/>
            <w:vAlign w:val="top"/>
          </w:tcPr>
          <w:p w14:paraId="4314A257">
            <w:pPr>
              <w:topLinePunct/>
              <w:spacing w:line="400" w:lineRule="atLeast"/>
              <w:jc w:val="center"/>
              <w:rPr>
                <w:rFonts w:hint="eastAsia"/>
                <w:color w:val="auto"/>
                <w:szCs w:val="21"/>
              </w:rPr>
            </w:pPr>
          </w:p>
        </w:tc>
        <w:tc>
          <w:tcPr>
            <w:tcW w:w="1778" w:type="dxa"/>
            <w:noWrap w:val="0"/>
            <w:vAlign w:val="top"/>
          </w:tcPr>
          <w:p w14:paraId="4A8CF1F2">
            <w:pPr>
              <w:topLinePunct/>
              <w:spacing w:line="400" w:lineRule="atLeast"/>
              <w:jc w:val="center"/>
              <w:rPr>
                <w:rFonts w:hint="eastAsia"/>
                <w:color w:val="auto"/>
                <w:szCs w:val="21"/>
              </w:rPr>
            </w:pPr>
          </w:p>
        </w:tc>
        <w:tc>
          <w:tcPr>
            <w:tcW w:w="1080" w:type="dxa"/>
            <w:noWrap w:val="0"/>
            <w:vAlign w:val="top"/>
          </w:tcPr>
          <w:p w14:paraId="53D48309">
            <w:pPr>
              <w:topLinePunct/>
              <w:spacing w:line="400" w:lineRule="atLeast"/>
              <w:jc w:val="center"/>
              <w:rPr>
                <w:rFonts w:hint="eastAsia"/>
                <w:color w:val="auto"/>
                <w:szCs w:val="21"/>
              </w:rPr>
            </w:pPr>
          </w:p>
        </w:tc>
      </w:tr>
      <w:tr w14:paraId="28C6E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7605B489">
            <w:pPr>
              <w:topLinePunct/>
              <w:spacing w:line="400" w:lineRule="atLeast"/>
              <w:jc w:val="center"/>
              <w:rPr>
                <w:rFonts w:hint="eastAsia"/>
                <w:color w:val="auto"/>
                <w:szCs w:val="21"/>
              </w:rPr>
            </w:pPr>
          </w:p>
        </w:tc>
        <w:tc>
          <w:tcPr>
            <w:tcW w:w="1846" w:type="dxa"/>
            <w:noWrap w:val="0"/>
            <w:vAlign w:val="top"/>
          </w:tcPr>
          <w:p w14:paraId="39114F0F">
            <w:pPr>
              <w:topLinePunct/>
              <w:spacing w:line="400" w:lineRule="atLeast"/>
              <w:jc w:val="center"/>
              <w:rPr>
                <w:rFonts w:hint="eastAsia"/>
                <w:color w:val="auto"/>
                <w:szCs w:val="21"/>
              </w:rPr>
            </w:pPr>
          </w:p>
        </w:tc>
        <w:tc>
          <w:tcPr>
            <w:tcW w:w="1394" w:type="dxa"/>
            <w:noWrap w:val="0"/>
            <w:vAlign w:val="top"/>
          </w:tcPr>
          <w:p w14:paraId="5A392C66">
            <w:pPr>
              <w:topLinePunct/>
              <w:spacing w:line="400" w:lineRule="atLeast"/>
              <w:jc w:val="center"/>
              <w:rPr>
                <w:rFonts w:hint="eastAsia"/>
                <w:color w:val="auto"/>
                <w:szCs w:val="21"/>
              </w:rPr>
            </w:pPr>
          </w:p>
        </w:tc>
        <w:tc>
          <w:tcPr>
            <w:tcW w:w="1080" w:type="dxa"/>
            <w:noWrap w:val="0"/>
            <w:vAlign w:val="top"/>
          </w:tcPr>
          <w:p w14:paraId="5D2B8D32">
            <w:pPr>
              <w:topLinePunct/>
              <w:spacing w:line="400" w:lineRule="atLeast"/>
              <w:jc w:val="center"/>
              <w:rPr>
                <w:rFonts w:hint="eastAsia"/>
                <w:color w:val="auto"/>
                <w:szCs w:val="21"/>
              </w:rPr>
            </w:pPr>
          </w:p>
        </w:tc>
        <w:tc>
          <w:tcPr>
            <w:tcW w:w="1112" w:type="dxa"/>
            <w:noWrap w:val="0"/>
            <w:vAlign w:val="top"/>
          </w:tcPr>
          <w:p w14:paraId="5AD8A574">
            <w:pPr>
              <w:topLinePunct/>
              <w:spacing w:line="400" w:lineRule="atLeast"/>
              <w:jc w:val="center"/>
              <w:rPr>
                <w:rFonts w:hint="eastAsia"/>
                <w:color w:val="auto"/>
                <w:szCs w:val="21"/>
              </w:rPr>
            </w:pPr>
          </w:p>
        </w:tc>
        <w:tc>
          <w:tcPr>
            <w:tcW w:w="1778" w:type="dxa"/>
            <w:noWrap w:val="0"/>
            <w:vAlign w:val="top"/>
          </w:tcPr>
          <w:p w14:paraId="649DE0DC">
            <w:pPr>
              <w:topLinePunct/>
              <w:spacing w:line="400" w:lineRule="atLeast"/>
              <w:jc w:val="center"/>
              <w:rPr>
                <w:rFonts w:hint="eastAsia"/>
                <w:color w:val="auto"/>
                <w:szCs w:val="21"/>
              </w:rPr>
            </w:pPr>
          </w:p>
        </w:tc>
        <w:tc>
          <w:tcPr>
            <w:tcW w:w="1080" w:type="dxa"/>
            <w:noWrap w:val="0"/>
            <w:vAlign w:val="top"/>
          </w:tcPr>
          <w:p w14:paraId="4AAB321F">
            <w:pPr>
              <w:topLinePunct/>
              <w:spacing w:line="400" w:lineRule="atLeast"/>
              <w:jc w:val="center"/>
              <w:rPr>
                <w:rFonts w:hint="eastAsia"/>
                <w:color w:val="auto"/>
                <w:szCs w:val="21"/>
              </w:rPr>
            </w:pPr>
          </w:p>
        </w:tc>
      </w:tr>
      <w:tr w14:paraId="62CBE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1108615C">
            <w:pPr>
              <w:topLinePunct/>
              <w:spacing w:line="400" w:lineRule="atLeast"/>
              <w:jc w:val="center"/>
              <w:rPr>
                <w:rFonts w:hint="eastAsia"/>
                <w:color w:val="auto"/>
                <w:szCs w:val="21"/>
              </w:rPr>
            </w:pPr>
          </w:p>
        </w:tc>
        <w:tc>
          <w:tcPr>
            <w:tcW w:w="1846" w:type="dxa"/>
            <w:noWrap w:val="0"/>
            <w:vAlign w:val="top"/>
          </w:tcPr>
          <w:p w14:paraId="42FD6F49">
            <w:pPr>
              <w:topLinePunct/>
              <w:spacing w:line="400" w:lineRule="atLeast"/>
              <w:jc w:val="center"/>
              <w:rPr>
                <w:rFonts w:hint="eastAsia"/>
                <w:color w:val="auto"/>
                <w:szCs w:val="21"/>
              </w:rPr>
            </w:pPr>
          </w:p>
        </w:tc>
        <w:tc>
          <w:tcPr>
            <w:tcW w:w="1394" w:type="dxa"/>
            <w:noWrap w:val="0"/>
            <w:vAlign w:val="top"/>
          </w:tcPr>
          <w:p w14:paraId="47052968">
            <w:pPr>
              <w:topLinePunct/>
              <w:spacing w:line="400" w:lineRule="atLeast"/>
              <w:jc w:val="center"/>
              <w:rPr>
                <w:rFonts w:hint="eastAsia"/>
                <w:color w:val="auto"/>
                <w:szCs w:val="21"/>
              </w:rPr>
            </w:pPr>
          </w:p>
        </w:tc>
        <w:tc>
          <w:tcPr>
            <w:tcW w:w="1080" w:type="dxa"/>
            <w:noWrap w:val="0"/>
            <w:vAlign w:val="top"/>
          </w:tcPr>
          <w:p w14:paraId="12E17E6C">
            <w:pPr>
              <w:topLinePunct/>
              <w:spacing w:line="400" w:lineRule="atLeast"/>
              <w:jc w:val="center"/>
              <w:rPr>
                <w:rFonts w:hint="eastAsia"/>
                <w:color w:val="auto"/>
                <w:szCs w:val="21"/>
              </w:rPr>
            </w:pPr>
          </w:p>
        </w:tc>
        <w:tc>
          <w:tcPr>
            <w:tcW w:w="1112" w:type="dxa"/>
            <w:noWrap w:val="0"/>
            <w:vAlign w:val="top"/>
          </w:tcPr>
          <w:p w14:paraId="55502E3B">
            <w:pPr>
              <w:topLinePunct/>
              <w:spacing w:line="400" w:lineRule="atLeast"/>
              <w:jc w:val="center"/>
              <w:rPr>
                <w:rFonts w:hint="eastAsia"/>
                <w:color w:val="auto"/>
                <w:szCs w:val="21"/>
              </w:rPr>
            </w:pPr>
          </w:p>
        </w:tc>
        <w:tc>
          <w:tcPr>
            <w:tcW w:w="1778" w:type="dxa"/>
            <w:noWrap w:val="0"/>
            <w:vAlign w:val="top"/>
          </w:tcPr>
          <w:p w14:paraId="7B38C85E">
            <w:pPr>
              <w:topLinePunct/>
              <w:spacing w:line="400" w:lineRule="atLeast"/>
              <w:jc w:val="center"/>
              <w:rPr>
                <w:rFonts w:hint="eastAsia"/>
                <w:color w:val="auto"/>
                <w:szCs w:val="21"/>
              </w:rPr>
            </w:pPr>
          </w:p>
        </w:tc>
        <w:tc>
          <w:tcPr>
            <w:tcW w:w="1080" w:type="dxa"/>
            <w:noWrap w:val="0"/>
            <w:vAlign w:val="top"/>
          </w:tcPr>
          <w:p w14:paraId="6C5BAC98">
            <w:pPr>
              <w:topLinePunct/>
              <w:spacing w:line="400" w:lineRule="atLeast"/>
              <w:jc w:val="center"/>
              <w:rPr>
                <w:rFonts w:hint="eastAsia"/>
                <w:color w:val="auto"/>
                <w:szCs w:val="21"/>
              </w:rPr>
            </w:pPr>
          </w:p>
        </w:tc>
      </w:tr>
      <w:tr w14:paraId="001BA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3204E3B8">
            <w:pPr>
              <w:topLinePunct/>
              <w:spacing w:line="400" w:lineRule="atLeast"/>
              <w:jc w:val="center"/>
              <w:rPr>
                <w:rFonts w:hint="eastAsia"/>
                <w:color w:val="auto"/>
                <w:szCs w:val="21"/>
              </w:rPr>
            </w:pPr>
          </w:p>
        </w:tc>
        <w:tc>
          <w:tcPr>
            <w:tcW w:w="1846" w:type="dxa"/>
            <w:noWrap w:val="0"/>
            <w:vAlign w:val="top"/>
          </w:tcPr>
          <w:p w14:paraId="0C0964B9">
            <w:pPr>
              <w:topLinePunct/>
              <w:spacing w:line="400" w:lineRule="atLeast"/>
              <w:jc w:val="center"/>
              <w:rPr>
                <w:rFonts w:hint="eastAsia"/>
                <w:color w:val="auto"/>
                <w:szCs w:val="21"/>
              </w:rPr>
            </w:pPr>
          </w:p>
        </w:tc>
        <w:tc>
          <w:tcPr>
            <w:tcW w:w="1394" w:type="dxa"/>
            <w:noWrap w:val="0"/>
            <w:vAlign w:val="top"/>
          </w:tcPr>
          <w:p w14:paraId="772DFB68">
            <w:pPr>
              <w:topLinePunct/>
              <w:spacing w:line="400" w:lineRule="atLeast"/>
              <w:jc w:val="center"/>
              <w:rPr>
                <w:rFonts w:hint="eastAsia"/>
                <w:color w:val="auto"/>
                <w:szCs w:val="21"/>
              </w:rPr>
            </w:pPr>
          </w:p>
        </w:tc>
        <w:tc>
          <w:tcPr>
            <w:tcW w:w="1080" w:type="dxa"/>
            <w:noWrap w:val="0"/>
            <w:vAlign w:val="top"/>
          </w:tcPr>
          <w:p w14:paraId="6A9A3934">
            <w:pPr>
              <w:topLinePunct/>
              <w:spacing w:line="400" w:lineRule="atLeast"/>
              <w:jc w:val="center"/>
              <w:rPr>
                <w:rFonts w:hint="eastAsia"/>
                <w:color w:val="auto"/>
                <w:szCs w:val="21"/>
              </w:rPr>
            </w:pPr>
          </w:p>
        </w:tc>
        <w:tc>
          <w:tcPr>
            <w:tcW w:w="1112" w:type="dxa"/>
            <w:noWrap w:val="0"/>
            <w:vAlign w:val="top"/>
          </w:tcPr>
          <w:p w14:paraId="5BC32D87">
            <w:pPr>
              <w:topLinePunct/>
              <w:spacing w:line="400" w:lineRule="atLeast"/>
              <w:jc w:val="center"/>
              <w:rPr>
                <w:rFonts w:hint="eastAsia"/>
                <w:color w:val="auto"/>
                <w:szCs w:val="21"/>
              </w:rPr>
            </w:pPr>
          </w:p>
        </w:tc>
        <w:tc>
          <w:tcPr>
            <w:tcW w:w="1778" w:type="dxa"/>
            <w:noWrap w:val="0"/>
            <w:vAlign w:val="top"/>
          </w:tcPr>
          <w:p w14:paraId="6B6B3340">
            <w:pPr>
              <w:topLinePunct/>
              <w:spacing w:line="400" w:lineRule="atLeast"/>
              <w:jc w:val="center"/>
              <w:rPr>
                <w:rFonts w:hint="eastAsia"/>
                <w:color w:val="auto"/>
                <w:szCs w:val="21"/>
              </w:rPr>
            </w:pPr>
          </w:p>
        </w:tc>
        <w:tc>
          <w:tcPr>
            <w:tcW w:w="1080" w:type="dxa"/>
            <w:noWrap w:val="0"/>
            <w:vAlign w:val="top"/>
          </w:tcPr>
          <w:p w14:paraId="51759925">
            <w:pPr>
              <w:topLinePunct/>
              <w:spacing w:line="400" w:lineRule="atLeast"/>
              <w:jc w:val="center"/>
              <w:rPr>
                <w:rFonts w:hint="eastAsia"/>
                <w:color w:val="auto"/>
                <w:szCs w:val="21"/>
              </w:rPr>
            </w:pPr>
          </w:p>
        </w:tc>
      </w:tr>
      <w:tr w14:paraId="3D7B9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7D19730D">
            <w:pPr>
              <w:topLinePunct/>
              <w:spacing w:line="400" w:lineRule="atLeast"/>
              <w:jc w:val="center"/>
              <w:rPr>
                <w:rFonts w:hint="eastAsia"/>
                <w:color w:val="auto"/>
                <w:szCs w:val="21"/>
              </w:rPr>
            </w:pPr>
          </w:p>
        </w:tc>
        <w:tc>
          <w:tcPr>
            <w:tcW w:w="1846" w:type="dxa"/>
            <w:noWrap w:val="0"/>
            <w:vAlign w:val="top"/>
          </w:tcPr>
          <w:p w14:paraId="271316AE">
            <w:pPr>
              <w:topLinePunct/>
              <w:spacing w:line="400" w:lineRule="atLeast"/>
              <w:jc w:val="center"/>
              <w:rPr>
                <w:rFonts w:hint="eastAsia"/>
                <w:color w:val="auto"/>
                <w:szCs w:val="21"/>
              </w:rPr>
            </w:pPr>
          </w:p>
        </w:tc>
        <w:tc>
          <w:tcPr>
            <w:tcW w:w="1394" w:type="dxa"/>
            <w:noWrap w:val="0"/>
            <w:vAlign w:val="top"/>
          </w:tcPr>
          <w:p w14:paraId="472230E2">
            <w:pPr>
              <w:topLinePunct/>
              <w:spacing w:line="400" w:lineRule="atLeast"/>
              <w:jc w:val="center"/>
              <w:rPr>
                <w:rFonts w:hint="eastAsia"/>
                <w:color w:val="auto"/>
                <w:szCs w:val="21"/>
              </w:rPr>
            </w:pPr>
          </w:p>
        </w:tc>
        <w:tc>
          <w:tcPr>
            <w:tcW w:w="1080" w:type="dxa"/>
            <w:noWrap w:val="0"/>
            <w:vAlign w:val="top"/>
          </w:tcPr>
          <w:p w14:paraId="6D9CA0C6">
            <w:pPr>
              <w:topLinePunct/>
              <w:spacing w:line="400" w:lineRule="atLeast"/>
              <w:jc w:val="center"/>
              <w:rPr>
                <w:rFonts w:hint="eastAsia"/>
                <w:color w:val="auto"/>
                <w:szCs w:val="21"/>
              </w:rPr>
            </w:pPr>
          </w:p>
        </w:tc>
        <w:tc>
          <w:tcPr>
            <w:tcW w:w="1112" w:type="dxa"/>
            <w:noWrap w:val="0"/>
            <w:vAlign w:val="top"/>
          </w:tcPr>
          <w:p w14:paraId="013030EC">
            <w:pPr>
              <w:topLinePunct/>
              <w:spacing w:line="400" w:lineRule="atLeast"/>
              <w:jc w:val="center"/>
              <w:rPr>
                <w:rFonts w:hint="eastAsia"/>
                <w:color w:val="auto"/>
                <w:szCs w:val="21"/>
              </w:rPr>
            </w:pPr>
          </w:p>
        </w:tc>
        <w:tc>
          <w:tcPr>
            <w:tcW w:w="1778" w:type="dxa"/>
            <w:noWrap w:val="0"/>
            <w:vAlign w:val="top"/>
          </w:tcPr>
          <w:p w14:paraId="57DE8ED3">
            <w:pPr>
              <w:topLinePunct/>
              <w:spacing w:line="400" w:lineRule="atLeast"/>
              <w:jc w:val="center"/>
              <w:rPr>
                <w:rFonts w:hint="eastAsia"/>
                <w:color w:val="auto"/>
                <w:szCs w:val="21"/>
              </w:rPr>
            </w:pPr>
          </w:p>
        </w:tc>
        <w:tc>
          <w:tcPr>
            <w:tcW w:w="1080" w:type="dxa"/>
            <w:noWrap w:val="0"/>
            <w:vAlign w:val="top"/>
          </w:tcPr>
          <w:p w14:paraId="760E8395">
            <w:pPr>
              <w:topLinePunct/>
              <w:spacing w:line="400" w:lineRule="atLeast"/>
              <w:jc w:val="center"/>
              <w:rPr>
                <w:rFonts w:hint="eastAsia"/>
                <w:color w:val="auto"/>
                <w:szCs w:val="21"/>
              </w:rPr>
            </w:pPr>
          </w:p>
        </w:tc>
      </w:tr>
      <w:tr w14:paraId="6C71D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246D1577">
            <w:pPr>
              <w:topLinePunct/>
              <w:spacing w:line="400" w:lineRule="atLeast"/>
              <w:jc w:val="center"/>
              <w:rPr>
                <w:rFonts w:hint="eastAsia"/>
                <w:color w:val="auto"/>
                <w:szCs w:val="21"/>
              </w:rPr>
            </w:pPr>
          </w:p>
        </w:tc>
        <w:tc>
          <w:tcPr>
            <w:tcW w:w="1846" w:type="dxa"/>
            <w:noWrap w:val="0"/>
            <w:vAlign w:val="top"/>
          </w:tcPr>
          <w:p w14:paraId="7CE7D26C">
            <w:pPr>
              <w:topLinePunct/>
              <w:spacing w:line="400" w:lineRule="atLeast"/>
              <w:jc w:val="center"/>
              <w:rPr>
                <w:rFonts w:hint="eastAsia"/>
                <w:color w:val="auto"/>
                <w:szCs w:val="21"/>
              </w:rPr>
            </w:pPr>
          </w:p>
        </w:tc>
        <w:tc>
          <w:tcPr>
            <w:tcW w:w="1394" w:type="dxa"/>
            <w:noWrap w:val="0"/>
            <w:vAlign w:val="top"/>
          </w:tcPr>
          <w:p w14:paraId="69C22A21">
            <w:pPr>
              <w:topLinePunct/>
              <w:spacing w:line="400" w:lineRule="atLeast"/>
              <w:jc w:val="center"/>
              <w:rPr>
                <w:rFonts w:hint="eastAsia"/>
                <w:color w:val="auto"/>
                <w:szCs w:val="21"/>
              </w:rPr>
            </w:pPr>
          </w:p>
        </w:tc>
        <w:tc>
          <w:tcPr>
            <w:tcW w:w="1080" w:type="dxa"/>
            <w:noWrap w:val="0"/>
            <w:vAlign w:val="top"/>
          </w:tcPr>
          <w:p w14:paraId="2F306B1C">
            <w:pPr>
              <w:topLinePunct/>
              <w:spacing w:line="400" w:lineRule="atLeast"/>
              <w:jc w:val="center"/>
              <w:rPr>
                <w:rFonts w:hint="eastAsia"/>
                <w:color w:val="auto"/>
                <w:szCs w:val="21"/>
              </w:rPr>
            </w:pPr>
          </w:p>
        </w:tc>
        <w:tc>
          <w:tcPr>
            <w:tcW w:w="1112" w:type="dxa"/>
            <w:noWrap w:val="0"/>
            <w:vAlign w:val="top"/>
          </w:tcPr>
          <w:p w14:paraId="126923D0">
            <w:pPr>
              <w:topLinePunct/>
              <w:spacing w:line="400" w:lineRule="atLeast"/>
              <w:jc w:val="center"/>
              <w:rPr>
                <w:rFonts w:hint="eastAsia"/>
                <w:color w:val="auto"/>
                <w:szCs w:val="21"/>
              </w:rPr>
            </w:pPr>
          </w:p>
        </w:tc>
        <w:tc>
          <w:tcPr>
            <w:tcW w:w="1778" w:type="dxa"/>
            <w:noWrap w:val="0"/>
            <w:vAlign w:val="top"/>
          </w:tcPr>
          <w:p w14:paraId="6245FD1E">
            <w:pPr>
              <w:topLinePunct/>
              <w:spacing w:line="400" w:lineRule="atLeast"/>
              <w:jc w:val="center"/>
              <w:rPr>
                <w:rFonts w:hint="eastAsia"/>
                <w:color w:val="auto"/>
                <w:szCs w:val="21"/>
              </w:rPr>
            </w:pPr>
          </w:p>
        </w:tc>
        <w:tc>
          <w:tcPr>
            <w:tcW w:w="1080" w:type="dxa"/>
            <w:noWrap w:val="0"/>
            <w:vAlign w:val="top"/>
          </w:tcPr>
          <w:p w14:paraId="0D71C0E8">
            <w:pPr>
              <w:topLinePunct/>
              <w:spacing w:line="400" w:lineRule="atLeast"/>
              <w:jc w:val="center"/>
              <w:rPr>
                <w:rFonts w:hint="eastAsia"/>
                <w:color w:val="auto"/>
                <w:szCs w:val="21"/>
              </w:rPr>
            </w:pPr>
          </w:p>
        </w:tc>
      </w:tr>
      <w:tr w14:paraId="4B007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77B6CA24">
            <w:pPr>
              <w:topLinePunct/>
              <w:spacing w:line="400" w:lineRule="atLeast"/>
              <w:jc w:val="center"/>
              <w:rPr>
                <w:rFonts w:hint="eastAsia"/>
                <w:color w:val="auto"/>
                <w:szCs w:val="21"/>
              </w:rPr>
            </w:pPr>
          </w:p>
        </w:tc>
        <w:tc>
          <w:tcPr>
            <w:tcW w:w="1846" w:type="dxa"/>
            <w:noWrap w:val="0"/>
            <w:vAlign w:val="top"/>
          </w:tcPr>
          <w:p w14:paraId="408F2ADE">
            <w:pPr>
              <w:topLinePunct/>
              <w:spacing w:line="400" w:lineRule="atLeast"/>
              <w:jc w:val="center"/>
              <w:rPr>
                <w:rFonts w:hint="eastAsia"/>
                <w:color w:val="auto"/>
                <w:szCs w:val="21"/>
              </w:rPr>
            </w:pPr>
          </w:p>
        </w:tc>
        <w:tc>
          <w:tcPr>
            <w:tcW w:w="1394" w:type="dxa"/>
            <w:noWrap w:val="0"/>
            <w:vAlign w:val="top"/>
          </w:tcPr>
          <w:p w14:paraId="67A0DF99">
            <w:pPr>
              <w:topLinePunct/>
              <w:spacing w:line="400" w:lineRule="atLeast"/>
              <w:jc w:val="center"/>
              <w:rPr>
                <w:rFonts w:hint="eastAsia"/>
                <w:color w:val="auto"/>
                <w:szCs w:val="21"/>
              </w:rPr>
            </w:pPr>
          </w:p>
        </w:tc>
        <w:tc>
          <w:tcPr>
            <w:tcW w:w="1080" w:type="dxa"/>
            <w:noWrap w:val="0"/>
            <w:vAlign w:val="top"/>
          </w:tcPr>
          <w:p w14:paraId="495BEAD8">
            <w:pPr>
              <w:topLinePunct/>
              <w:spacing w:line="400" w:lineRule="atLeast"/>
              <w:jc w:val="center"/>
              <w:rPr>
                <w:rFonts w:hint="eastAsia"/>
                <w:color w:val="auto"/>
                <w:szCs w:val="21"/>
              </w:rPr>
            </w:pPr>
          </w:p>
        </w:tc>
        <w:tc>
          <w:tcPr>
            <w:tcW w:w="1112" w:type="dxa"/>
            <w:noWrap w:val="0"/>
            <w:vAlign w:val="top"/>
          </w:tcPr>
          <w:p w14:paraId="033ECD1E">
            <w:pPr>
              <w:topLinePunct/>
              <w:spacing w:line="400" w:lineRule="atLeast"/>
              <w:jc w:val="center"/>
              <w:rPr>
                <w:rFonts w:hint="eastAsia"/>
                <w:color w:val="auto"/>
                <w:szCs w:val="21"/>
              </w:rPr>
            </w:pPr>
          </w:p>
        </w:tc>
        <w:tc>
          <w:tcPr>
            <w:tcW w:w="1778" w:type="dxa"/>
            <w:noWrap w:val="0"/>
            <w:vAlign w:val="top"/>
          </w:tcPr>
          <w:p w14:paraId="266DA6CD">
            <w:pPr>
              <w:topLinePunct/>
              <w:spacing w:line="400" w:lineRule="atLeast"/>
              <w:jc w:val="center"/>
              <w:rPr>
                <w:rFonts w:hint="eastAsia"/>
                <w:color w:val="auto"/>
                <w:szCs w:val="21"/>
              </w:rPr>
            </w:pPr>
          </w:p>
        </w:tc>
        <w:tc>
          <w:tcPr>
            <w:tcW w:w="1080" w:type="dxa"/>
            <w:noWrap w:val="0"/>
            <w:vAlign w:val="top"/>
          </w:tcPr>
          <w:p w14:paraId="6652B0CA">
            <w:pPr>
              <w:topLinePunct/>
              <w:spacing w:line="400" w:lineRule="atLeast"/>
              <w:jc w:val="center"/>
              <w:rPr>
                <w:rFonts w:hint="eastAsia"/>
                <w:color w:val="auto"/>
                <w:szCs w:val="21"/>
              </w:rPr>
            </w:pPr>
          </w:p>
        </w:tc>
      </w:tr>
      <w:tr w14:paraId="1D2C2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7F8F26FF">
            <w:pPr>
              <w:topLinePunct/>
              <w:spacing w:line="400" w:lineRule="atLeast"/>
              <w:jc w:val="center"/>
              <w:rPr>
                <w:rFonts w:hint="eastAsia"/>
                <w:color w:val="auto"/>
                <w:szCs w:val="21"/>
              </w:rPr>
            </w:pPr>
          </w:p>
        </w:tc>
        <w:tc>
          <w:tcPr>
            <w:tcW w:w="1846" w:type="dxa"/>
            <w:noWrap w:val="0"/>
            <w:vAlign w:val="top"/>
          </w:tcPr>
          <w:p w14:paraId="2371DCB4">
            <w:pPr>
              <w:topLinePunct/>
              <w:spacing w:line="400" w:lineRule="atLeast"/>
              <w:jc w:val="center"/>
              <w:rPr>
                <w:rFonts w:hint="eastAsia"/>
                <w:color w:val="auto"/>
                <w:szCs w:val="21"/>
              </w:rPr>
            </w:pPr>
          </w:p>
        </w:tc>
        <w:tc>
          <w:tcPr>
            <w:tcW w:w="1394" w:type="dxa"/>
            <w:noWrap w:val="0"/>
            <w:vAlign w:val="top"/>
          </w:tcPr>
          <w:p w14:paraId="0D0DF3BA">
            <w:pPr>
              <w:topLinePunct/>
              <w:spacing w:line="400" w:lineRule="atLeast"/>
              <w:jc w:val="center"/>
              <w:rPr>
                <w:rFonts w:hint="eastAsia"/>
                <w:color w:val="auto"/>
                <w:szCs w:val="21"/>
              </w:rPr>
            </w:pPr>
          </w:p>
        </w:tc>
        <w:tc>
          <w:tcPr>
            <w:tcW w:w="1080" w:type="dxa"/>
            <w:noWrap w:val="0"/>
            <w:vAlign w:val="top"/>
          </w:tcPr>
          <w:p w14:paraId="20D194B1">
            <w:pPr>
              <w:topLinePunct/>
              <w:spacing w:line="400" w:lineRule="atLeast"/>
              <w:jc w:val="center"/>
              <w:rPr>
                <w:rFonts w:hint="eastAsia"/>
                <w:color w:val="auto"/>
                <w:szCs w:val="21"/>
              </w:rPr>
            </w:pPr>
          </w:p>
        </w:tc>
        <w:tc>
          <w:tcPr>
            <w:tcW w:w="1112" w:type="dxa"/>
            <w:noWrap w:val="0"/>
            <w:vAlign w:val="top"/>
          </w:tcPr>
          <w:p w14:paraId="62709BD4">
            <w:pPr>
              <w:topLinePunct/>
              <w:spacing w:line="400" w:lineRule="atLeast"/>
              <w:jc w:val="center"/>
              <w:rPr>
                <w:rFonts w:hint="eastAsia"/>
                <w:color w:val="auto"/>
                <w:szCs w:val="21"/>
              </w:rPr>
            </w:pPr>
          </w:p>
        </w:tc>
        <w:tc>
          <w:tcPr>
            <w:tcW w:w="1778" w:type="dxa"/>
            <w:noWrap w:val="0"/>
            <w:vAlign w:val="top"/>
          </w:tcPr>
          <w:p w14:paraId="4FDDDA90">
            <w:pPr>
              <w:topLinePunct/>
              <w:spacing w:line="400" w:lineRule="atLeast"/>
              <w:jc w:val="center"/>
              <w:rPr>
                <w:rFonts w:hint="eastAsia"/>
                <w:color w:val="auto"/>
                <w:szCs w:val="21"/>
              </w:rPr>
            </w:pPr>
          </w:p>
        </w:tc>
        <w:tc>
          <w:tcPr>
            <w:tcW w:w="1080" w:type="dxa"/>
            <w:noWrap w:val="0"/>
            <w:vAlign w:val="top"/>
          </w:tcPr>
          <w:p w14:paraId="15CA893A">
            <w:pPr>
              <w:topLinePunct/>
              <w:spacing w:line="400" w:lineRule="atLeast"/>
              <w:jc w:val="center"/>
              <w:rPr>
                <w:rFonts w:hint="eastAsia"/>
                <w:color w:val="auto"/>
                <w:szCs w:val="21"/>
              </w:rPr>
            </w:pPr>
          </w:p>
        </w:tc>
      </w:tr>
      <w:tr w14:paraId="7211C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6CFD8ED4">
            <w:pPr>
              <w:topLinePunct/>
              <w:spacing w:line="400" w:lineRule="atLeast"/>
              <w:jc w:val="center"/>
              <w:rPr>
                <w:rFonts w:hint="eastAsia"/>
                <w:color w:val="auto"/>
                <w:szCs w:val="21"/>
              </w:rPr>
            </w:pPr>
          </w:p>
        </w:tc>
        <w:tc>
          <w:tcPr>
            <w:tcW w:w="1846" w:type="dxa"/>
            <w:noWrap w:val="0"/>
            <w:vAlign w:val="top"/>
          </w:tcPr>
          <w:p w14:paraId="3C655D29">
            <w:pPr>
              <w:topLinePunct/>
              <w:spacing w:line="400" w:lineRule="atLeast"/>
              <w:jc w:val="center"/>
              <w:rPr>
                <w:rFonts w:hint="eastAsia"/>
                <w:color w:val="auto"/>
                <w:szCs w:val="21"/>
              </w:rPr>
            </w:pPr>
          </w:p>
        </w:tc>
        <w:tc>
          <w:tcPr>
            <w:tcW w:w="1394" w:type="dxa"/>
            <w:noWrap w:val="0"/>
            <w:vAlign w:val="top"/>
          </w:tcPr>
          <w:p w14:paraId="6F6BC42E">
            <w:pPr>
              <w:topLinePunct/>
              <w:spacing w:line="400" w:lineRule="atLeast"/>
              <w:jc w:val="center"/>
              <w:rPr>
                <w:rFonts w:hint="eastAsia"/>
                <w:color w:val="auto"/>
                <w:szCs w:val="21"/>
              </w:rPr>
            </w:pPr>
          </w:p>
        </w:tc>
        <w:tc>
          <w:tcPr>
            <w:tcW w:w="1080" w:type="dxa"/>
            <w:noWrap w:val="0"/>
            <w:vAlign w:val="top"/>
          </w:tcPr>
          <w:p w14:paraId="66C32CA2">
            <w:pPr>
              <w:topLinePunct/>
              <w:spacing w:line="400" w:lineRule="atLeast"/>
              <w:jc w:val="center"/>
              <w:rPr>
                <w:rFonts w:hint="eastAsia"/>
                <w:color w:val="auto"/>
                <w:szCs w:val="21"/>
              </w:rPr>
            </w:pPr>
          </w:p>
        </w:tc>
        <w:tc>
          <w:tcPr>
            <w:tcW w:w="1112" w:type="dxa"/>
            <w:noWrap w:val="0"/>
            <w:vAlign w:val="top"/>
          </w:tcPr>
          <w:p w14:paraId="22B3C3BF">
            <w:pPr>
              <w:topLinePunct/>
              <w:spacing w:line="400" w:lineRule="atLeast"/>
              <w:jc w:val="center"/>
              <w:rPr>
                <w:rFonts w:hint="eastAsia"/>
                <w:color w:val="auto"/>
                <w:szCs w:val="21"/>
              </w:rPr>
            </w:pPr>
          </w:p>
        </w:tc>
        <w:tc>
          <w:tcPr>
            <w:tcW w:w="1778" w:type="dxa"/>
            <w:noWrap w:val="0"/>
            <w:vAlign w:val="top"/>
          </w:tcPr>
          <w:p w14:paraId="021D624C">
            <w:pPr>
              <w:topLinePunct/>
              <w:spacing w:line="400" w:lineRule="atLeast"/>
              <w:jc w:val="center"/>
              <w:rPr>
                <w:rFonts w:hint="eastAsia"/>
                <w:color w:val="auto"/>
                <w:szCs w:val="21"/>
              </w:rPr>
            </w:pPr>
          </w:p>
        </w:tc>
        <w:tc>
          <w:tcPr>
            <w:tcW w:w="1080" w:type="dxa"/>
            <w:noWrap w:val="0"/>
            <w:vAlign w:val="top"/>
          </w:tcPr>
          <w:p w14:paraId="33CDC733">
            <w:pPr>
              <w:topLinePunct/>
              <w:spacing w:line="400" w:lineRule="atLeast"/>
              <w:jc w:val="center"/>
              <w:rPr>
                <w:rFonts w:hint="eastAsia"/>
                <w:color w:val="auto"/>
                <w:szCs w:val="21"/>
              </w:rPr>
            </w:pPr>
          </w:p>
        </w:tc>
      </w:tr>
      <w:tr w14:paraId="37B05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41322303">
            <w:pPr>
              <w:topLinePunct/>
              <w:spacing w:line="400" w:lineRule="atLeast"/>
              <w:jc w:val="center"/>
              <w:rPr>
                <w:rFonts w:hint="eastAsia"/>
                <w:color w:val="auto"/>
                <w:szCs w:val="21"/>
              </w:rPr>
            </w:pPr>
          </w:p>
        </w:tc>
        <w:tc>
          <w:tcPr>
            <w:tcW w:w="1846" w:type="dxa"/>
            <w:noWrap w:val="0"/>
            <w:vAlign w:val="top"/>
          </w:tcPr>
          <w:p w14:paraId="42E01A5D">
            <w:pPr>
              <w:topLinePunct/>
              <w:spacing w:line="400" w:lineRule="atLeast"/>
              <w:jc w:val="center"/>
              <w:rPr>
                <w:rFonts w:hint="eastAsia"/>
                <w:color w:val="auto"/>
                <w:szCs w:val="21"/>
              </w:rPr>
            </w:pPr>
          </w:p>
        </w:tc>
        <w:tc>
          <w:tcPr>
            <w:tcW w:w="1394" w:type="dxa"/>
            <w:noWrap w:val="0"/>
            <w:vAlign w:val="top"/>
          </w:tcPr>
          <w:p w14:paraId="19967477">
            <w:pPr>
              <w:topLinePunct/>
              <w:spacing w:line="400" w:lineRule="atLeast"/>
              <w:jc w:val="center"/>
              <w:rPr>
                <w:rFonts w:hint="eastAsia"/>
                <w:color w:val="auto"/>
                <w:szCs w:val="21"/>
              </w:rPr>
            </w:pPr>
          </w:p>
        </w:tc>
        <w:tc>
          <w:tcPr>
            <w:tcW w:w="1080" w:type="dxa"/>
            <w:noWrap w:val="0"/>
            <w:vAlign w:val="top"/>
          </w:tcPr>
          <w:p w14:paraId="3A0AB653">
            <w:pPr>
              <w:topLinePunct/>
              <w:spacing w:line="400" w:lineRule="atLeast"/>
              <w:jc w:val="center"/>
              <w:rPr>
                <w:rFonts w:hint="eastAsia"/>
                <w:color w:val="auto"/>
                <w:szCs w:val="21"/>
              </w:rPr>
            </w:pPr>
          </w:p>
        </w:tc>
        <w:tc>
          <w:tcPr>
            <w:tcW w:w="1112" w:type="dxa"/>
            <w:noWrap w:val="0"/>
            <w:vAlign w:val="top"/>
          </w:tcPr>
          <w:p w14:paraId="3CB32499">
            <w:pPr>
              <w:topLinePunct/>
              <w:spacing w:line="400" w:lineRule="atLeast"/>
              <w:jc w:val="center"/>
              <w:rPr>
                <w:rFonts w:hint="eastAsia"/>
                <w:color w:val="auto"/>
                <w:szCs w:val="21"/>
              </w:rPr>
            </w:pPr>
          </w:p>
        </w:tc>
        <w:tc>
          <w:tcPr>
            <w:tcW w:w="1778" w:type="dxa"/>
            <w:noWrap w:val="0"/>
            <w:vAlign w:val="top"/>
          </w:tcPr>
          <w:p w14:paraId="257584CB">
            <w:pPr>
              <w:topLinePunct/>
              <w:spacing w:line="400" w:lineRule="atLeast"/>
              <w:jc w:val="center"/>
              <w:rPr>
                <w:rFonts w:hint="eastAsia"/>
                <w:color w:val="auto"/>
                <w:szCs w:val="21"/>
              </w:rPr>
            </w:pPr>
          </w:p>
        </w:tc>
        <w:tc>
          <w:tcPr>
            <w:tcW w:w="1080" w:type="dxa"/>
            <w:noWrap w:val="0"/>
            <w:vAlign w:val="top"/>
          </w:tcPr>
          <w:p w14:paraId="280BE021">
            <w:pPr>
              <w:topLinePunct/>
              <w:spacing w:line="400" w:lineRule="atLeast"/>
              <w:jc w:val="center"/>
              <w:rPr>
                <w:rFonts w:hint="eastAsia"/>
                <w:color w:val="auto"/>
                <w:szCs w:val="21"/>
              </w:rPr>
            </w:pPr>
          </w:p>
        </w:tc>
      </w:tr>
      <w:tr w14:paraId="253BB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304901DF">
            <w:pPr>
              <w:topLinePunct/>
              <w:spacing w:line="400" w:lineRule="atLeast"/>
              <w:jc w:val="center"/>
              <w:rPr>
                <w:rFonts w:hint="eastAsia"/>
                <w:color w:val="auto"/>
                <w:szCs w:val="21"/>
              </w:rPr>
            </w:pPr>
          </w:p>
        </w:tc>
        <w:tc>
          <w:tcPr>
            <w:tcW w:w="1846" w:type="dxa"/>
            <w:noWrap w:val="0"/>
            <w:vAlign w:val="top"/>
          </w:tcPr>
          <w:p w14:paraId="452E6938">
            <w:pPr>
              <w:topLinePunct/>
              <w:spacing w:line="400" w:lineRule="atLeast"/>
              <w:jc w:val="center"/>
              <w:rPr>
                <w:rFonts w:hint="eastAsia"/>
                <w:color w:val="auto"/>
                <w:szCs w:val="21"/>
              </w:rPr>
            </w:pPr>
          </w:p>
        </w:tc>
        <w:tc>
          <w:tcPr>
            <w:tcW w:w="1394" w:type="dxa"/>
            <w:noWrap w:val="0"/>
            <w:vAlign w:val="top"/>
          </w:tcPr>
          <w:p w14:paraId="3F69AF49">
            <w:pPr>
              <w:topLinePunct/>
              <w:spacing w:line="400" w:lineRule="atLeast"/>
              <w:jc w:val="center"/>
              <w:rPr>
                <w:rFonts w:hint="eastAsia"/>
                <w:color w:val="auto"/>
                <w:szCs w:val="21"/>
              </w:rPr>
            </w:pPr>
          </w:p>
        </w:tc>
        <w:tc>
          <w:tcPr>
            <w:tcW w:w="1080" w:type="dxa"/>
            <w:noWrap w:val="0"/>
            <w:vAlign w:val="top"/>
          </w:tcPr>
          <w:p w14:paraId="35153FA0">
            <w:pPr>
              <w:topLinePunct/>
              <w:spacing w:line="400" w:lineRule="atLeast"/>
              <w:jc w:val="center"/>
              <w:rPr>
                <w:rFonts w:hint="eastAsia"/>
                <w:color w:val="auto"/>
                <w:szCs w:val="21"/>
              </w:rPr>
            </w:pPr>
          </w:p>
        </w:tc>
        <w:tc>
          <w:tcPr>
            <w:tcW w:w="1112" w:type="dxa"/>
            <w:noWrap w:val="0"/>
            <w:vAlign w:val="top"/>
          </w:tcPr>
          <w:p w14:paraId="57FD3CDD">
            <w:pPr>
              <w:topLinePunct/>
              <w:spacing w:line="400" w:lineRule="atLeast"/>
              <w:jc w:val="center"/>
              <w:rPr>
                <w:rFonts w:hint="eastAsia"/>
                <w:color w:val="auto"/>
                <w:szCs w:val="21"/>
              </w:rPr>
            </w:pPr>
          </w:p>
        </w:tc>
        <w:tc>
          <w:tcPr>
            <w:tcW w:w="1778" w:type="dxa"/>
            <w:noWrap w:val="0"/>
            <w:vAlign w:val="top"/>
          </w:tcPr>
          <w:p w14:paraId="1ECAB063">
            <w:pPr>
              <w:topLinePunct/>
              <w:spacing w:line="400" w:lineRule="atLeast"/>
              <w:jc w:val="center"/>
              <w:rPr>
                <w:rFonts w:hint="eastAsia"/>
                <w:color w:val="auto"/>
                <w:szCs w:val="21"/>
              </w:rPr>
            </w:pPr>
          </w:p>
        </w:tc>
        <w:tc>
          <w:tcPr>
            <w:tcW w:w="1080" w:type="dxa"/>
            <w:noWrap w:val="0"/>
            <w:vAlign w:val="top"/>
          </w:tcPr>
          <w:p w14:paraId="25B5435D">
            <w:pPr>
              <w:topLinePunct/>
              <w:spacing w:line="400" w:lineRule="atLeast"/>
              <w:jc w:val="center"/>
              <w:rPr>
                <w:rFonts w:hint="eastAsia"/>
                <w:color w:val="auto"/>
                <w:szCs w:val="21"/>
              </w:rPr>
            </w:pPr>
          </w:p>
        </w:tc>
      </w:tr>
      <w:tr w14:paraId="311D2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20641469">
            <w:pPr>
              <w:topLinePunct/>
              <w:spacing w:line="400" w:lineRule="atLeast"/>
              <w:jc w:val="center"/>
              <w:rPr>
                <w:rFonts w:hint="eastAsia"/>
                <w:color w:val="auto"/>
                <w:szCs w:val="21"/>
              </w:rPr>
            </w:pPr>
          </w:p>
        </w:tc>
        <w:tc>
          <w:tcPr>
            <w:tcW w:w="1846" w:type="dxa"/>
            <w:noWrap w:val="0"/>
            <w:vAlign w:val="top"/>
          </w:tcPr>
          <w:p w14:paraId="6C54BDEF">
            <w:pPr>
              <w:topLinePunct/>
              <w:spacing w:line="400" w:lineRule="atLeast"/>
              <w:jc w:val="center"/>
              <w:rPr>
                <w:rFonts w:hint="eastAsia"/>
                <w:color w:val="auto"/>
                <w:szCs w:val="21"/>
              </w:rPr>
            </w:pPr>
          </w:p>
        </w:tc>
        <w:tc>
          <w:tcPr>
            <w:tcW w:w="1394" w:type="dxa"/>
            <w:noWrap w:val="0"/>
            <w:vAlign w:val="top"/>
          </w:tcPr>
          <w:p w14:paraId="144EEC89">
            <w:pPr>
              <w:topLinePunct/>
              <w:spacing w:line="400" w:lineRule="atLeast"/>
              <w:jc w:val="center"/>
              <w:rPr>
                <w:rFonts w:hint="eastAsia"/>
                <w:color w:val="auto"/>
                <w:szCs w:val="21"/>
              </w:rPr>
            </w:pPr>
          </w:p>
        </w:tc>
        <w:tc>
          <w:tcPr>
            <w:tcW w:w="1080" w:type="dxa"/>
            <w:noWrap w:val="0"/>
            <w:vAlign w:val="top"/>
          </w:tcPr>
          <w:p w14:paraId="24AF0D5D">
            <w:pPr>
              <w:topLinePunct/>
              <w:spacing w:line="400" w:lineRule="atLeast"/>
              <w:jc w:val="center"/>
              <w:rPr>
                <w:rFonts w:hint="eastAsia"/>
                <w:color w:val="auto"/>
                <w:szCs w:val="21"/>
              </w:rPr>
            </w:pPr>
          </w:p>
        </w:tc>
        <w:tc>
          <w:tcPr>
            <w:tcW w:w="1112" w:type="dxa"/>
            <w:noWrap w:val="0"/>
            <w:vAlign w:val="top"/>
          </w:tcPr>
          <w:p w14:paraId="6A898D07">
            <w:pPr>
              <w:topLinePunct/>
              <w:spacing w:line="400" w:lineRule="atLeast"/>
              <w:jc w:val="center"/>
              <w:rPr>
                <w:rFonts w:hint="eastAsia"/>
                <w:color w:val="auto"/>
                <w:szCs w:val="21"/>
              </w:rPr>
            </w:pPr>
          </w:p>
        </w:tc>
        <w:tc>
          <w:tcPr>
            <w:tcW w:w="1778" w:type="dxa"/>
            <w:noWrap w:val="0"/>
            <w:vAlign w:val="top"/>
          </w:tcPr>
          <w:p w14:paraId="7D9BC907">
            <w:pPr>
              <w:topLinePunct/>
              <w:spacing w:line="400" w:lineRule="atLeast"/>
              <w:jc w:val="center"/>
              <w:rPr>
                <w:rFonts w:hint="eastAsia"/>
                <w:color w:val="auto"/>
                <w:szCs w:val="21"/>
              </w:rPr>
            </w:pPr>
          </w:p>
        </w:tc>
        <w:tc>
          <w:tcPr>
            <w:tcW w:w="1080" w:type="dxa"/>
            <w:noWrap w:val="0"/>
            <w:vAlign w:val="top"/>
          </w:tcPr>
          <w:p w14:paraId="5E21808A">
            <w:pPr>
              <w:topLinePunct/>
              <w:spacing w:line="400" w:lineRule="atLeast"/>
              <w:jc w:val="center"/>
              <w:rPr>
                <w:rFonts w:hint="eastAsia"/>
                <w:color w:val="auto"/>
                <w:szCs w:val="21"/>
              </w:rPr>
            </w:pPr>
          </w:p>
        </w:tc>
      </w:tr>
      <w:tr w14:paraId="29819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2933C624">
            <w:pPr>
              <w:topLinePunct/>
              <w:spacing w:line="400" w:lineRule="atLeast"/>
              <w:jc w:val="center"/>
              <w:rPr>
                <w:rFonts w:hint="eastAsia"/>
                <w:color w:val="auto"/>
                <w:szCs w:val="21"/>
              </w:rPr>
            </w:pPr>
          </w:p>
        </w:tc>
        <w:tc>
          <w:tcPr>
            <w:tcW w:w="1846" w:type="dxa"/>
            <w:noWrap w:val="0"/>
            <w:vAlign w:val="top"/>
          </w:tcPr>
          <w:p w14:paraId="064208F6">
            <w:pPr>
              <w:topLinePunct/>
              <w:spacing w:line="400" w:lineRule="atLeast"/>
              <w:jc w:val="center"/>
              <w:rPr>
                <w:rFonts w:hint="eastAsia"/>
                <w:color w:val="auto"/>
                <w:szCs w:val="21"/>
              </w:rPr>
            </w:pPr>
          </w:p>
        </w:tc>
        <w:tc>
          <w:tcPr>
            <w:tcW w:w="1394" w:type="dxa"/>
            <w:noWrap w:val="0"/>
            <w:vAlign w:val="top"/>
          </w:tcPr>
          <w:p w14:paraId="5F7C9437">
            <w:pPr>
              <w:topLinePunct/>
              <w:spacing w:line="400" w:lineRule="atLeast"/>
              <w:jc w:val="center"/>
              <w:rPr>
                <w:rFonts w:hint="eastAsia"/>
                <w:color w:val="auto"/>
                <w:szCs w:val="21"/>
              </w:rPr>
            </w:pPr>
          </w:p>
        </w:tc>
        <w:tc>
          <w:tcPr>
            <w:tcW w:w="1080" w:type="dxa"/>
            <w:noWrap w:val="0"/>
            <w:vAlign w:val="top"/>
          </w:tcPr>
          <w:p w14:paraId="4F9244B4">
            <w:pPr>
              <w:topLinePunct/>
              <w:spacing w:line="400" w:lineRule="atLeast"/>
              <w:jc w:val="center"/>
              <w:rPr>
                <w:rFonts w:hint="eastAsia"/>
                <w:color w:val="auto"/>
                <w:szCs w:val="21"/>
              </w:rPr>
            </w:pPr>
          </w:p>
        </w:tc>
        <w:tc>
          <w:tcPr>
            <w:tcW w:w="1112" w:type="dxa"/>
            <w:noWrap w:val="0"/>
            <w:vAlign w:val="top"/>
          </w:tcPr>
          <w:p w14:paraId="3F637EFB">
            <w:pPr>
              <w:topLinePunct/>
              <w:spacing w:line="400" w:lineRule="atLeast"/>
              <w:jc w:val="center"/>
              <w:rPr>
                <w:rFonts w:hint="eastAsia"/>
                <w:color w:val="auto"/>
                <w:szCs w:val="21"/>
              </w:rPr>
            </w:pPr>
          </w:p>
        </w:tc>
        <w:tc>
          <w:tcPr>
            <w:tcW w:w="1778" w:type="dxa"/>
            <w:noWrap w:val="0"/>
            <w:vAlign w:val="top"/>
          </w:tcPr>
          <w:p w14:paraId="1CA88185">
            <w:pPr>
              <w:topLinePunct/>
              <w:spacing w:line="400" w:lineRule="atLeast"/>
              <w:jc w:val="center"/>
              <w:rPr>
                <w:rFonts w:hint="eastAsia"/>
                <w:color w:val="auto"/>
                <w:szCs w:val="21"/>
              </w:rPr>
            </w:pPr>
          </w:p>
        </w:tc>
        <w:tc>
          <w:tcPr>
            <w:tcW w:w="1080" w:type="dxa"/>
            <w:noWrap w:val="0"/>
            <w:vAlign w:val="top"/>
          </w:tcPr>
          <w:p w14:paraId="10DB1796">
            <w:pPr>
              <w:topLinePunct/>
              <w:spacing w:line="400" w:lineRule="atLeast"/>
              <w:jc w:val="center"/>
              <w:rPr>
                <w:rFonts w:hint="eastAsia"/>
                <w:color w:val="auto"/>
                <w:szCs w:val="21"/>
              </w:rPr>
            </w:pPr>
          </w:p>
        </w:tc>
      </w:tr>
      <w:tr w14:paraId="32322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0874ABC6">
            <w:pPr>
              <w:topLinePunct/>
              <w:spacing w:line="400" w:lineRule="atLeast"/>
              <w:jc w:val="center"/>
              <w:rPr>
                <w:rFonts w:hint="eastAsia"/>
                <w:color w:val="auto"/>
                <w:szCs w:val="21"/>
              </w:rPr>
            </w:pPr>
          </w:p>
        </w:tc>
        <w:tc>
          <w:tcPr>
            <w:tcW w:w="1846" w:type="dxa"/>
            <w:noWrap w:val="0"/>
            <w:vAlign w:val="top"/>
          </w:tcPr>
          <w:p w14:paraId="4F434149">
            <w:pPr>
              <w:topLinePunct/>
              <w:spacing w:line="400" w:lineRule="atLeast"/>
              <w:jc w:val="center"/>
              <w:rPr>
                <w:rFonts w:hint="eastAsia"/>
                <w:color w:val="auto"/>
                <w:szCs w:val="21"/>
              </w:rPr>
            </w:pPr>
          </w:p>
        </w:tc>
        <w:tc>
          <w:tcPr>
            <w:tcW w:w="1394" w:type="dxa"/>
            <w:noWrap w:val="0"/>
            <w:vAlign w:val="top"/>
          </w:tcPr>
          <w:p w14:paraId="0501B4F7">
            <w:pPr>
              <w:topLinePunct/>
              <w:spacing w:line="400" w:lineRule="atLeast"/>
              <w:jc w:val="center"/>
              <w:rPr>
                <w:rFonts w:hint="eastAsia"/>
                <w:color w:val="auto"/>
                <w:szCs w:val="21"/>
              </w:rPr>
            </w:pPr>
          </w:p>
        </w:tc>
        <w:tc>
          <w:tcPr>
            <w:tcW w:w="1080" w:type="dxa"/>
            <w:noWrap w:val="0"/>
            <w:vAlign w:val="top"/>
          </w:tcPr>
          <w:p w14:paraId="79D65410">
            <w:pPr>
              <w:topLinePunct/>
              <w:spacing w:line="400" w:lineRule="atLeast"/>
              <w:jc w:val="center"/>
              <w:rPr>
                <w:rFonts w:hint="eastAsia"/>
                <w:color w:val="auto"/>
                <w:szCs w:val="21"/>
              </w:rPr>
            </w:pPr>
          </w:p>
        </w:tc>
        <w:tc>
          <w:tcPr>
            <w:tcW w:w="1112" w:type="dxa"/>
            <w:noWrap w:val="0"/>
            <w:vAlign w:val="top"/>
          </w:tcPr>
          <w:p w14:paraId="69D30473">
            <w:pPr>
              <w:topLinePunct/>
              <w:spacing w:line="400" w:lineRule="atLeast"/>
              <w:jc w:val="center"/>
              <w:rPr>
                <w:rFonts w:hint="eastAsia"/>
                <w:color w:val="auto"/>
                <w:szCs w:val="21"/>
              </w:rPr>
            </w:pPr>
          </w:p>
        </w:tc>
        <w:tc>
          <w:tcPr>
            <w:tcW w:w="1778" w:type="dxa"/>
            <w:noWrap w:val="0"/>
            <w:vAlign w:val="top"/>
          </w:tcPr>
          <w:p w14:paraId="30518368">
            <w:pPr>
              <w:topLinePunct/>
              <w:spacing w:line="400" w:lineRule="atLeast"/>
              <w:jc w:val="center"/>
              <w:rPr>
                <w:rFonts w:hint="eastAsia"/>
                <w:color w:val="auto"/>
                <w:szCs w:val="21"/>
              </w:rPr>
            </w:pPr>
          </w:p>
        </w:tc>
        <w:tc>
          <w:tcPr>
            <w:tcW w:w="1080" w:type="dxa"/>
            <w:noWrap w:val="0"/>
            <w:vAlign w:val="top"/>
          </w:tcPr>
          <w:p w14:paraId="1CB96A58">
            <w:pPr>
              <w:topLinePunct/>
              <w:spacing w:line="400" w:lineRule="atLeast"/>
              <w:jc w:val="center"/>
              <w:rPr>
                <w:rFonts w:hint="eastAsia"/>
                <w:color w:val="auto"/>
                <w:szCs w:val="21"/>
              </w:rPr>
            </w:pPr>
          </w:p>
        </w:tc>
      </w:tr>
    </w:tbl>
    <w:p w14:paraId="7E85879E">
      <w:pPr>
        <w:rPr>
          <w:color w:val="auto"/>
        </w:rPr>
      </w:pPr>
    </w:p>
    <w:p w14:paraId="01672AFB">
      <w:pPr>
        <w:rPr>
          <w:rFonts w:hint="eastAsia"/>
          <w:color w:val="auto"/>
          <w:szCs w:val="24"/>
        </w:rPr>
      </w:pPr>
      <w:r>
        <w:rPr>
          <w:rFonts w:hint="eastAsia"/>
          <w:color w:val="auto"/>
          <w:szCs w:val="24"/>
        </w:rPr>
        <w:br w:type="page"/>
      </w:r>
    </w:p>
    <w:p w14:paraId="6A1B3393">
      <w:pPr>
        <w:keepNext w:val="0"/>
        <w:keepLines w:val="0"/>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ascii="黑体" w:hAnsi="宋体" w:eastAsia="黑体"/>
          <w:color w:val="auto"/>
          <w:sz w:val="24"/>
        </w:rPr>
      </w:pPr>
      <w:bookmarkStart w:id="2034" w:name="_Toc122603094"/>
      <w:r>
        <w:rPr>
          <w:rFonts w:hint="eastAsia" w:ascii="黑体" w:hAnsi="黑体" w:eastAsia="黑体" w:cs="黑体"/>
          <w:color w:val="auto"/>
          <w:sz w:val="24"/>
          <w:szCs w:val="24"/>
        </w:rPr>
        <w:t>近年完成的类似项目情况表</w:t>
      </w:r>
      <w:bookmarkEnd w:id="2034"/>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1"/>
        <w:gridCol w:w="6094"/>
      </w:tblGrid>
      <w:tr w14:paraId="140F5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5495D0A0">
            <w:pPr>
              <w:jc w:val="center"/>
              <w:rPr>
                <w:rFonts w:ascii="宋体" w:hAnsi="宋体"/>
                <w:color w:val="auto"/>
                <w:szCs w:val="21"/>
              </w:rPr>
            </w:pPr>
            <w:r>
              <w:rPr>
                <w:rFonts w:hint="eastAsia" w:ascii="宋体" w:hAnsi="宋体"/>
                <w:color w:val="auto"/>
                <w:szCs w:val="21"/>
              </w:rPr>
              <w:t>项目名称</w:t>
            </w:r>
          </w:p>
        </w:tc>
        <w:tc>
          <w:tcPr>
            <w:tcW w:w="6094" w:type="dxa"/>
            <w:vAlign w:val="center"/>
          </w:tcPr>
          <w:p w14:paraId="578B0580">
            <w:pPr>
              <w:jc w:val="center"/>
              <w:rPr>
                <w:rFonts w:ascii="宋体" w:hAnsi="宋体"/>
                <w:color w:val="auto"/>
                <w:szCs w:val="21"/>
              </w:rPr>
            </w:pPr>
          </w:p>
        </w:tc>
      </w:tr>
      <w:tr w14:paraId="5E9A1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04120B52">
            <w:pPr>
              <w:jc w:val="center"/>
              <w:rPr>
                <w:rFonts w:ascii="宋体" w:hAnsi="宋体"/>
                <w:color w:val="auto"/>
                <w:szCs w:val="21"/>
              </w:rPr>
            </w:pPr>
            <w:r>
              <w:rPr>
                <w:rFonts w:hint="eastAsia" w:ascii="宋体" w:hAnsi="宋体"/>
                <w:color w:val="auto"/>
                <w:szCs w:val="21"/>
              </w:rPr>
              <w:t>项目所在地</w:t>
            </w:r>
          </w:p>
        </w:tc>
        <w:tc>
          <w:tcPr>
            <w:tcW w:w="6094" w:type="dxa"/>
            <w:vAlign w:val="center"/>
          </w:tcPr>
          <w:p w14:paraId="12FBC99B">
            <w:pPr>
              <w:jc w:val="center"/>
              <w:rPr>
                <w:rFonts w:ascii="宋体" w:hAnsi="宋体"/>
                <w:color w:val="auto"/>
                <w:szCs w:val="21"/>
              </w:rPr>
            </w:pPr>
          </w:p>
        </w:tc>
      </w:tr>
      <w:tr w14:paraId="642A4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25903108">
            <w:pPr>
              <w:jc w:val="center"/>
              <w:rPr>
                <w:rFonts w:ascii="宋体" w:hAnsi="宋体"/>
                <w:color w:val="auto"/>
                <w:szCs w:val="21"/>
              </w:rPr>
            </w:pPr>
            <w:r>
              <w:rPr>
                <w:rFonts w:hint="eastAsia" w:ascii="宋体" w:hAnsi="宋体"/>
                <w:color w:val="auto"/>
                <w:szCs w:val="21"/>
              </w:rPr>
              <w:t>发包人名称</w:t>
            </w:r>
          </w:p>
        </w:tc>
        <w:tc>
          <w:tcPr>
            <w:tcW w:w="6094" w:type="dxa"/>
            <w:vAlign w:val="center"/>
          </w:tcPr>
          <w:p w14:paraId="6654C10B">
            <w:pPr>
              <w:jc w:val="center"/>
              <w:rPr>
                <w:rFonts w:ascii="宋体" w:hAnsi="宋体"/>
                <w:color w:val="auto"/>
                <w:szCs w:val="21"/>
              </w:rPr>
            </w:pPr>
          </w:p>
        </w:tc>
      </w:tr>
      <w:tr w14:paraId="39EB4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7CA23949">
            <w:pPr>
              <w:jc w:val="center"/>
              <w:rPr>
                <w:rFonts w:ascii="宋体" w:hAnsi="宋体"/>
                <w:color w:val="auto"/>
                <w:szCs w:val="21"/>
              </w:rPr>
            </w:pPr>
            <w:r>
              <w:rPr>
                <w:rFonts w:hint="eastAsia" w:ascii="宋体" w:hAnsi="宋体"/>
                <w:color w:val="auto"/>
                <w:szCs w:val="21"/>
              </w:rPr>
              <w:t>发包人地址</w:t>
            </w:r>
          </w:p>
        </w:tc>
        <w:tc>
          <w:tcPr>
            <w:tcW w:w="6094" w:type="dxa"/>
            <w:vAlign w:val="center"/>
          </w:tcPr>
          <w:p w14:paraId="701BC541">
            <w:pPr>
              <w:jc w:val="center"/>
              <w:rPr>
                <w:rFonts w:ascii="宋体" w:hAnsi="宋体"/>
                <w:color w:val="auto"/>
                <w:szCs w:val="21"/>
              </w:rPr>
            </w:pPr>
          </w:p>
        </w:tc>
      </w:tr>
      <w:tr w14:paraId="27E74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2B35DDE3">
            <w:pPr>
              <w:jc w:val="center"/>
              <w:rPr>
                <w:rFonts w:ascii="宋体" w:hAnsi="宋体"/>
                <w:color w:val="auto"/>
                <w:szCs w:val="21"/>
              </w:rPr>
            </w:pPr>
            <w:r>
              <w:rPr>
                <w:rFonts w:hint="eastAsia" w:ascii="宋体" w:hAnsi="宋体"/>
                <w:color w:val="auto"/>
                <w:szCs w:val="21"/>
              </w:rPr>
              <w:t>发包人联系人及电话</w:t>
            </w:r>
          </w:p>
        </w:tc>
        <w:tc>
          <w:tcPr>
            <w:tcW w:w="6094" w:type="dxa"/>
            <w:vAlign w:val="center"/>
          </w:tcPr>
          <w:p w14:paraId="1D690D6F">
            <w:pPr>
              <w:jc w:val="center"/>
              <w:rPr>
                <w:rFonts w:ascii="宋体" w:hAnsi="宋体"/>
                <w:color w:val="auto"/>
                <w:szCs w:val="21"/>
              </w:rPr>
            </w:pPr>
          </w:p>
        </w:tc>
      </w:tr>
      <w:tr w14:paraId="50CF7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0607DCE4">
            <w:pPr>
              <w:jc w:val="center"/>
              <w:rPr>
                <w:rFonts w:hint="eastAsia" w:ascii="宋体" w:hAnsi="宋体"/>
                <w:color w:val="auto"/>
                <w:szCs w:val="21"/>
              </w:rPr>
            </w:pPr>
            <w:r>
              <w:rPr>
                <w:rFonts w:hint="eastAsia" w:ascii="宋体" w:hAnsi="宋体"/>
                <w:color w:val="auto"/>
                <w:szCs w:val="21"/>
              </w:rPr>
              <w:t>合同价格</w:t>
            </w:r>
            <w:r>
              <w:rPr>
                <w:rFonts w:hint="eastAsia" w:ascii="宋体" w:hAnsi="宋体"/>
                <w:color w:val="auto"/>
                <w:szCs w:val="21"/>
                <w:lang w:eastAsia="zh-CN"/>
              </w:rPr>
              <w:t>（</w:t>
            </w:r>
            <w:r>
              <w:rPr>
                <w:rFonts w:hint="eastAsia" w:ascii="宋体" w:hAnsi="宋体"/>
                <w:color w:val="auto"/>
                <w:szCs w:val="21"/>
                <w:lang w:val="en-US" w:eastAsia="zh-CN"/>
              </w:rPr>
              <w:t>元</w:t>
            </w:r>
            <w:r>
              <w:rPr>
                <w:rFonts w:hint="eastAsia" w:ascii="宋体" w:hAnsi="宋体"/>
                <w:color w:val="auto"/>
                <w:szCs w:val="21"/>
                <w:lang w:eastAsia="zh-CN"/>
              </w:rPr>
              <w:t>）</w:t>
            </w:r>
          </w:p>
        </w:tc>
        <w:tc>
          <w:tcPr>
            <w:tcW w:w="6094" w:type="dxa"/>
            <w:vAlign w:val="center"/>
          </w:tcPr>
          <w:p w14:paraId="37F2DD05">
            <w:pPr>
              <w:jc w:val="center"/>
              <w:rPr>
                <w:rFonts w:ascii="宋体" w:hAnsi="宋体"/>
                <w:color w:val="auto"/>
                <w:szCs w:val="21"/>
              </w:rPr>
            </w:pPr>
          </w:p>
        </w:tc>
      </w:tr>
      <w:tr w14:paraId="4BB49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3EB42F85">
            <w:pPr>
              <w:jc w:val="center"/>
              <w:rPr>
                <w:rFonts w:ascii="宋体" w:hAnsi="宋体"/>
                <w:color w:val="auto"/>
                <w:szCs w:val="21"/>
              </w:rPr>
            </w:pPr>
            <w:r>
              <w:rPr>
                <w:rFonts w:hint="eastAsia" w:ascii="宋体" w:hAnsi="宋体"/>
                <w:color w:val="auto"/>
                <w:szCs w:val="21"/>
              </w:rPr>
              <w:t>开工日期</w:t>
            </w:r>
          </w:p>
        </w:tc>
        <w:tc>
          <w:tcPr>
            <w:tcW w:w="6094" w:type="dxa"/>
            <w:vAlign w:val="center"/>
          </w:tcPr>
          <w:p w14:paraId="3F6E693D">
            <w:pPr>
              <w:jc w:val="center"/>
              <w:rPr>
                <w:rFonts w:ascii="宋体" w:hAnsi="宋体"/>
                <w:color w:val="auto"/>
                <w:szCs w:val="21"/>
              </w:rPr>
            </w:pPr>
          </w:p>
        </w:tc>
      </w:tr>
      <w:tr w14:paraId="4D5A9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1A50D156">
            <w:pPr>
              <w:jc w:val="center"/>
              <w:rPr>
                <w:rFonts w:ascii="宋体" w:hAnsi="宋体"/>
                <w:color w:val="auto"/>
                <w:szCs w:val="21"/>
              </w:rPr>
            </w:pPr>
            <w:r>
              <w:rPr>
                <w:rFonts w:hint="eastAsia" w:ascii="宋体" w:hAnsi="宋体"/>
                <w:color w:val="auto"/>
                <w:szCs w:val="21"/>
              </w:rPr>
              <w:t>竣工日期</w:t>
            </w:r>
          </w:p>
        </w:tc>
        <w:tc>
          <w:tcPr>
            <w:tcW w:w="6094" w:type="dxa"/>
            <w:vAlign w:val="center"/>
          </w:tcPr>
          <w:p w14:paraId="2AB65C8C">
            <w:pPr>
              <w:jc w:val="center"/>
              <w:rPr>
                <w:rFonts w:ascii="宋体" w:hAnsi="宋体"/>
                <w:color w:val="auto"/>
                <w:szCs w:val="21"/>
              </w:rPr>
            </w:pPr>
          </w:p>
        </w:tc>
      </w:tr>
      <w:tr w14:paraId="61198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08006606">
            <w:pPr>
              <w:jc w:val="center"/>
              <w:rPr>
                <w:rFonts w:ascii="宋体" w:hAnsi="宋体"/>
                <w:color w:val="auto"/>
                <w:szCs w:val="21"/>
              </w:rPr>
            </w:pPr>
            <w:r>
              <w:rPr>
                <w:rFonts w:hint="eastAsia" w:ascii="宋体" w:hAnsi="宋体"/>
                <w:color w:val="auto"/>
                <w:szCs w:val="21"/>
              </w:rPr>
              <w:t>承担的工作</w:t>
            </w:r>
          </w:p>
        </w:tc>
        <w:tc>
          <w:tcPr>
            <w:tcW w:w="6094" w:type="dxa"/>
            <w:vAlign w:val="center"/>
          </w:tcPr>
          <w:p w14:paraId="2FAC6F5E">
            <w:pPr>
              <w:jc w:val="center"/>
              <w:rPr>
                <w:rFonts w:ascii="宋体" w:hAnsi="宋体"/>
                <w:color w:val="auto"/>
                <w:szCs w:val="21"/>
              </w:rPr>
            </w:pPr>
          </w:p>
        </w:tc>
      </w:tr>
      <w:tr w14:paraId="4AE86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26DF901D">
            <w:pPr>
              <w:jc w:val="center"/>
              <w:rPr>
                <w:rFonts w:ascii="宋体" w:hAnsi="宋体"/>
                <w:color w:val="auto"/>
                <w:szCs w:val="21"/>
              </w:rPr>
            </w:pPr>
            <w:r>
              <w:rPr>
                <w:rFonts w:hint="eastAsia" w:ascii="宋体" w:hAnsi="宋体"/>
                <w:color w:val="auto"/>
                <w:szCs w:val="21"/>
              </w:rPr>
              <w:t>工程质量</w:t>
            </w:r>
          </w:p>
        </w:tc>
        <w:tc>
          <w:tcPr>
            <w:tcW w:w="6094" w:type="dxa"/>
            <w:vAlign w:val="center"/>
          </w:tcPr>
          <w:p w14:paraId="102F324C">
            <w:pPr>
              <w:jc w:val="center"/>
              <w:rPr>
                <w:rFonts w:ascii="宋体" w:hAnsi="宋体"/>
                <w:color w:val="auto"/>
                <w:szCs w:val="21"/>
              </w:rPr>
            </w:pPr>
          </w:p>
        </w:tc>
      </w:tr>
      <w:tr w14:paraId="4B611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3E822646">
            <w:pPr>
              <w:jc w:val="center"/>
              <w:rPr>
                <w:rFonts w:ascii="宋体" w:hAnsi="宋体"/>
                <w:color w:val="auto"/>
                <w:szCs w:val="21"/>
              </w:rPr>
            </w:pPr>
            <w:r>
              <w:rPr>
                <w:rFonts w:hint="eastAsia" w:ascii="宋体" w:hAnsi="宋体"/>
                <w:color w:val="auto"/>
                <w:szCs w:val="21"/>
              </w:rPr>
              <w:t>项目经理</w:t>
            </w:r>
          </w:p>
        </w:tc>
        <w:tc>
          <w:tcPr>
            <w:tcW w:w="6094" w:type="dxa"/>
            <w:vAlign w:val="center"/>
          </w:tcPr>
          <w:p w14:paraId="4BE7EBB6">
            <w:pPr>
              <w:jc w:val="center"/>
              <w:rPr>
                <w:rFonts w:ascii="宋体" w:hAnsi="宋体"/>
                <w:color w:val="auto"/>
                <w:szCs w:val="21"/>
              </w:rPr>
            </w:pPr>
          </w:p>
        </w:tc>
      </w:tr>
      <w:tr w14:paraId="69844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7501128C">
            <w:pPr>
              <w:jc w:val="center"/>
              <w:rPr>
                <w:rFonts w:ascii="宋体" w:hAnsi="宋体"/>
                <w:color w:val="auto"/>
                <w:szCs w:val="21"/>
              </w:rPr>
            </w:pPr>
            <w:r>
              <w:rPr>
                <w:rFonts w:hint="eastAsia" w:ascii="宋体" w:hAnsi="宋体"/>
                <w:color w:val="auto"/>
                <w:szCs w:val="21"/>
              </w:rPr>
              <w:t>技术负责人</w:t>
            </w:r>
          </w:p>
        </w:tc>
        <w:tc>
          <w:tcPr>
            <w:tcW w:w="6094" w:type="dxa"/>
            <w:vAlign w:val="center"/>
          </w:tcPr>
          <w:p w14:paraId="6700B9AB">
            <w:pPr>
              <w:jc w:val="center"/>
              <w:rPr>
                <w:rFonts w:ascii="宋体" w:hAnsi="宋体"/>
                <w:color w:val="auto"/>
                <w:szCs w:val="21"/>
              </w:rPr>
            </w:pPr>
          </w:p>
        </w:tc>
      </w:tr>
      <w:tr w14:paraId="38AD3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719BE2A3">
            <w:pPr>
              <w:jc w:val="center"/>
              <w:rPr>
                <w:rFonts w:ascii="宋体" w:hAnsi="宋体"/>
                <w:color w:val="auto"/>
                <w:szCs w:val="21"/>
              </w:rPr>
            </w:pPr>
            <w:r>
              <w:rPr>
                <w:rFonts w:hint="eastAsia" w:ascii="宋体" w:hAnsi="宋体"/>
                <w:color w:val="auto"/>
                <w:szCs w:val="21"/>
              </w:rPr>
              <w:t>总监理工程师及电话</w:t>
            </w:r>
          </w:p>
        </w:tc>
        <w:tc>
          <w:tcPr>
            <w:tcW w:w="6094" w:type="dxa"/>
            <w:vAlign w:val="center"/>
          </w:tcPr>
          <w:p w14:paraId="5A8745DA">
            <w:pPr>
              <w:jc w:val="center"/>
              <w:rPr>
                <w:rFonts w:ascii="宋体" w:hAnsi="宋体"/>
                <w:color w:val="auto"/>
                <w:szCs w:val="21"/>
              </w:rPr>
            </w:pPr>
          </w:p>
        </w:tc>
      </w:tr>
      <w:tr w14:paraId="232FB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2411" w:type="dxa"/>
            <w:vAlign w:val="center"/>
          </w:tcPr>
          <w:p w14:paraId="6A6CFE1A">
            <w:pPr>
              <w:jc w:val="center"/>
              <w:rPr>
                <w:rFonts w:ascii="宋体" w:hAnsi="宋体"/>
                <w:color w:val="auto"/>
                <w:szCs w:val="21"/>
              </w:rPr>
            </w:pPr>
            <w:r>
              <w:rPr>
                <w:rFonts w:hint="eastAsia" w:ascii="宋体" w:hAnsi="宋体"/>
                <w:color w:val="auto"/>
                <w:szCs w:val="21"/>
              </w:rPr>
              <w:t>项目描述</w:t>
            </w:r>
          </w:p>
        </w:tc>
        <w:tc>
          <w:tcPr>
            <w:tcW w:w="6094" w:type="dxa"/>
            <w:vAlign w:val="center"/>
          </w:tcPr>
          <w:p w14:paraId="21321B67">
            <w:pPr>
              <w:jc w:val="center"/>
              <w:rPr>
                <w:rFonts w:ascii="宋体" w:hAnsi="宋体"/>
                <w:color w:val="auto"/>
                <w:szCs w:val="21"/>
              </w:rPr>
            </w:pPr>
          </w:p>
        </w:tc>
      </w:tr>
      <w:tr w14:paraId="2C5E6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2D38A40E">
            <w:pPr>
              <w:jc w:val="center"/>
              <w:rPr>
                <w:rFonts w:ascii="宋体" w:hAnsi="宋体"/>
                <w:color w:val="auto"/>
                <w:szCs w:val="21"/>
              </w:rPr>
            </w:pPr>
            <w:r>
              <w:rPr>
                <w:rFonts w:hint="eastAsia" w:ascii="宋体" w:hAnsi="宋体"/>
                <w:color w:val="auto"/>
                <w:szCs w:val="21"/>
              </w:rPr>
              <w:t>备注</w:t>
            </w:r>
          </w:p>
        </w:tc>
        <w:tc>
          <w:tcPr>
            <w:tcW w:w="6094" w:type="dxa"/>
            <w:vAlign w:val="center"/>
          </w:tcPr>
          <w:p w14:paraId="65E7D4E1">
            <w:pPr>
              <w:jc w:val="center"/>
              <w:rPr>
                <w:rFonts w:ascii="宋体" w:hAnsi="宋体"/>
                <w:color w:val="auto"/>
                <w:szCs w:val="21"/>
              </w:rPr>
            </w:pPr>
          </w:p>
        </w:tc>
      </w:tr>
    </w:tbl>
    <w:p w14:paraId="3E7C8D0C">
      <w:pPr>
        <w:ind w:left="945" w:leftChars="150" w:hanging="630" w:hangingChars="300"/>
        <w:rPr>
          <w:rFonts w:hint="eastAsia" w:ascii="宋体" w:hAnsi="宋体"/>
          <w:color w:val="auto"/>
        </w:rPr>
      </w:pPr>
      <w:r>
        <w:rPr>
          <w:rFonts w:hint="eastAsia" w:ascii="宋体" w:hAnsi="宋体"/>
          <w:color w:val="auto"/>
        </w:rPr>
        <w:t>备注：1.类似项目含义和近年具体要求见投标人须知前附表，</w:t>
      </w:r>
    </w:p>
    <w:p w14:paraId="3B8BB675">
      <w:pPr>
        <w:ind w:left="945" w:leftChars="450" w:firstLine="0" w:firstLineChars="0"/>
        <w:rPr>
          <w:color w:val="auto"/>
        </w:rPr>
      </w:pPr>
      <w:r>
        <w:rPr>
          <w:rFonts w:hint="eastAsia" w:ascii="宋体" w:hAnsi="宋体"/>
          <w:color w:val="auto"/>
        </w:rPr>
        <w:t>2.本表后附业绩材料。每张表格只填写一个项目，并标明序号。</w:t>
      </w:r>
    </w:p>
    <w:p w14:paraId="1692A9C3">
      <w:pPr>
        <w:pStyle w:val="27"/>
        <w:jc w:val="center"/>
        <w:rPr>
          <w:rFonts w:hint="eastAsia"/>
          <w:color w:val="auto"/>
          <w:szCs w:val="24"/>
        </w:rPr>
        <w:sectPr>
          <w:footerReference r:id="rId49" w:type="default"/>
          <w:pgSz w:w="11906" w:h="16838"/>
          <w:pgMar w:top="1440" w:right="1800" w:bottom="1440" w:left="1800" w:header="851" w:footer="992" w:gutter="0"/>
          <w:pgNumType w:fmt="decimal"/>
          <w:cols w:space="425" w:num="1"/>
          <w:docGrid w:type="lines" w:linePitch="312" w:charSpace="0"/>
        </w:sectPr>
      </w:pPr>
    </w:p>
    <w:p w14:paraId="700F67A1">
      <w:pPr>
        <w:pStyle w:val="27"/>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szCs w:val="24"/>
        </w:rPr>
      </w:pPr>
      <w:bookmarkStart w:id="2035" w:name="_Toc122603095"/>
      <w:bookmarkStart w:id="2036" w:name="_Toc23048"/>
      <w:r>
        <w:rPr>
          <w:rFonts w:hint="eastAsia"/>
          <w:color w:val="auto"/>
          <w:szCs w:val="24"/>
          <w:lang w:eastAsia="zh-CN"/>
        </w:rPr>
        <w:t>（</w:t>
      </w:r>
      <w:r>
        <w:rPr>
          <w:rFonts w:hint="default"/>
          <w:color w:val="auto"/>
          <w:szCs w:val="24"/>
        </w:rPr>
        <w:t>四</w:t>
      </w:r>
      <w:r>
        <w:rPr>
          <w:rFonts w:hint="eastAsia"/>
          <w:color w:val="auto"/>
          <w:szCs w:val="24"/>
          <w:lang w:eastAsia="zh-CN"/>
        </w:rPr>
        <w:t>）</w:t>
      </w:r>
      <w:r>
        <w:rPr>
          <w:rFonts w:hint="eastAsia"/>
          <w:color w:val="auto"/>
          <w:szCs w:val="24"/>
        </w:rPr>
        <w:t>正在施工的和新承接的项目情况</w:t>
      </w:r>
      <w:bookmarkEnd w:id="2035"/>
      <w:bookmarkEnd w:id="2036"/>
    </w:p>
    <w:p w14:paraId="64286472">
      <w:pPr>
        <w:bidi w:val="0"/>
        <w:spacing w:before="156" w:beforeLines="50" w:after="156" w:afterLines="50"/>
        <w:jc w:val="center"/>
        <w:rPr>
          <w:rFonts w:hint="eastAsia" w:ascii="黑体" w:hAnsi="黑体" w:eastAsia="黑体" w:cs="黑体"/>
          <w:color w:val="auto"/>
          <w:sz w:val="24"/>
          <w:szCs w:val="24"/>
        </w:rPr>
      </w:pPr>
      <w:bookmarkStart w:id="2037" w:name="_Toc122603096"/>
      <w:r>
        <w:rPr>
          <w:rFonts w:hint="eastAsia" w:ascii="黑体" w:hAnsi="黑体" w:eastAsia="黑体" w:cs="黑体"/>
          <w:color w:val="auto"/>
          <w:sz w:val="24"/>
          <w:szCs w:val="24"/>
        </w:rPr>
        <w:t>正在施工的和新承接的项目汇总表</w:t>
      </w:r>
      <w:bookmarkEnd w:id="2037"/>
    </w:p>
    <w:tbl>
      <w:tblPr>
        <w:tblStyle w:val="18"/>
        <w:tblW w:w="88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846"/>
        <w:gridCol w:w="1394"/>
        <w:gridCol w:w="1080"/>
        <w:gridCol w:w="1112"/>
        <w:gridCol w:w="1778"/>
        <w:gridCol w:w="1080"/>
      </w:tblGrid>
      <w:tr w14:paraId="597B7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noWrap w:val="0"/>
            <w:vAlign w:val="center"/>
          </w:tcPr>
          <w:p w14:paraId="311C7EE1">
            <w:pPr>
              <w:topLinePunct/>
              <w:spacing w:line="400" w:lineRule="atLeast"/>
              <w:jc w:val="center"/>
              <w:rPr>
                <w:rFonts w:hint="eastAsia"/>
                <w:color w:val="auto"/>
                <w:szCs w:val="21"/>
              </w:rPr>
            </w:pPr>
            <w:r>
              <w:rPr>
                <w:rFonts w:hint="eastAsia"/>
                <w:color w:val="auto"/>
                <w:szCs w:val="21"/>
              </w:rPr>
              <w:t>序号</w:t>
            </w:r>
          </w:p>
        </w:tc>
        <w:tc>
          <w:tcPr>
            <w:tcW w:w="1846" w:type="dxa"/>
            <w:noWrap w:val="0"/>
            <w:vAlign w:val="center"/>
          </w:tcPr>
          <w:p w14:paraId="7DCF7FB9">
            <w:pPr>
              <w:topLinePunct/>
              <w:spacing w:line="400" w:lineRule="atLeast"/>
              <w:jc w:val="center"/>
              <w:rPr>
                <w:rFonts w:hint="eastAsia"/>
                <w:color w:val="auto"/>
                <w:szCs w:val="21"/>
              </w:rPr>
            </w:pPr>
            <w:r>
              <w:rPr>
                <w:rFonts w:hint="eastAsia"/>
                <w:color w:val="auto"/>
                <w:szCs w:val="21"/>
              </w:rPr>
              <w:t>项目名称</w:t>
            </w:r>
          </w:p>
        </w:tc>
        <w:tc>
          <w:tcPr>
            <w:tcW w:w="1394" w:type="dxa"/>
            <w:noWrap w:val="0"/>
            <w:vAlign w:val="center"/>
          </w:tcPr>
          <w:p w14:paraId="69628BB3">
            <w:pPr>
              <w:topLinePunct/>
              <w:spacing w:line="400" w:lineRule="atLeast"/>
              <w:jc w:val="center"/>
              <w:rPr>
                <w:rFonts w:hint="eastAsia"/>
                <w:color w:val="auto"/>
                <w:szCs w:val="21"/>
              </w:rPr>
            </w:pPr>
            <w:r>
              <w:rPr>
                <w:rFonts w:hint="eastAsia" w:ascii="宋体" w:hAnsi="宋体"/>
                <w:color w:val="auto"/>
                <w:szCs w:val="21"/>
              </w:rPr>
              <w:t>发包人名称</w:t>
            </w:r>
          </w:p>
        </w:tc>
        <w:tc>
          <w:tcPr>
            <w:tcW w:w="1080" w:type="dxa"/>
            <w:noWrap w:val="0"/>
            <w:vAlign w:val="center"/>
          </w:tcPr>
          <w:p w14:paraId="489E006C">
            <w:pPr>
              <w:topLinePunct/>
              <w:spacing w:line="400" w:lineRule="atLeast"/>
              <w:jc w:val="center"/>
              <w:rPr>
                <w:rFonts w:hint="eastAsia"/>
                <w:color w:val="auto"/>
                <w:szCs w:val="21"/>
              </w:rPr>
            </w:pPr>
            <w:r>
              <w:rPr>
                <w:rFonts w:hint="eastAsia"/>
                <w:color w:val="auto"/>
                <w:szCs w:val="21"/>
              </w:rPr>
              <w:t>工程规模</w:t>
            </w:r>
          </w:p>
        </w:tc>
        <w:tc>
          <w:tcPr>
            <w:tcW w:w="1112" w:type="dxa"/>
            <w:noWrap w:val="0"/>
            <w:vAlign w:val="center"/>
          </w:tcPr>
          <w:p w14:paraId="2E2ACB6F">
            <w:pPr>
              <w:topLinePunct/>
              <w:spacing w:line="400" w:lineRule="atLeast"/>
              <w:jc w:val="center"/>
              <w:rPr>
                <w:rFonts w:hint="eastAsia"/>
                <w:color w:val="auto"/>
                <w:szCs w:val="21"/>
              </w:rPr>
            </w:pPr>
            <w:r>
              <w:rPr>
                <w:rFonts w:hint="eastAsia" w:ascii="宋体" w:hAnsi="宋体"/>
                <w:color w:val="auto"/>
                <w:szCs w:val="21"/>
              </w:rPr>
              <w:t>合同价格</w:t>
            </w:r>
            <w:r>
              <w:rPr>
                <w:rFonts w:hint="eastAsia"/>
                <w:color w:val="auto"/>
                <w:szCs w:val="21"/>
              </w:rPr>
              <w:t>（元）</w:t>
            </w:r>
          </w:p>
        </w:tc>
        <w:tc>
          <w:tcPr>
            <w:tcW w:w="1778" w:type="dxa"/>
            <w:noWrap w:val="0"/>
            <w:vAlign w:val="center"/>
          </w:tcPr>
          <w:p w14:paraId="2BAAAE8C">
            <w:pPr>
              <w:topLinePunct/>
              <w:spacing w:line="400" w:lineRule="atLeast"/>
              <w:jc w:val="center"/>
              <w:rPr>
                <w:rFonts w:hint="eastAsia" w:ascii="宋体" w:hAnsi="宋体"/>
                <w:color w:val="auto"/>
                <w:szCs w:val="21"/>
              </w:rPr>
            </w:pPr>
            <w:r>
              <w:rPr>
                <w:rFonts w:hint="eastAsia" w:ascii="宋体" w:hAnsi="宋体"/>
                <w:color w:val="auto"/>
                <w:szCs w:val="21"/>
              </w:rPr>
              <w:t>计划开、竣</w:t>
            </w:r>
          </w:p>
          <w:p w14:paraId="31E03ECC">
            <w:pPr>
              <w:topLinePunct/>
              <w:spacing w:line="400" w:lineRule="atLeast"/>
              <w:jc w:val="center"/>
              <w:rPr>
                <w:rFonts w:hint="eastAsia"/>
                <w:color w:val="auto"/>
                <w:szCs w:val="21"/>
              </w:rPr>
            </w:pPr>
            <w:r>
              <w:rPr>
                <w:rFonts w:hint="eastAsia" w:ascii="宋体" w:hAnsi="宋体"/>
                <w:color w:val="auto"/>
                <w:szCs w:val="21"/>
              </w:rPr>
              <w:t>工日期</w:t>
            </w:r>
          </w:p>
        </w:tc>
        <w:tc>
          <w:tcPr>
            <w:tcW w:w="1080" w:type="dxa"/>
            <w:noWrap w:val="0"/>
            <w:vAlign w:val="center"/>
          </w:tcPr>
          <w:p w14:paraId="55CDDDA4">
            <w:pPr>
              <w:topLinePunct/>
              <w:spacing w:line="400" w:lineRule="atLeast"/>
              <w:jc w:val="center"/>
              <w:rPr>
                <w:rFonts w:hint="eastAsia"/>
                <w:color w:val="auto"/>
                <w:szCs w:val="21"/>
              </w:rPr>
            </w:pPr>
            <w:r>
              <w:rPr>
                <w:rFonts w:hint="eastAsia" w:ascii="宋体" w:hAnsi="宋体"/>
                <w:color w:val="auto"/>
                <w:szCs w:val="21"/>
              </w:rPr>
              <w:t>项目经理</w:t>
            </w:r>
          </w:p>
        </w:tc>
      </w:tr>
      <w:tr w14:paraId="0A19A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7D4E9DD1">
            <w:pPr>
              <w:topLinePunct/>
              <w:spacing w:line="400" w:lineRule="atLeast"/>
              <w:jc w:val="center"/>
              <w:rPr>
                <w:rFonts w:hint="eastAsia"/>
                <w:color w:val="auto"/>
                <w:szCs w:val="21"/>
              </w:rPr>
            </w:pPr>
          </w:p>
        </w:tc>
        <w:tc>
          <w:tcPr>
            <w:tcW w:w="1846" w:type="dxa"/>
            <w:noWrap w:val="0"/>
            <w:vAlign w:val="top"/>
          </w:tcPr>
          <w:p w14:paraId="26E4EB90">
            <w:pPr>
              <w:topLinePunct/>
              <w:spacing w:line="400" w:lineRule="atLeast"/>
              <w:jc w:val="center"/>
              <w:rPr>
                <w:rFonts w:hint="eastAsia"/>
                <w:color w:val="auto"/>
                <w:szCs w:val="21"/>
              </w:rPr>
            </w:pPr>
          </w:p>
        </w:tc>
        <w:tc>
          <w:tcPr>
            <w:tcW w:w="1394" w:type="dxa"/>
            <w:noWrap w:val="0"/>
            <w:vAlign w:val="top"/>
          </w:tcPr>
          <w:p w14:paraId="1477D521">
            <w:pPr>
              <w:topLinePunct/>
              <w:spacing w:line="400" w:lineRule="atLeast"/>
              <w:jc w:val="center"/>
              <w:rPr>
                <w:rFonts w:hint="eastAsia"/>
                <w:color w:val="auto"/>
                <w:szCs w:val="21"/>
              </w:rPr>
            </w:pPr>
          </w:p>
        </w:tc>
        <w:tc>
          <w:tcPr>
            <w:tcW w:w="1080" w:type="dxa"/>
            <w:noWrap w:val="0"/>
            <w:vAlign w:val="top"/>
          </w:tcPr>
          <w:p w14:paraId="0149DC58">
            <w:pPr>
              <w:topLinePunct/>
              <w:spacing w:line="400" w:lineRule="atLeast"/>
              <w:jc w:val="center"/>
              <w:rPr>
                <w:rFonts w:hint="eastAsia"/>
                <w:color w:val="auto"/>
                <w:szCs w:val="21"/>
              </w:rPr>
            </w:pPr>
          </w:p>
        </w:tc>
        <w:tc>
          <w:tcPr>
            <w:tcW w:w="1112" w:type="dxa"/>
            <w:noWrap w:val="0"/>
            <w:vAlign w:val="top"/>
          </w:tcPr>
          <w:p w14:paraId="11A5CC53">
            <w:pPr>
              <w:topLinePunct/>
              <w:spacing w:line="400" w:lineRule="atLeast"/>
              <w:jc w:val="center"/>
              <w:rPr>
                <w:rFonts w:hint="eastAsia"/>
                <w:color w:val="auto"/>
                <w:szCs w:val="21"/>
              </w:rPr>
            </w:pPr>
          </w:p>
        </w:tc>
        <w:tc>
          <w:tcPr>
            <w:tcW w:w="1778" w:type="dxa"/>
            <w:noWrap w:val="0"/>
            <w:vAlign w:val="top"/>
          </w:tcPr>
          <w:p w14:paraId="7196D4B3">
            <w:pPr>
              <w:topLinePunct/>
              <w:spacing w:line="400" w:lineRule="atLeast"/>
              <w:jc w:val="center"/>
              <w:rPr>
                <w:rFonts w:hint="eastAsia"/>
                <w:color w:val="auto"/>
                <w:szCs w:val="21"/>
              </w:rPr>
            </w:pPr>
          </w:p>
        </w:tc>
        <w:tc>
          <w:tcPr>
            <w:tcW w:w="1080" w:type="dxa"/>
            <w:noWrap w:val="0"/>
            <w:vAlign w:val="top"/>
          </w:tcPr>
          <w:p w14:paraId="0B788D59">
            <w:pPr>
              <w:topLinePunct/>
              <w:spacing w:line="400" w:lineRule="atLeast"/>
              <w:jc w:val="center"/>
              <w:rPr>
                <w:rFonts w:hint="eastAsia"/>
                <w:color w:val="auto"/>
                <w:szCs w:val="21"/>
              </w:rPr>
            </w:pPr>
          </w:p>
        </w:tc>
      </w:tr>
      <w:tr w14:paraId="2468E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4A0E1273">
            <w:pPr>
              <w:topLinePunct/>
              <w:spacing w:line="400" w:lineRule="atLeast"/>
              <w:jc w:val="center"/>
              <w:rPr>
                <w:rFonts w:hint="eastAsia"/>
                <w:color w:val="auto"/>
                <w:szCs w:val="21"/>
              </w:rPr>
            </w:pPr>
          </w:p>
        </w:tc>
        <w:tc>
          <w:tcPr>
            <w:tcW w:w="1846" w:type="dxa"/>
            <w:noWrap w:val="0"/>
            <w:vAlign w:val="top"/>
          </w:tcPr>
          <w:p w14:paraId="1E699FD7">
            <w:pPr>
              <w:topLinePunct/>
              <w:spacing w:line="400" w:lineRule="atLeast"/>
              <w:jc w:val="center"/>
              <w:rPr>
                <w:rFonts w:hint="eastAsia"/>
                <w:color w:val="auto"/>
                <w:szCs w:val="21"/>
              </w:rPr>
            </w:pPr>
          </w:p>
        </w:tc>
        <w:tc>
          <w:tcPr>
            <w:tcW w:w="1394" w:type="dxa"/>
            <w:noWrap w:val="0"/>
            <w:vAlign w:val="top"/>
          </w:tcPr>
          <w:p w14:paraId="6703819D">
            <w:pPr>
              <w:topLinePunct/>
              <w:spacing w:line="400" w:lineRule="atLeast"/>
              <w:jc w:val="center"/>
              <w:rPr>
                <w:rFonts w:hint="eastAsia"/>
                <w:color w:val="auto"/>
                <w:szCs w:val="21"/>
              </w:rPr>
            </w:pPr>
          </w:p>
        </w:tc>
        <w:tc>
          <w:tcPr>
            <w:tcW w:w="1080" w:type="dxa"/>
            <w:noWrap w:val="0"/>
            <w:vAlign w:val="top"/>
          </w:tcPr>
          <w:p w14:paraId="580F5C13">
            <w:pPr>
              <w:topLinePunct/>
              <w:spacing w:line="400" w:lineRule="atLeast"/>
              <w:jc w:val="center"/>
              <w:rPr>
                <w:rFonts w:hint="eastAsia"/>
                <w:color w:val="auto"/>
                <w:szCs w:val="21"/>
              </w:rPr>
            </w:pPr>
          </w:p>
        </w:tc>
        <w:tc>
          <w:tcPr>
            <w:tcW w:w="1112" w:type="dxa"/>
            <w:noWrap w:val="0"/>
            <w:vAlign w:val="top"/>
          </w:tcPr>
          <w:p w14:paraId="1C11868C">
            <w:pPr>
              <w:topLinePunct/>
              <w:spacing w:line="400" w:lineRule="atLeast"/>
              <w:jc w:val="center"/>
              <w:rPr>
                <w:rFonts w:hint="eastAsia"/>
                <w:color w:val="auto"/>
                <w:szCs w:val="21"/>
              </w:rPr>
            </w:pPr>
          </w:p>
        </w:tc>
        <w:tc>
          <w:tcPr>
            <w:tcW w:w="1778" w:type="dxa"/>
            <w:noWrap w:val="0"/>
            <w:vAlign w:val="top"/>
          </w:tcPr>
          <w:p w14:paraId="42FBF672">
            <w:pPr>
              <w:topLinePunct/>
              <w:spacing w:line="400" w:lineRule="atLeast"/>
              <w:jc w:val="center"/>
              <w:rPr>
                <w:rFonts w:hint="eastAsia"/>
                <w:color w:val="auto"/>
                <w:szCs w:val="21"/>
              </w:rPr>
            </w:pPr>
          </w:p>
        </w:tc>
        <w:tc>
          <w:tcPr>
            <w:tcW w:w="1080" w:type="dxa"/>
            <w:noWrap w:val="0"/>
            <w:vAlign w:val="top"/>
          </w:tcPr>
          <w:p w14:paraId="26E8F3C6">
            <w:pPr>
              <w:topLinePunct/>
              <w:spacing w:line="400" w:lineRule="atLeast"/>
              <w:jc w:val="center"/>
              <w:rPr>
                <w:rFonts w:hint="eastAsia"/>
                <w:color w:val="auto"/>
                <w:szCs w:val="21"/>
              </w:rPr>
            </w:pPr>
          </w:p>
        </w:tc>
      </w:tr>
      <w:tr w14:paraId="1BE61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4F8DAE07">
            <w:pPr>
              <w:topLinePunct/>
              <w:spacing w:line="400" w:lineRule="atLeast"/>
              <w:jc w:val="center"/>
              <w:rPr>
                <w:rFonts w:hint="eastAsia"/>
                <w:color w:val="auto"/>
                <w:szCs w:val="21"/>
              </w:rPr>
            </w:pPr>
          </w:p>
        </w:tc>
        <w:tc>
          <w:tcPr>
            <w:tcW w:w="1846" w:type="dxa"/>
            <w:noWrap w:val="0"/>
            <w:vAlign w:val="top"/>
          </w:tcPr>
          <w:p w14:paraId="37DF25C2">
            <w:pPr>
              <w:topLinePunct/>
              <w:spacing w:line="400" w:lineRule="atLeast"/>
              <w:jc w:val="center"/>
              <w:rPr>
                <w:rFonts w:hint="eastAsia"/>
                <w:color w:val="auto"/>
                <w:szCs w:val="21"/>
              </w:rPr>
            </w:pPr>
          </w:p>
        </w:tc>
        <w:tc>
          <w:tcPr>
            <w:tcW w:w="1394" w:type="dxa"/>
            <w:noWrap w:val="0"/>
            <w:vAlign w:val="top"/>
          </w:tcPr>
          <w:p w14:paraId="30F8AAB6">
            <w:pPr>
              <w:topLinePunct/>
              <w:spacing w:line="400" w:lineRule="atLeast"/>
              <w:jc w:val="center"/>
              <w:rPr>
                <w:rFonts w:hint="eastAsia"/>
                <w:color w:val="auto"/>
                <w:szCs w:val="21"/>
              </w:rPr>
            </w:pPr>
          </w:p>
        </w:tc>
        <w:tc>
          <w:tcPr>
            <w:tcW w:w="1080" w:type="dxa"/>
            <w:noWrap w:val="0"/>
            <w:vAlign w:val="top"/>
          </w:tcPr>
          <w:p w14:paraId="5C76A0B8">
            <w:pPr>
              <w:topLinePunct/>
              <w:spacing w:line="400" w:lineRule="atLeast"/>
              <w:jc w:val="center"/>
              <w:rPr>
                <w:rFonts w:hint="eastAsia"/>
                <w:color w:val="auto"/>
                <w:szCs w:val="21"/>
              </w:rPr>
            </w:pPr>
          </w:p>
        </w:tc>
        <w:tc>
          <w:tcPr>
            <w:tcW w:w="1112" w:type="dxa"/>
            <w:noWrap w:val="0"/>
            <w:vAlign w:val="top"/>
          </w:tcPr>
          <w:p w14:paraId="538922E7">
            <w:pPr>
              <w:topLinePunct/>
              <w:spacing w:line="400" w:lineRule="atLeast"/>
              <w:jc w:val="center"/>
              <w:rPr>
                <w:rFonts w:hint="eastAsia"/>
                <w:color w:val="auto"/>
                <w:szCs w:val="21"/>
              </w:rPr>
            </w:pPr>
          </w:p>
        </w:tc>
        <w:tc>
          <w:tcPr>
            <w:tcW w:w="1778" w:type="dxa"/>
            <w:noWrap w:val="0"/>
            <w:vAlign w:val="top"/>
          </w:tcPr>
          <w:p w14:paraId="3A4C339A">
            <w:pPr>
              <w:topLinePunct/>
              <w:spacing w:line="400" w:lineRule="atLeast"/>
              <w:jc w:val="center"/>
              <w:rPr>
                <w:rFonts w:hint="eastAsia"/>
                <w:color w:val="auto"/>
                <w:szCs w:val="21"/>
              </w:rPr>
            </w:pPr>
          </w:p>
        </w:tc>
        <w:tc>
          <w:tcPr>
            <w:tcW w:w="1080" w:type="dxa"/>
            <w:noWrap w:val="0"/>
            <w:vAlign w:val="top"/>
          </w:tcPr>
          <w:p w14:paraId="34579FAF">
            <w:pPr>
              <w:topLinePunct/>
              <w:spacing w:line="400" w:lineRule="atLeast"/>
              <w:jc w:val="center"/>
              <w:rPr>
                <w:rFonts w:hint="eastAsia"/>
                <w:color w:val="auto"/>
                <w:szCs w:val="21"/>
              </w:rPr>
            </w:pPr>
          </w:p>
        </w:tc>
      </w:tr>
      <w:tr w14:paraId="283A5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7C42B9F4">
            <w:pPr>
              <w:topLinePunct/>
              <w:spacing w:line="400" w:lineRule="atLeast"/>
              <w:jc w:val="center"/>
              <w:rPr>
                <w:rFonts w:hint="eastAsia"/>
                <w:color w:val="auto"/>
                <w:szCs w:val="21"/>
              </w:rPr>
            </w:pPr>
          </w:p>
        </w:tc>
        <w:tc>
          <w:tcPr>
            <w:tcW w:w="1846" w:type="dxa"/>
            <w:noWrap w:val="0"/>
            <w:vAlign w:val="top"/>
          </w:tcPr>
          <w:p w14:paraId="65A5A4CE">
            <w:pPr>
              <w:topLinePunct/>
              <w:spacing w:line="400" w:lineRule="atLeast"/>
              <w:jc w:val="center"/>
              <w:rPr>
                <w:rFonts w:hint="eastAsia"/>
                <w:color w:val="auto"/>
                <w:szCs w:val="21"/>
              </w:rPr>
            </w:pPr>
          </w:p>
        </w:tc>
        <w:tc>
          <w:tcPr>
            <w:tcW w:w="1394" w:type="dxa"/>
            <w:noWrap w:val="0"/>
            <w:vAlign w:val="top"/>
          </w:tcPr>
          <w:p w14:paraId="06EB3E2B">
            <w:pPr>
              <w:topLinePunct/>
              <w:spacing w:line="400" w:lineRule="atLeast"/>
              <w:jc w:val="center"/>
              <w:rPr>
                <w:rFonts w:hint="eastAsia"/>
                <w:color w:val="auto"/>
                <w:szCs w:val="21"/>
              </w:rPr>
            </w:pPr>
          </w:p>
        </w:tc>
        <w:tc>
          <w:tcPr>
            <w:tcW w:w="1080" w:type="dxa"/>
            <w:noWrap w:val="0"/>
            <w:vAlign w:val="top"/>
          </w:tcPr>
          <w:p w14:paraId="33D8AA8B">
            <w:pPr>
              <w:topLinePunct/>
              <w:spacing w:line="400" w:lineRule="atLeast"/>
              <w:jc w:val="center"/>
              <w:rPr>
                <w:rFonts w:hint="eastAsia"/>
                <w:color w:val="auto"/>
                <w:szCs w:val="21"/>
              </w:rPr>
            </w:pPr>
          </w:p>
        </w:tc>
        <w:tc>
          <w:tcPr>
            <w:tcW w:w="1112" w:type="dxa"/>
            <w:noWrap w:val="0"/>
            <w:vAlign w:val="top"/>
          </w:tcPr>
          <w:p w14:paraId="2027DE29">
            <w:pPr>
              <w:topLinePunct/>
              <w:spacing w:line="400" w:lineRule="atLeast"/>
              <w:jc w:val="center"/>
              <w:rPr>
                <w:rFonts w:hint="eastAsia"/>
                <w:color w:val="auto"/>
                <w:szCs w:val="21"/>
              </w:rPr>
            </w:pPr>
          </w:p>
        </w:tc>
        <w:tc>
          <w:tcPr>
            <w:tcW w:w="1778" w:type="dxa"/>
            <w:noWrap w:val="0"/>
            <w:vAlign w:val="top"/>
          </w:tcPr>
          <w:p w14:paraId="026DC1D4">
            <w:pPr>
              <w:topLinePunct/>
              <w:spacing w:line="400" w:lineRule="atLeast"/>
              <w:jc w:val="center"/>
              <w:rPr>
                <w:rFonts w:hint="eastAsia"/>
                <w:color w:val="auto"/>
                <w:szCs w:val="21"/>
              </w:rPr>
            </w:pPr>
          </w:p>
        </w:tc>
        <w:tc>
          <w:tcPr>
            <w:tcW w:w="1080" w:type="dxa"/>
            <w:noWrap w:val="0"/>
            <w:vAlign w:val="top"/>
          </w:tcPr>
          <w:p w14:paraId="1F6A99A1">
            <w:pPr>
              <w:topLinePunct/>
              <w:spacing w:line="400" w:lineRule="atLeast"/>
              <w:jc w:val="center"/>
              <w:rPr>
                <w:rFonts w:hint="eastAsia"/>
                <w:color w:val="auto"/>
                <w:szCs w:val="21"/>
              </w:rPr>
            </w:pPr>
          </w:p>
        </w:tc>
      </w:tr>
      <w:tr w14:paraId="6C006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3A21B974">
            <w:pPr>
              <w:topLinePunct/>
              <w:spacing w:line="400" w:lineRule="atLeast"/>
              <w:jc w:val="center"/>
              <w:rPr>
                <w:rFonts w:hint="eastAsia"/>
                <w:color w:val="auto"/>
                <w:szCs w:val="21"/>
              </w:rPr>
            </w:pPr>
          </w:p>
        </w:tc>
        <w:tc>
          <w:tcPr>
            <w:tcW w:w="1846" w:type="dxa"/>
            <w:noWrap w:val="0"/>
            <w:vAlign w:val="top"/>
          </w:tcPr>
          <w:p w14:paraId="2659A6C2">
            <w:pPr>
              <w:topLinePunct/>
              <w:spacing w:line="400" w:lineRule="atLeast"/>
              <w:jc w:val="center"/>
              <w:rPr>
                <w:rFonts w:hint="eastAsia"/>
                <w:color w:val="auto"/>
                <w:szCs w:val="21"/>
              </w:rPr>
            </w:pPr>
          </w:p>
        </w:tc>
        <w:tc>
          <w:tcPr>
            <w:tcW w:w="1394" w:type="dxa"/>
            <w:noWrap w:val="0"/>
            <w:vAlign w:val="top"/>
          </w:tcPr>
          <w:p w14:paraId="634AF4C6">
            <w:pPr>
              <w:topLinePunct/>
              <w:spacing w:line="400" w:lineRule="atLeast"/>
              <w:jc w:val="center"/>
              <w:rPr>
                <w:rFonts w:hint="eastAsia"/>
                <w:color w:val="auto"/>
                <w:szCs w:val="21"/>
              </w:rPr>
            </w:pPr>
          </w:p>
        </w:tc>
        <w:tc>
          <w:tcPr>
            <w:tcW w:w="1080" w:type="dxa"/>
            <w:noWrap w:val="0"/>
            <w:vAlign w:val="top"/>
          </w:tcPr>
          <w:p w14:paraId="6BD5C757">
            <w:pPr>
              <w:topLinePunct/>
              <w:spacing w:line="400" w:lineRule="atLeast"/>
              <w:jc w:val="center"/>
              <w:rPr>
                <w:rFonts w:hint="eastAsia"/>
                <w:color w:val="auto"/>
                <w:szCs w:val="21"/>
              </w:rPr>
            </w:pPr>
          </w:p>
        </w:tc>
        <w:tc>
          <w:tcPr>
            <w:tcW w:w="1112" w:type="dxa"/>
            <w:noWrap w:val="0"/>
            <w:vAlign w:val="top"/>
          </w:tcPr>
          <w:p w14:paraId="2D9B4995">
            <w:pPr>
              <w:topLinePunct/>
              <w:spacing w:line="400" w:lineRule="atLeast"/>
              <w:jc w:val="center"/>
              <w:rPr>
                <w:rFonts w:hint="eastAsia"/>
                <w:color w:val="auto"/>
                <w:szCs w:val="21"/>
              </w:rPr>
            </w:pPr>
          </w:p>
        </w:tc>
        <w:tc>
          <w:tcPr>
            <w:tcW w:w="1778" w:type="dxa"/>
            <w:noWrap w:val="0"/>
            <w:vAlign w:val="top"/>
          </w:tcPr>
          <w:p w14:paraId="2E5C4D77">
            <w:pPr>
              <w:topLinePunct/>
              <w:spacing w:line="400" w:lineRule="atLeast"/>
              <w:jc w:val="center"/>
              <w:rPr>
                <w:rFonts w:hint="eastAsia"/>
                <w:color w:val="auto"/>
                <w:szCs w:val="21"/>
              </w:rPr>
            </w:pPr>
          </w:p>
        </w:tc>
        <w:tc>
          <w:tcPr>
            <w:tcW w:w="1080" w:type="dxa"/>
            <w:noWrap w:val="0"/>
            <w:vAlign w:val="top"/>
          </w:tcPr>
          <w:p w14:paraId="4189D8CF">
            <w:pPr>
              <w:topLinePunct/>
              <w:spacing w:line="400" w:lineRule="atLeast"/>
              <w:jc w:val="center"/>
              <w:rPr>
                <w:rFonts w:hint="eastAsia"/>
                <w:color w:val="auto"/>
                <w:szCs w:val="21"/>
              </w:rPr>
            </w:pPr>
          </w:p>
        </w:tc>
      </w:tr>
      <w:tr w14:paraId="373B3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50D3FDAA">
            <w:pPr>
              <w:topLinePunct/>
              <w:spacing w:line="400" w:lineRule="atLeast"/>
              <w:jc w:val="center"/>
              <w:rPr>
                <w:rFonts w:hint="eastAsia"/>
                <w:color w:val="auto"/>
                <w:szCs w:val="21"/>
              </w:rPr>
            </w:pPr>
          </w:p>
        </w:tc>
        <w:tc>
          <w:tcPr>
            <w:tcW w:w="1846" w:type="dxa"/>
            <w:noWrap w:val="0"/>
            <w:vAlign w:val="top"/>
          </w:tcPr>
          <w:p w14:paraId="22DD9250">
            <w:pPr>
              <w:topLinePunct/>
              <w:spacing w:line="400" w:lineRule="atLeast"/>
              <w:jc w:val="center"/>
              <w:rPr>
                <w:rFonts w:hint="eastAsia"/>
                <w:color w:val="auto"/>
                <w:szCs w:val="21"/>
              </w:rPr>
            </w:pPr>
          </w:p>
        </w:tc>
        <w:tc>
          <w:tcPr>
            <w:tcW w:w="1394" w:type="dxa"/>
            <w:noWrap w:val="0"/>
            <w:vAlign w:val="top"/>
          </w:tcPr>
          <w:p w14:paraId="637DDF6C">
            <w:pPr>
              <w:topLinePunct/>
              <w:spacing w:line="400" w:lineRule="atLeast"/>
              <w:jc w:val="center"/>
              <w:rPr>
                <w:rFonts w:hint="eastAsia"/>
                <w:color w:val="auto"/>
                <w:szCs w:val="21"/>
              </w:rPr>
            </w:pPr>
          </w:p>
        </w:tc>
        <w:tc>
          <w:tcPr>
            <w:tcW w:w="1080" w:type="dxa"/>
            <w:noWrap w:val="0"/>
            <w:vAlign w:val="top"/>
          </w:tcPr>
          <w:p w14:paraId="3A0BBF94">
            <w:pPr>
              <w:topLinePunct/>
              <w:spacing w:line="400" w:lineRule="atLeast"/>
              <w:jc w:val="center"/>
              <w:rPr>
                <w:rFonts w:hint="eastAsia"/>
                <w:color w:val="auto"/>
                <w:szCs w:val="21"/>
              </w:rPr>
            </w:pPr>
          </w:p>
        </w:tc>
        <w:tc>
          <w:tcPr>
            <w:tcW w:w="1112" w:type="dxa"/>
            <w:noWrap w:val="0"/>
            <w:vAlign w:val="top"/>
          </w:tcPr>
          <w:p w14:paraId="1D9B7DC8">
            <w:pPr>
              <w:topLinePunct/>
              <w:spacing w:line="400" w:lineRule="atLeast"/>
              <w:jc w:val="center"/>
              <w:rPr>
                <w:rFonts w:hint="eastAsia"/>
                <w:color w:val="auto"/>
                <w:szCs w:val="21"/>
              </w:rPr>
            </w:pPr>
          </w:p>
        </w:tc>
        <w:tc>
          <w:tcPr>
            <w:tcW w:w="1778" w:type="dxa"/>
            <w:noWrap w:val="0"/>
            <w:vAlign w:val="top"/>
          </w:tcPr>
          <w:p w14:paraId="39CBC5EB">
            <w:pPr>
              <w:topLinePunct/>
              <w:spacing w:line="400" w:lineRule="atLeast"/>
              <w:jc w:val="center"/>
              <w:rPr>
                <w:rFonts w:hint="eastAsia"/>
                <w:color w:val="auto"/>
                <w:szCs w:val="21"/>
              </w:rPr>
            </w:pPr>
          </w:p>
        </w:tc>
        <w:tc>
          <w:tcPr>
            <w:tcW w:w="1080" w:type="dxa"/>
            <w:noWrap w:val="0"/>
            <w:vAlign w:val="top"/>
          </w:tcPr>
          <w:p w14:paraId="3DAE05DA">
            <w:pPr>
              <w:topLinePunct/>
              <w:spacing w:line="400" w:lineRule="atLeast"/>
              <w:jc w:val="center"/>
              <w:rPr>
                <w:rFonts w:hint="eastAsia"/>
                <w:color w:val="auto"/>
                <w:szCs w:val="21"/>
              </w:rPr>
            </w:pPr>
          </w:p>
        </w:tc>
      </w:tr>
      <w:tr w14:paraId="380AD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747C0D36">
            <w:pPr>
              <w:topLinePunct/>
              <w:spacing w:line="400" w:lineRule="atLeast"/>
              <w:jc w:val="center"/>
              <w:rPr>
                <w:rFonts w:hint="eastAsia"/>
                <w:color w:val="auto"/>
                <w:szCs w:val="21"/>
              </w:rPr>
            </w:pPr>
          </w:p>
        </w:tc>
        <w:tc>
          <w:tcPr>
            <w:tcW w:w="1846" w:type="dxa"/>
            <w:noWrap w:val="0"/>
            <w:vAlign w:val="top"/>
          </w:tcPr>
          <w:p w14:paraId="11BC59FB">
            <w:pPr>
              <w:topLinePunct/>
              <w:spacing w:line="400" w:lineRule="atLeast"/>
              <w:jc w:val="center"/>
              <w:rPr>
                <w:rFonts w:hint="eastAsia"/>
                <w:color w:val="auto"/>
                <w:szCs w:val="21"/>
              </w:rPr>
            </w:pPr>
          </w:p>
        </w:tc>
        <w:tc>
          <w:tcPr>
            <w:tcW w:w="1394" w:type="dxa"/>
            <w:noWrap w:val="0"/>
            <w:vAlign w:val="top"/>
          </w:tcPr>
          <w:p w14:paraId="590B6056">
            <w:pPr>
              <w:topLinePunct/>
              <w:spacing w:line="400" w:lineRule="atLeast"/>
              <w:jc w:val="center"/>
              <w:rPr>
                <w:rFonts w:hint="eastAsia"/>
                <w:color w:val="auto"/>
                <w:szCs w:val="21"/>
              </w:rPr>
            </w:pPr>
          </w:p>
        </w:tc>
        <w:tc>
          <w:tcPr>
            <w:tcW w:w="1080" w:type="dxa"/>
            <w:noWrap w:val="0"/>
            <w:vAlign w:val="top"/>
          </w:tcPr>
          <w:p w14:paraId="7340F5A1">
            <w:pPr>
              <w:topLinePunct/>
              <w:spacing w:line="400" w:lineRule="atLeast"/>
              <w:jc w:val="center"/>
              <w:rPr>
                <w:rFonts w:hint="eastAsia"/>
                <w:color w:val="auto"/>
                <w:szCs w:val="21"/>
              </w:rPr>
            </w:pPr>
          </w:p>
        </w:tc>
        <w:tc>
          <w:tcPr>
            <w:tcW w:w="1112" w:type="dxa"/>
            <w:noWrap w:val="0"/>
            <w:vAlign w:val="top"/>
          </w:tcPr>
          <w:p w14:paraId="1AE9B325">
            <w:pPr>
              <w:topLinePunct/>
              <w:spacing w:line="400" w:lineRule="atLeast"/>
              <w:jc w:val="center"/>
              <w:rPr>
                <w:rFonts w:hint="eastAsia"/>
                <w:color w:val="auto"/>
                <w:szCs w:val="21"/>
              </w:rPr>
            </w:pPr>
          </w:p>
        </w:tc>
        <w:tc>
          <w:tcPr>
            <w:tcW w:w="1778" w:type="dxa"/>
            <w:noWrap w:val="0"/>
            <w:vAlign w:val="top"/>
          </w:tcPr>
          <w:p w14:paraId="1A49CBB0">
            <w:pPr>
              <w:topLinePunct/>
              <w:spacing w:line="400" w:lineRule="atLeast"/>
              <w:jc w:val="center"/>
              <w:rPr>
                <w:rFonts w:hint="eastAsia"/>
                <w:color w:val="auto"/>
                <w:szCs w:val="21"/>
              </w:rPr>
            </w:pPr>
          </w:p>
        </w:tc>
        <w:tc>
          <w:tcPr>
            <w:tcW w:w="1080" w:type="dxa"/>
            <w:noWrap w:val="0"/>
            <w:vAlign w:val="top"/>
          </w:tcPr>
          <w:p w14:paraId="19D646FB">
            <w:pPr>
              <w:topLinePunct/>
              <w:spacing w:line="400" w:lineRule="atLeast"/>
              <w:jc w:val="center"/>
              <w:rPr>
                <w:rFonts w:hint="eastAsia"/>
                <w:color w:val="auto"/>
                <w:szCs w:val="21"/>
              </w:rPr>
            </w:pPr>
          </w:p>
        </w:tc>
      </w:tr>
      <w:tr w14:paraId="611AD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590E51A7">
            <w:pPr>
              <w:topLinePunct/>
              <w:spacing w:line="400" w:lineRule="atLeast"/>
              <w:jc w:val="center"/>
              <w:rPr>
                <w:rFonts w:hint="eastAsia"/>
                <w:color w:val="auto"/>
                <w:szCs w:val="21"/>
              </w:rPr>
            </w:pPr>
          </w:p>
        </w:tc>
        <w:tc>
          <w:tcPr>
            <w:tcW w:w="1846" w:type="dxa"/>
            <w:noWrap w:val="0"/>
            <w:vAlign w:val="top"/>
          </w:tcPr>
          <w:p w14:paraId="7F6C5D9B">
            <w:pPr>
              <w:topLinePunct/>
              <w:spacing w:line="400" w:lineRule="atLeast"/>
              <w:jc w:val="center"/>
              <w:rPr>
                <w:rFonts w:hint="eastAsia"/>
                <w:color w:val="auto"/>
                <w:szCs w:val="21"/>
              </w:rPr>
            </w:pPr>
          </w:p>
        </w:tc>
        <w:tc>
          <w:tcPr>
            <w:tcW w:w="1394" w:type="dxa"/>
            <w:noWrap w:val="0"/>
            <w:vAlign w:val="top"/>
          </w:tcPr>
          <w:p w14:paraId="33744686">
            <w:pPr>
              <w:topLinePunct/>
              <w:spacing w:line="400" w:lineRule="atLeast"/>
              <w:jc w:val="center"/>
              <w:rPr>
                <w:rFonts w:hint="eastAsia"/>
                <w:color w:val="auto"/>
                <w:szCs w:val="21"/>
              </w:rPr>
            </w:pPr>
          </w:p>
        </w:tc>
        <w:tc>
          <w:tcPr>
            <w:tcW w:w="1080" w:type="dxa"/>
            <w:noWrap w:val="0"/>
            <w:vAlign w:val="top"/>
          </w:tcPr>
          <w:p w14:paraId="057ACE32">
            <w:pPr>
              <w:topLinePunct/>
              <w:spacing w:line="400" w:lineRule="atLeast"/>
              <w:jc w:val="center"/>
              <w:rPr>
                <w:rFonts w:hint="eastAsia"/>
                <w:color w:val="auto"/>
                <w:szCs w:val="21"/>
              </w:rPr>
            </w:pPr>
          </w:p>
        </w:tc>
        <w:tc>
          <w:tcPr>
            <w:tcW w:w="1112" w:type="dxa"/>
            <w:noWrap w:val="0"/>
            <w:vAlign w:val="top"/>
          </w:tcPr>
          <w:p w14:paraId="227E6EA1">
            <w:pPr>
              <w:topLinePunct/>
              <w:spacing w:line="400" w:lineRule="atLeast"/>
              <w:jc w:val="center"/>
              <w:rPr>
                <w:rFonts w:hint="eastAsia"/>
                <w:color w:val="auto"/>
                <w:szCs w:val="21"/>
              </w:rPr>
            </w:pPr>
          </w:p>
        </w:tc>
        <w:tc>
          <w:tcPr>
            <w:tcW w:w="1778" w:type="dxa"/>
            <w:noWrap w:val="0"/>
            <w:vAlign w:val="top"/>
          </w:tcPr>
          <w:p w14:paraId="2ADC4BDC">
            <w:pPr>
              <w:topLinePunct/>
              <w:spacing w:line="400" w:lineRule="atLeast"/>
              <w:jc w:val="center"/>
              <w:rPr>
                <w:rFonts w:hint="eastAsia"/>
                <w:color w:val="auto"/>
                <w:szCs w:val="21"/>
              </w:rPr>
            </w:pPr>
          </w:p>
        </w:tc>
        <w:tc>
          <w:tcPr>
            <w:tcW w:w="1080" w:type="dxa"/>
            <w:noWrap w:val="0"/>
            <w:vAlign w:val="top"/>
          </w:tcPr>
          <w:p w14:paraId="6374902C">
            <w:pPr>
              <w:topLinePunct/>
              <w:spacing w:line="400" w:lineRule="atLeast"/>
              <w:jc w:val="center"/>
              <w:rPr>
                <w:rFonts w:hint="eastAsia"/>
                <w:color w:val="auto"/>
                <w:szCs w:val="21"/>
              </w:rPr>
            </w:pPr>
          </w:p>
        </w:tc>
      </w:tr>
      <w:tr w14:paraId="4AB70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72DE1505">
            <w:pPr>
              <w:topLinePunct/>
              <w:spacing w:line="400" w:lineRule="atLeast"/>
              <w:jc w:val="center"/>
              <w:rPr>
                <w:rFonts w:hint="eastAsia"/>
                <w:color w:val="auto"/>
                <w:szCs w:val="21"/>
              </w:rPr>
            </w:pPr>
          </w:p>
        </w:tc>
        <w:tc>
          <w:tcPr>
            <w:tcW w:w="1846" w:type="dxa"/>
            <w:noWrap w:val="0"/>
            <w:vAlign w:val="top"/>
          </w:tcPr>
          <w:p w14:paraId="383ECC90">
            <w:pPr>
              <w:topLinePunct/>
              <w:spacing w:line="400" w:lineRule="atLeast"/>
              <w:jc w:val="center"/>
              <w:rPr>
                <w:rFonts w:hint="eastAsia"/>
                <w:color w:val="auto"/>
                <w:szCs w:val="21"/>
              </w:rPr>
            </w:pPr>
          </w:p>
        </w:tc>
        <w:tc>
          <w:tcPr>
            <w:tcW w:w="1394" w:type="dxa"/>
            <w:noWrap w:val="0"/>
            <w:vAlign w:val="top"/>
          </w:tcPr>
          <w:p w14:paraId="6C8B79E0">
            <w:pPr>
              <w:topLinePunct/>
              <w:spacing w:line="400" w:lineRule="atLeast"/>
              <w:jc w:val="center"/>
              <w:rPr>
                <w:rFonts w:hint="eastAsia"/>
                <w:color w:val="auto"/>
                <w:szCs w:val="21"/>
              </w:rPr>
            </w:pPr>
          </w:p>
        </w:tc>
        <w:tc>
          <w:tcPr>
            <w:tcW w:w="1080" w:type="dxa"/>
            <w:noWrap w:val="0"/>
            <w:vAlign w:val="top"/>
          </w:tcPr>
          <w:p w14:paraId="5386A90E">
            <w:pPr>
              <w:topLinePunct/>
              <w:spacing w:line="400" w:lineRule="atLeast"/>
              <w:jc w:val="center"/>
              <w:rPr>
                <w:rFonts w:hint="eastAsia"/>
                <w:color w:val="auto"/>
                <w:szCs w:val="21"/>
              </w:rPr>
            </w:pPr>
          </w:p>
        </w:tc>
        <w:tc>
          <w:tcPr>
            <w:tcW w:w="1112" w:type="dxa"/>
            <w:noWrap w:val="0"/>
            <w:vAlign w:val="top"/>
          </w:tcPr>
          <w:p w14:paraId="7475F159">
            <w:pPr>
              <w:topLinePunct/>
              <w:spacing w:line="400" w:lineRule="atLeast"/>
              <w:jc w:val="center"/>
              <w:rPr>
                <w:rFonts w:hint="eastAsia"/>
                <w:color w:val="auto"/>
                <w:szCs w:val="21"/>
              </w:rPr>
            </w:pPr>
          </w:p>
        </w:tc>
        <w:tc>
          <w:tcPr>
            <w:tcW w:w="1778" w:type="dxa"/>
            <w:noWrap w:val="0"/>
            <w:vAlign w:val="top"/>
          </w:tcPr>
          <w:p w14:paraId="70960630">
            <w:pPr>
              <w:topLinePunct/>
              <w:spacing w:line="400" w:lineRule="atLeast"/>
              <w:jc w:val="center"/>
              <w:rPr>
                <w:rFonts w:hint="eastAsia"/>
                <w:color w:val="auto"/>
                <w:szCs w:val="21"/>
              </w:rPr>
            </w:pPr>
          </w:p>
        </w:tc>
        <w:tc>
          <w:tcPr>
            <w:tcW w:w="1080" w:type="dxa"/>
            <w:noWrap w:val="0"/>
            <w:vAlign w:val="top"/>
          </w:tcPr>
          <w:p w14:paraId="0EF162FF">
            <w:pPr>
              <w:topLinePunct/>
              <w:spacing w:line="400" w:lineRule="atLeast"/>
              <w:jc w:val="center"/>
              <w:rPr>
                <w:rFonts w:hint="eastAsia"/>
                <w:color w:val="auto"/>
                <w:szCs w:val="21"/>
              </w:rPr>
            </w:pPr>
          </w:p>
        </w:tc>
      </w:tr>
      <w:tr w14:paraId="628BB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7DA7C9E8">
            <w:pPr>
              <w:topLinePunct/>
              <w:spacing w:line="400" w:lineRule="atLeast"/>
              <w:jc w:val="center"/>
              <w:rPr>
                <w:rFonts w:hint="eastAsia"/>
                <w:color w:val="auto"/>
                <w:szCs w:val="21"/>
              </w:rPr>
            </w:pPr>
          </w:p>
        </w:tc>
        <w:tc>
          <w:tcPr>
            <w:tcW w:w="1846" w:type="dxa"/>
            <w:noWrap w:val="0"/>
            <w:vAlign w:val="top"/>
          </w:tcPr>
          <w:p w14:paraId="5FEAC78B">
            <w:pPr>
              <w:topLinePunct/>
              <w:spacing w:line="400" w:lineRule="atLeast"/>
              <w:jc w:val="center"/>
              <w:rPr>
                <w:rFonts w:hint="eastAsia"/>
                <w:color w:val="auto"/>
                <w:szCs w:val="21"/>
              </w:rPr>
            </w:pPr>
          </w:p>
        </w:tc>
        <w:tc>
          <w:tcPr>
            <w:tcW w:w="1394" w:type="dxa"/>
            <w:noWrap w:val="0"/>
            <w:vAlign w:val="top"/>
          </w:tcPr>
          <w:p w14:paraId="2CD727A9">
            <w:pPr>
              <w:topLinePunct/>
              <w:spacing w:line="400" w:lineRule="atLeast"/>
              <w:jc w:val="center"/>
              <w:rPr>
                <w:rFonts w:hint="eastAsia"/>
                <w:color w:val="auto"/>
                <w:szCs w:val="21"/>
              </w:rPr>
            </w:pPr>
          </w:p>
        </w:tc>
        <w:tc>
          <w:tcPr>
            <w:tcW w:w="1080" w:type="dxa"/>
            <w:noWrap w:val="0"/>
            <w:vAlign w:val="top"/>
          </w:tcPr>
          <w:p w14:paraId="418B18E6">
            <w:pPr>
              <w:topLinePunct/>
              <w:spacing w:line="400" w:lineRule="atLeast"/>
              <w:jc w:val="center"/>
              <w:rPr>
                <w:rFonts w:hint="eastAsia"/>
                <w:color w:val="auto"/>
                <w:szCs w:val="21"/>
              </w:rPr>
            </w:pPr>
          </w:p>
        </w:tc>
        <w:tc>
          <w:tcPr>
            <w:tcW w:w="1112" w:type="dxa"/>
            <w:noWrap w:val="0"/>
            <w:vAlign w:val="top"/>
          </w:tcPr>
          <w:p w14:paraId="5AE49822">
            <w:pPr>
              <w:topLinePunct/>
              <w:spacing w:line="400" w:lineRule="atLeast"/>
              <w:jc w:val="center"/>
              <w:rPr>
                <w:rFonts w:hint="eastAsia"/>
                <w:color w:val="auto"/>
                <w:szCs w:val="21"/>
              </w:rPr>
            </w:pPr>
          </w:p>
        </w:tc>
        <w:tc>
          <w:tcPr>
            <w:tcW w:w="1778" w:type="dxa"/>
            <w:noWrap w:val="0"/>
            <w:vAlign w:val="top"/>
          </w:tcPr>
          <w:p w14:paraId="6BE74AAE">
            <w:pPr>
              <w:topLinePunct/>
              <w:spacing w:line="400" w:lineRule="atLeast"/>
              <w:jc w:val="center"/>
              <w:rPr>
                <w:rFonts w:hint="eastAsia"/>
                <w:color w:val="auto"/>
                <w:szCs w:val="21"/>
              </w:rPr>
            </w:pPr>
          </w:p>
        </w:tc>
        <w:tc>
          <w:tcPr>
            <w:tcW w:w="1080" w:type="dxa"/>
            <w:noWrap w:val="0"/>
            <w:vAlign w:val="top"/>
          </w:tcPr>
          <w:p w14:paraId="362E4965">
            <w:pPr>
              <w:topLinePunct/>
              <w:spacing w:line="400" w:lineRule="atLeast"/>
              <w:jc w:val="center"/>
              <w:rPr>
                <w:rFonts w:hint="eastAsia"/>
                <w:color w:val="auto"/>
                <w:szCs w:val="21"/>
              </w:rPr>
            </w:pPr>
          </w:p>
        </w:tc>
      </w:tr>
      <w:tr w14:paraId="7B767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520737D1">
            <w:pPr>
              <w:topLinePunct/>
              <w:spacing w:line="400" w:lineRule="atLeast"/>
              <w:jc w:val="center"/>
              <w:rPr>
                <w:rFonts w:hint="eastAsia"/>
                <w:color w:val="auto"/>
                <w:szCs w:val="21"/>
              </w:rPr>
            </w:pPr>
          </w:p>
        </w:tc>
        <w:tc>
          <w:tcPr>
            <w:tcW w:w="1846" w:type="dxa"/>
            <w:noWrap w:val="0"/>
            <w:vAlign w:val="top"/>
          </w:tcPr>
          <w:p w14:paraId="0CD550FA">
            <w:pPr>
              <w:topLinePunct/>
              <w:spacing w:line="400" w:lineRule="atLeast"/>
              <w:jc w:val="center"/>
              <w:rPr>
                <w:rFonts w:hint="eastAsia"/>
                <w:color w:val="auto"/>
                <w:szCs w:val="21"/>
              </w:rPr>
            </w:pPr>
          </w:p>
        </w:tc>
        <w:tc>
          <w:tcPr>
            <w:tcW w:w="1394" w:type="dxa"/>
            <w:noWrap w:val="0"/>
            <w:vAlign w:val="top"/>
          </w:tcPr>
          <w:p w14:paraId="1AE35C77">
            <w:pPr>
              <w:topLinePunct/>
              <w:spacing w:line="400" w:lineRule="atLeast"/>
              <w:jc w:val="center"/>
              <w:rPr>
                <w:rFonts w:hint="eastAsia"/>
                <w:color w:val="auto"/>
                <w:szCs w:val="21"/>
              </w:rPr>
            </w:pPr>
          </w:p>
        </w:tc>
        <w:tc>
          <w:tcPr>
            <w:tcW w:w="1080" w:type="dxa"/>
            <w:noWrap w:val="0"/>
            <w:vAlign w:val="top"/>
          </w:tcPr>
          <w:p w14:paraId="618367B5">
            <w:pPr>
              <w:topLinePunct/>
              <w:spacing w:line="400" w:lineRule="atLeast"/>
              <w:jc w:val="center"/>
              <w:rPr>
                <w:rFonts w:hint="eastAsia"/>
                <w:color w:val="auto"/>
                <w:szCs w:val="21"/>
              </w:rPr>
            </w:pPr>
          </w:p>
        </w:tc>
        <w:tc>
          <w:tcPr>
            <w:tcW w:w="1112" w:type="dxa"/>
            <w:noWrap w:val="0"/>
            <w:vAlign w:val="top"/>
          </w:tcPr>
          <w:p w14:paraId="7A419AF7">
            <w:pPr>
              <w:topLinePunct/>
              <w:spacing w:line="400" w:lineRule="atLeast"/>
              <w:jc w:val="center"/>
              <w:rPr>
                <w:rFonts w:hint="eastAsia"/>
                <w:color w:val="auto"/>
                <w:szCs w:val="21"/>
              </w:rPr>
            </w:pPr>
          </w:p>
        </w:tc>
        <w:tc>
          <w:tcPr>
            <w:tcW w:w="1778" w:type="dxa"/>
            <w:noWrap w:val="0"/>
            <w:vAlign w:val="top"/>
          </w:tcPr>
          <w:p w14:paraId="5A5A5C1F">
            <w:pPr>
              <w:topLinePunct/>
              <w:spacing w:line="400" w:lineRule="atLeast"/>
              <w:jc w:val="center"/>
              <w:rPr>
                <w:rFonts w:hint="eastAsia"/>
                <w:color w:val="auto"/>
                <w:szCs w:val="21"/>
              </w:rPr>
            </w:pPr>
          </w:p>
        </w:tc>
        <w:tc>
          <w:tcPr>
            <w:tcW w:w="1080" w:type="dxa"/>
            <w:noWrap w:val="0"/>
            <w:vAlign w:val="top"/>
          </w:tcPr>
          <w:p w14:paraId="56B103B5">
            <w:pPr>
              <w:topLinePunct/>
              <w:spacing w:line="400" w:lineRule="atLeast"/>
              <w:jc w:val="center"/>
              <w:rPr>
                <w:rFonts w:hint="eastAsia"/>
                <w:color w:val="auto"/>
                <w:szCs w:val="21"/>
              </w:rPr>
            </w:pPr>
          </w:p>
        </w:tc>
      </w:tr>
      <w:tr w14:paraId="2FDC4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37710344">
            <w:pPr>
              <w:topLinePunct/>
              <w:spacing w:line="400" w:lineRule="atLeast"/>
              <w:jc w:val="center"/>
              <w:rPr>
                <w:rFonts w:hint="eastAsia"/>
                <w:color w:val="auto"/>
                <w:szCs w:val="21"/>
              </w:rPr>
            </w:pPr>
          </w:p>
        </w:tc>
        <w:tc>
          <w:tcPr>
            <w:tcW w:w="1846" w:type="dxa"/>
            <w:noWrap w:val="0"/>
            <w:vAlign w:val="top"/>
          </w:tcPr>
          <w:p w14:paraId="6A6ED2CD">
            <w:pPr>
              <w:topLinePunct/>
              <w:spacing w:line="400" w:lineRule="atLeast"/>
              <w:jc w:val="center"/>
              <w:rPr>
                <w:rFonts w:hint="eastAsia"/>
                <w:color w:val="auto"/>
                <w:szCs w:val="21"/>
              </w:rPr>
            </w:pPr>
          </w:p>
        </w:tc>
        <w:tc>
          <w:tcPr>
            <w:tcW w:w="1394" w:type="dxa"/>
            <w:noWrap w:val="0"/>
            <w:vAlign w:val="top"/>
          </w:tcPr>
          <w:p w14:paraId="52453591">
            <w:pPr>
              <w:topLinePunct/>
              <w:spacing w:line="400" w:lineRule="atLeast"/>
              <w:jc w:val="center"/>
              <w:rPr>
                <w:rFonts w:hint="eastAsia"/>
                <w:color w:val="auto"/>
                <w:szCs w:val="21"/>
              </w:rPr>
            </w:pPr>
          </w:p>
        </w:tc>
        <w:tc>
          <w:tcPr>
            <w:tcW w:w="1080" w:type="dxa"/>
            <w:noWrap w:val="0"/>
            <w:vAlign w:val="top"/>
          </w:tcPr>
          <w:p w14:paraId="0B3F1AB1">
            <w:pPr>
              <w:topLinePunct/>
              <w:spacing w:line="400" w:lineRule="atLeast"/>
              <w:jc w:val="center"/>
              <w:rPr>
                <w:rFonts w:hint="eastAsia"/>
                <w:color w:val="auto"/>
                <w:szCs w:val="21"/>
              </w:rPr>
            </w:pPr>
          </w:p>
        </w:tc>
        <w:tc>
          <w:tcPr>
            <w:tcW w:w="1112" w:type="dxa"/>
            <w:noWrap w:val="0"/>
            <w:vAlign w:val="top"/>
          </w:tcPr>
          <w:p w14:paraId="45B1790A">
            <w:pPr>
              <w:topLinePunct/>
              <w:spacing w:line="400" w:lineRule="atLeast"/>
              <w:jc w:val="center"/>
              <w:rPr>
                <w:rFonts w:hint="eastAsia"/>
                <w:color w:val="auto"/>
                <w:szCs w:val="21"/>
              </w:rPr>
            </w:pPr>
          </w:p>
        </w:tc>
        <w:tc>
          <w:tcPr>
            <w:tcW w:w="1778" w:type="dxa"/>
            <w:noWrap w:val="0"/>
            <w:vAlign w:val="top"/>
          </w:tcPr>
          <w:p w14:paraId="165E8E18">
            <w:pPr>
              <w:topLinePunct/>
              <w:spacing w:line="400" w:lineRule="atLeast"/>
              <w:jc w:val="center"/>
              <w:rPr>
                <w:rFonts w:hint="eastAsia"/>
                <w:color w:val="auto"/>
                <w:szCs w:val="21"/>
              </w:rPr>
            </w:pPr>
          </w:p>
        </w:tc>
        <w:tc>
          <w:tcPr>
            <w:tcW w:w="1080" w:type="dxa"/>
            <w:noWrap w:val="0"/>
            <w:vAlign w:val="top"/>
          </w:tcPr>
          <w:p w14:paraId="48873EFA">
            <w:pPr>
              <w:topLinePunct/>
              <w:spacing w:line="400" w:lineRule="atLeast"/>
              <w:jc w:val="center"/>
              <w:rPr>
                <w:rFonts w:hint="eastAsia"/>
                <w:color w:val="auto"/>
                <w:szCs w:val="21"/>
              </w:rPr>
            </w:pPr>
          </w:p>
        </w:tc>
      </w:tr>
      <w:tr w14:paraId="3C86E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7A34C90B">
            <w:pPr>
              <w:topLinePunct/>
              <w:spacing w:line="400" w:lineRule="atLeast"/>
              <w:jc w:val="center"/>
              <w:rPr>
                <w:rFonts w:hint="eastAsia"/>
                <w:color w:val="auto"/>
                <w:szCs w:val="21"/>
              </w:rPr>
            </w:pPr>
          </w:p>
        </w:tc>
        <w:tc>
          <w:tcPr>
            <w:tcW w:w="1846" w:type="dxa"/>
            <w:noWrap w:val="0"/>
            <w:vAlign w:val="top"/>
          </w:tcPr>
          <w:p w14:paraId="247BD4C7">
            <w:pPr>
              <w:topLinePunct/>
              <w:spacing w:line="400" w:lineRule="atLeast"/>
              <w:jc w:val="center"/>
              <w:rPr>
                <w:rFonts w:hint="eastAsia"/>
                <w:color w:val="auto"/>
                <w:szCs w:val="21"/>
              </w:rPr>
            </w:pPr>
          </w:p>
        </w:tc>
        <w:tc>
          <w:tcPr>
            <w:tcW w:w="1394" w:type="dxa"/>
            <w:noWrap w:val="0"/>
            <w:vAlign w:val="top"/>
          </w:tcPr>
          <w:p w14:paraId="1D46569F">
            <w:pPr>
              <w:topLinePunct/>
              <w:spacing w:line="400" w:lineRule="atLeast"/>
              <w:jc w:val="center"/>
              <w:rPr>
                <w:rFonts w:hint="eastAsia"/>
                <w:color w:val="auto"/>
                <w:szCs w:val="21"/>
              </w:rPr>
            </w:pPr>
          </w:p>
        </w:tc>
        <w:tc>
          <w:tcPr>
            <w:tcW w:w="1080" w:type="dxa"/>
            <w:noWrap w:val="0"/>
            <w:vAlign w:val="top"/>
          </w:tcPr>
          <w:p w14:paraId="77AF9B2E">
            <w:pPr>
              <w:topLinePunct/>
              <w:spacing w:line="400" w:lineRule="atLeast"/>
              <w:jc w:val="center"/>
              <w:rPr>
                <w:rFonts w:hint="eastAsia"/>
                <w:color w:val="auto"/>
                <w:szCs w:val="21"/>
              </w:rPr>
            </w:pPr>
          </w:p>
        </w:tc>
        <w:tc>
          <w:tcPr>
            <w:tcW w:w="1112" w:type="dxa"/>
            <w:noWrap w:val="0"/>
            <w:vAlign w:val="top"/>
          </w:tcPr>
          <w:p w14:paraId="161E1621">
            <w:pPr>
              <w:topLinePunct/>
              <w:spacing w:line="400" w:lineRule="atLeast"/>
              <w:jc w:val="center"/>
              <w:rPr>
                <w:rFonts w:hint="eastAsia"/>
                <w:color w:val="auto"/>
                <w:szCs w:val="21"/>
              </w:rPr>
            </w:pPr>
          </w:p>
        </w:tc>
        <w:tc>
          <w:tcPr>
            <w:tcW w:w="1778" w:type="dxa"/>
            <w:noWrap w:val="0"/>
            <w:vAlign w:val="top"/>
          </w:tcPr>
          <w:p w14:paraId="5B887351">
            <w:pPr>
              <w:topLinePunct/>
              <w:spacing w:line="400" w:lineRule="atLeast"/>
              <w:jc w:val="center"/>
              <w:rPr>
                <w:rFonts w:hint="eastAsia"/>
                <w:color w:val="auto"/>
                <w:szCs w:val="21"/>
              </w:rPr>
            </w:pPr>
          </w:p>
        </w:tc>
        <w:tc>
          <w:tcPr>
            <w:tcW w:w="1080" w:type="dxa"/>
            <w:noWrap w:val="0"/>
            <w:vAlign w:val="top"/>
          </w:tcPr>
          <w:p w14:paraId="3B47D9ED">
            <w:pPr>
              <w:topLinePunct/>
              <w:spacing w:line="400" w:lineRule="atLeast"/>
              <w:jc w:val="center"/>
              <w:rPr>
                <w:rFonts w:hint="eastAsia"/>
                <w:color w:val="auto"/>
                <w:szCs w:val="21"/>
              </w:rPr>
            </w:pPr>
          </w:p>
        </w:tc>
      </w:tr>
      <w:tr w14:paraId="3AD7F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5BB572E7">
            <w:pPr>
              <w:topLinePunct/>
              <w:spacing w:line="400" w:lineRule="atLeast"/>
              <w:jc w:val="center"/>
              <w:rPr>
                <w:rFonts w:hint="eastAsia"/>
                <w:color w:val="auto"/>
                <w:szCs w:val="21"/>
              </w:rPr>
            </w:pPr>
          </w:p>
        </w:tc>
        <w:tc>
          <w:tcPr>
            <w:tcW w:w="1846" w:type="dxa"/>
            <w:noWrap w:val="0"/>
            <w:vAlign w:val="top"/>
          </w:tcPr>
          <w:p w14:paraId="60C16A96">
            <w:pPr>
              <w:topLinePunct/>
              <w:spacing w:line="400" w:lineRule="atLeast"/>
              <w:jc w:val="center"/>
              <w:rPr>
                <w:rFonts w:hint="eastAsia"/>
                <w:color w:val="auto"/>
                <w:szCs w:val="21"/>
              </w:rPr>
            </w:pPr>
          </w:p>
        </w:tc>
        <w:tc>
          <w:tcPr>
            <w:tcW w:w="1394" w:type="dxa"/>
            <w:noWrap w:val="0"/>
            <w:vAlign w:val="top"/>
          </w:tcPr>
          <w:p w14:paraId="1625CB61">
            <w:pPr>
              <w:topLinePunct/>
              <w:spacing w:line="400" w:lineRule="atLeast"/>
              <w:jc w:val="center"/>
              <w:rPr>
                <w:rFonts w:hint="eastAsia"/>
                <w:color w:val="auto"/>
                <w:szCs w:val="21"/>
              </w:rPr>
            </w:pPr>
          </w:p>
        </w:tc>
        <w:tc>
          <w:tcPr>
            <w:tcW w:w="1080" w:type="dxa"/>
            <w:noWrap w:val="0"/>
            <w:vAlign w:val="top"/>
          </w:tcPr>
          <w:p w14:paraId="58E9917F">
            <w:pPr>
              <w:topLinePunct/>
              <w:spacing w:line="400" w:lineRule="atLeast"/>
              <w:jc w:val="center"/>
              <w:rPr>
                <w:rFonts w:hint="eastAsia"/>
                <w:color w:val="auto"/>
                <w:szCs w:val="21"/>
              </w:rPr>
            </w:pPr>
          </w:p>
        </w:tc>
        <w:tc>
          <w:tcPr>
            <w:tcW w:w="1112" w:type="dxa"/>
            <w:noWrap w:val="0"/>
            <w:vAlign w:val="top"/>
          </w:tcPr>
          <w:p w14:paraId="6AF88E40">
            <w:pPr>
              <w:topLinePunct/>
              <w:spacing w:line="400" w:lineRule="atLeast"/>
              <w:jc w:val="center"/>
              <w:rPr>
                <w:rFonts w:hint="eastAsia"/>
                <w:color w:val="auto"/>
                <w:szCs w:val="21"/>
              </w:rPr>
            </w:pPr>
          </w:p>
        </w:tc>
        <w:tc>
          <w:tcPr>
            <w:tcW w:w="1778" w:type="dxa"/>
            <w:noWrap w:val="0"/>
            <w:vAlign w:val="top"/>
          </w:tcPr>
          <w:p w14:paraId="0CA0876D">
            <w:pPr>
              <w:topLinePunct/>
              <w:spacing w:line="400" w:lineRule="atLeast"/>
              <w:jc w:val="center"/>
              <w:rPr>
                <w:rFonts w:hint="eastAsia"/>
                <w:color w:val="auto"/>
                <w:szCs w:val="21"/>
              </w:rPr>
            </w:pPr>
          </w:p>
        </w:tc>
        <w:tc>
          <w:tcPr>
            <w:tcW w:w="1080" w:type="dxa"/>
            <w:noWrap w:val="0"/>
            <w:vAlign w:val="top"/>
          </w:tcPr>
          <w:p w14:paraId="5E52B81C">
            <w:pPr>
              <w:topLinePunct/>
              <w:spacing w:line="400" w:lineRule="atLeast"/>
              <w:jc w:val="center"/>
              <w:rPr>
                <w:rFonts w:hint="eastAsia"/>
                <w:color w:val="auto"/>
                <w:szCs w:val="21"/>
              </w:rPr>
            </w:pPr>
          </w:p>
        </w:tc>
      </w:tr>
      <w:tr w14:paraId="06658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0596F436">
            <w:pPr>
              <w:topLinePunct/>
              <w:spacing w:line="400" w:lineRule="atLeast"/>
              <w:jc w:val="center"/>
              <w:rPr>
                <w:rFonts w:hint="eastAsia"/>
                <w:color w:val="auto"/>
                <w:szCs w:val="21"/>
              </w:rPr>
            </w:pPr>
          </w:p>
        </w:tc>
        <w:tc>
          <w:tcPr>
            <w:tcW w:w="1846" w:type="dxa"/>
            <w:noWrap w:val="0"/>
            <w:vAlign w:val="top"/>
          </w:tcPr>
          <w:p w14:paraId="3B062155">
            <w:pPr>
              <w:topLinePunct/>
              <w:spacing w:line="400" w:lineRule="atLeast"/>
              <w:jc w:val="center"/>
              <w:rPr>
                <w:rFonts w:hint="eastAsia"/>
                <w:color w:val="auto"/>
                <w:szCs w:val="21"/>
              </w:rPr>
            </w:pPr>
          </w:p>
        </w:tc>
        <w:tc>
          <w:tcPr>
            <w:tcW w:w="1394" w:type="dxa"/>
            <w:noWrap w:val="0"/>
            <w:vAlign w:val="top"/>
          </w:tcPr>
          <w:p w14:paraId="43DC0EDD">
            <w:pPr>
              <w:topLinePunct/>
              <w:spacing w:line="400" w:lineRule="atLeast"/>
              <w:jc w:val="center"/>
              <w:rPr>
                <w:rFonts w:hint="eastAsia"/>
                <w:color w:val="auto"/>
                <w:szCs w:val="21"/>
              </w:rPr>
            </w:pPr>
          </w:p>
        </w:tc>
        <w:tc>
          <w:tcPr>
            <w:tcW w:w="1080" w:type="dxa"/>
            <w:noWrap w:val="0"/>
            <w:vAlign w:val="top"/>
          </w:tcPr>
          <w:p w14:paraId="2E25194E">
            <w:pPr>
              <w:topLinePunct/>
              <w:spacing w:line="400" w:lineRule="atLeast"/>
              <w:jc w:val="center"/>
              <w:rPr>
                <w:rFonts w:hint="eastAsia"/>
                <w:color w:val="auto"/>
                <w:szCs w:val="21"/>
              </w:rPr>
            </w:pPr>
          </w:p>
        </w:tc>
        <w:tc>
          <w:tcPr>
            <w:tcW w:w="1112" w:type="dxa"/>
            <w:noWrap w:val="0"/>
            <w:vAlign w:val="top"/>
          </w:tcPr>
          <w:p w14:paraId="2489169D">
            <w:pPr>
              <w:topLinePunct/>
              <w:spacing w:line="400" w:lineRule="atLeast"/>
              <w:jc w:val="center"/>
              <w:rPr>
                <w:rFonts w:hint="eastAsia"/>
                <w:color w:val="auto"/>
                <w:szCs w:val="21"/>
              </w:rPr>
            </w:pPr>
          </w:p>
        </w:tc>
        <w:tc>
          <w:tcPr>
            <w:tcW w:w="1778" w:type="dxa"/>
            <w:noWrap w:val="0"/>
            <w:vAlign w:val="top"/>
          </w:tcPr>
          <w:p w14:paraId="01537DA5">
            <w:pPr>
              <w:topLinePunct/>
              <w:spacing w:line="400" w:lineRule="atLeast"/>
              <w:jc w:val="center"/>
              <w:rPr>
                <w:rFonts w:hint="eastAsia"/>
                <w:color w:val="auto"/>
                <w:szCs w:val="21"/>
              </w:rPr>
            </w:pPr>
          </w:p>
        </w:tc>
        <w:tc>
          <w:tcPr>
            <w:tcW w:w="1080" w:type="dxa"/>
            <w:noWrap w:val="0"/>
            <w:vAlign w:val="top"/>
          </w:tcPr>
          <w:p w14:paraId="11251142">
            <w:pPr>
              <w:topLinePunct/>
              <w:spacing w:line="400" w:lineRule="atLeast"/>
              <w:jc w:val="center"/>
              <w:rPr>
                <w:rFonts w:hint="eastAsia"/>
                <w:color w:val="auto"/>
                <w:szCs w:val="21"/>
              </w:rPr>
            </w:pPr>
          </w:p>
        </w:tc>
      </w:tr>
      <w:tr w14:paraId="0401D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17B3BCA5">
            <w:pPr>
              <w:topLinePunct/>
              <w:spacing w:line="400" w:lineRule="atLeast"/>
              <w:jc w:val="center"/>
              <w:rPr>
                <w:rFonts w:hint="eastAsia"/>
                <w:color w:val="auto"/>
                <w:szCs w:val="21"/>
              </w:rPr>
            </w:pPr>
          </w:p>
        </w:tc>
        <w:tc>
          <w:tcPr>
            <w:tcW w:w="1846" w:type="dxa"/>
            <w:noWrap w:val="0"/>
            <w:vAlign w:val="top"/>
          </w:tcPr>
          <w:p w14:paraId="750A94C4">
            <w:pPr>
              <w:topLinePunct/>
              <w:spacing w:line="400" w:lineRule="atLeast"/>
              <w:jc w:val="center"/>
              <w:rPr>
                <w:rFonts w:hint="eastAsia"/>
                <w:color w:val="auto"/>
                <w:szCs w:val="21"/>
              </w:rPr>
            </w:pPr>
          </w:p>
        </w:tc>
        <w:tc>
          <w:tcPr>
            <w:tcW w:w="1394" w:type="dxa"/>
            <w:noWrap w:val="0"/>
            <w:vAlign w:val="top"/>
          </w:tcPr>
          <w:p w14:paraId="2D9BC72C">
            <w:pPr>
              <w:topLinePunct/>
              <w:spacing w:line="400" w:lineRule="atLeast"/>
              <w:jc w:val="center"/>
              <w:rPr>
                <w:rFonts w:hint="eastAsia"/>
                <w:color w:val="auto"/>
                <w:szCs w:val="21"/>
              </w:rPr>
            </w:pPr>
          </w:p>
        </w:tc>
        <w:tc>
          <w:tcPr>
            <w:tcW w:w="1080" w:type="dxa"/>
            <w:noWrap w:val="0"/>
            <w:vAlign w:val="top"/>
          </w:tcPr>
          <w:p w14:paraId="6BE1B26F">
            <w:pPr>
              <w:topLinePunct/>
              <w:spacing w:line="400" w:lineRule="atLeast"/>
              <w:jc w:val="center"/>
              <w:rPr>
                <w:rFonts w:hint="eastAsia"/>
                <w:color w:val="auto"/>
                <w:szCs w:val="21"/>
              </w:rPr>
            </w:pPr>
          </w:p>
        </w:tc>
        <w:tc>
          <w:tcPr>
            <w:tcW w:w="1112" w:type="dxa"/>
            <w:noWrap w:val="0"/>
            <w:vAlign w:val="top"/>
          </w:tcPr>
          <w:p w14:paraId="64CB5E4F">
            <w:pPr>
              <w:topLinePunct/>
              <w:spacing w:line="400" w:lineRule="atLeast"/>
              <w:jc w:val="center"/>
              <w:rPr>
                <w:rFonts w:hint="eastAsia"/>
                <w:color w:val="auto"/>
                <w:szCs w:val="21"/>
              </w:rPr>
            </w:pPr>
          </w:p>
        </w:tc>
        <w:tc>
          <w:tcPr>
            <w:tcW w:w="1778" w:type="dxa"/>
            <w:noWrap w:val="0"/>
            <w:vAlign w:val="top"/>
          </w:tcPr>
          <w:p w14:paraId="129FEE62">
            <w:pPr>
              <w:topLinePunct/>
              <w:spacing w:line="400" w:lineRule="atLeast"/>
              <w:jc w:val="center"/>
              <w:rPr>
                <w:rFonts w:hint="eastAsia"/>
                <w:color w:val="auto"/>
                <w:szCs w:val="21"/>
              </w:rPr>
            </w:pPr>
          </w:p>
        </w:tc>
        <w:tc>
          <w:tcPr>
            <w:tcW w:w="1080" w:type="dxa"/>
            <w:noWrap w:val="0"/>
            <w:vAlign w:val="top"/>
          </w:tcPr>
          <w:p w14:paraId="78A6009F">
            <w:pPr>
              <w:topLinePunct/>
              <w:spacing w:line="400" w:lineRule="atLeast"/>
              <w:jc w:val="center"/>
              <w:rPr>
                <w:rFonts w:hint="eastAsia"/>
                <w:color w:val="auto"/>
                <w:szCs w:val="21"/>
              </w:rPr>
            </w:pPr>
          </w:p>
        </w:tc>
      </w:tr>
    </w:tbl>
    <w:p w14:paraId="5C6F903D">
      <w:pPr>
        <w:rPr>
          <w:color w:val="auto"/>
        </w:rPr>
      </w:pPr>
    </w:p>
    <w:p w14:paraId="2FB9FE0C">
      <w:pPr>
        <w:rPr>
          <w:rFonts w:hint="eastAsia"/>
          <w:color w:val="auto"/>
          <w:szCs w:val="24"/>
        </w:rPr>
      </w:pPr>
      <w:r>
        <w:rPr>
          <w:rFonts w:hint="eastAsia"/>
          <w:color w:val="auto"/>
          <w:szCs w:val="24"/>
        </w:rPr>
        <w:br w:type="page"/>
      </w:r>
    </w:p>
    <w:p w14:paraId="5B94A9DF">
      <w:pPr>
        <w:bidi w:val="0"/>
        <w:jc w:val="center"/>
        <w:rPr>
          <w:rFonts w:hint="eastAsia" w:ascii="黑体" w:hAnsi="黑体" w:eastAsia="黑体" w:cs="黑体"/>
          <w:color w:val="auto"/>
          <w:sz w:val="24"/>
          <w:szCs w:val="24"/>
        </w:rPr>
      </w:pPr>
      <w:bookmarkStart w:id="2038" w:name="_Toc122603097"/>
      <w:r>
        <w:rPr>
          <w:rFonts w:hint="eastAsia" w:ascii="黑体" w:hAnsi="黑体" w:eastAsia="黑体" w:cs="黑体"/>
          <w:color w:val="auto"/>
          <w:sz w:val="24"/>
          <w:szCs w:val="24"/>
        </w:rPr>
        <w:t>正在施工的和新承接的项目情况表</w:t>
      </w:r>
      <w:bookmarkEnd w:id="2038"/>
    </w:p>
    <w:p w14:paraId="63CDDEE7">
      <w:pPr>
        <w:bidi w:val="0"/>
        <w:rPr>
          <w:rFonts w:hint="eastAsia"/>
          <w:color w:val="auto"/>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0"/>
        <w:gridCol w:w="6095"/>
      </w:tblGrid>
      <w:tr w14:paraId="110E8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5B0D4C99">
            <w:pPr>
              <w:jc w:val="center"/>
              <w:rPr>
                <w:rFonts w:hint="eastAsia" w:ascii="宋体" w:hAnsi="宋体"/>
                <w:color w:val="auto"/>
                <w:szCs w:val="21"/>
              </w:rPr>
            </w:pPr>
            <w:r>
              <w:rPr>
                <w:rFonts w:hint="eastAsia" w:ascii="宋体" w:hAnsi="宋体"/>
                <w:color w:val="auto"/>
                <w:szCs w:val="21"/>
              </w:rPr>
              <w:t>项目名称</w:t>
            </w:r>
          </w:p>
        </w:tc>
        <w:tc>
          <w:tcPr>
            <w:tcW w:w="6095" w:type="dxa"/>
            <w:noWrap w:val="0"/>
            <w:vAlign w:val="center"/>
          </w:tcPr>
          <w:p w14:paraId="0B5755ED">
            <w:pPr>
              <w:jc w:val="center"/>
              <w:rPr>
                <w:rFonts w:hint="eastAsia" w:ascii="宋体" w:hAnsi="宋体"/>
                <w:color w:val="auto"/>
                <w:szCs w:val="21"/>
              </w:rPr>
            </w:pPr>
          </w:p>
        </w:tc>
      </w:tr>
      <w:tr w14:paraId="6B1C8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0DDF8A25">
            <w:pPr>
              <w:jc w:val="center"/>
              <w:rPr>
                <w:rFonts w:hint="eastAsia" w:ascii="宋体" w:hAnsi="宋体"/>
                <w:color w:val="auto"/>
                <w:szCs w:val="21"/>
              </w:rPr>
            </w:pPr>
            <w:r>
              <w:rPr>
                <w:rFonts w:hint="eastAsia" w:ascii="宋体" w:hAnsi="宋体"/>
                <w:color w:val="auto"/>
                <w:szCs w:val="21"/>
              </w:rPr>
              <w:t>项目所在地</w:t>
            </w:r>
          </w:p>
        </w:tc>
        <w:tc>
          <w:tcPr>
            <w:tcW w:w="6095" w:type="dxa"/>
            <w:noWrap w:val="0"/>
            <w:vAlign w:val="center"/>
          </w:tcPr>
          <w:p w14:paraId="7E25D265">
            <w:pPr>
              <w:jc w:val="center"/>
              <w:rPr>
                <w:rFonts w:hint="eastAsia" w:ascii="宋体" w:hAnsi="宋体"/>
                <w:color w:val="auto"/>
                <w:szCs w:val="21"/>
              </w:rPr>
            </w:pPr>
          </w:p>
        </w:tc>
      </w:tr>
      <w:tr w14:paraId="0FE6A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4D0328A7">
            <w:pPr>
              <w:jc w:val="center"/>
              <w:rPr>
                <w:rFonts w:hint="eastAsia" w:ascii="宋体" w:hAnsi="宋体"/>
                <w:color w:val="auto"/>
                <w:szCs w:val="21"/>
              </w:rPr>
            </w:pPr>
            <w:r>
              <w:rPr>
                <w:rFonts w:hint="eastAsia" w:ascii="宋体" w:hAnsi="宋体"/>
                <w:color w:val="auto"/>
                <w:szCs w:val="21"/>
              </w:rPr>
              <w:t>发包人名称</w:t>
            </w:r>
          </w:p>
        </w:tc>
        <w:tc>
          <w:tcPr>
            <w:tcW w:w="6095" w:type="dxa"/>
            <w:noWrap w:val="0"/>
            <w:vAlign w:val="center"/>
          </w:tcPr>
          <w:p w14:paraId="31A895F8">
            <w:pPr>
              <w:jc w:val="center"/>
              <w:rPr>
                <w:rFonts w:hint="eastAsia" w:ascii="宋体" w:hAnsi="宋体"/>
                <w:color w:val="auto"/>
                <w:szCs w:val="21"/>
              </w:rPr>
            </w:pPr>
          </w:p>
        </w:tc>
      </w:tr>
      <w:tr w14:paraId="2F84F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4E63E239">
            <w:pPr>
              <w:jc w:val="center"/>
              <w:rPr>
                <w:rFonts w:hint="eastAsia" w:ascii="宋体" w:hAnsi="宋体"/>
                <w:color w:val="auto"/>
                <w:szCs w:val="21"/>
              </w:rPr>
            </w:pPr>
            <w:r>
              <w:rPr>
                <w:rFonts w:hint="eastAsia" w:ascii="宋体" w:hAnsi="宋体"/>
                <w:color w:val="auto"/>
                <w:szCs w:val="21"/>
              </w:rPr>
              <w:t>发包人地址</w:t>
            </w:r>
          </w:p>
        </w:tc>
        <w:tc>
          <w:tcPr>
            <w:tcW w:w="6095" w:type="dxa"/>
            <w:noWrap w:val="0"/>
            <w:vAlign w:val="center"/>
          </w:tcPr>
          <w:p w14:paraId="26906024">
            <w:pPr>
              <w:jc w:val="center"/>
              <w:rPr>
                <w:rFonts w:hint="eastAsia" w:ascii="宋体" w:hAnsi="宋体"/>
                <w:color w:val="auto"/>
                <w:szCs w:val="21"/>
              </w:rPr>
            </w:pPr>
          </w:p>
        </w:tc>
      </w:tr>
      <w:tr w14:paraId="380F2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12B40585">
            <w:pPr>
              <w:jc w:val="center"/>
              <w:rPr>
                <w:rFonts w:hint="eastAsia" w:ascii="宋体" w:hAnsi="宋体"/>
                <w:color w:val="auto"/>
                <w:szCs w:val="21"/>
              </w:rPr>
            </w:pPr>
            <w:r>
              <w:rPr>
                <w:rFonts w:hint="eastAsia" w:ascii="宋体" w:hAnsi="宋体"/>
                <w:color w:val="auto"/>
                <w:szCs w:val="21"/>
              </w:rPr>
              <w:t>发包人电话</w:t>
            </w:r>
          </w:p>
        </w:tc>
        <w:tc>
          <w:tcPr>
            <w:tcW w:w="6095" w:type="dxa"/>
            <w:noWrap w:val="0"/>
            <w:vAlign w:val="center"/>
          </w:tcPr>
          <w:p w14:paraId="62498935">
            <w:pPr>
              <w:jc w:val="center"/>
              <w:rPr>
                <w:rFonts w:hint="eastAsia" w:ascii="宋体" w:hAnsi="宋体"/>
                <w:color w:val="auto"/>
                <w:szCs w:val="21"/>
              </w:rPr>
            </w:pPr>
          </w:p>
        </w:tc>
      </w:tr>
      <w:tr w14:paraId="243D7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7758C0A1">
            <w:pPr>
              <w:jc w:val="center"/>
              <w:rPr>
                <w:rFonts w:hint="eastAsia" w:ascii="宋体" w:hAnsi="宋体"/>
                <w:color w:val="auto"/>
                <w:szCs w:val="21"/>
              </w:rPr>
            </w:pPr>
            <w:r>
              <w:rPr>
                <w:rFonts w:hint="eastAsia" w:ascii="宋体" w:hAnsi="宋体"/>
                <w:color w:val="auto"/>
                <w:szCs w:val="21"/>
              </w:rPr>
              <w:t>签约合同价</w:t>
            </w:r>
            <w:r>
              <w:rPr>
                <w:rFonts w:hint="eastAsia" w:ascii="宋体" w:hAnsi="宋体"/>
                <w:color w:val="auto"/>
                <w:szCs w:val="21"/>
                <w:lang w:eastAsia="zh-CN"/>
              </w:rPr>
              <w:t>（</w:t>
            </w:r>
            <w:r>
              <w:rPr>
                <w:rFonts w:hint="eastAsia" w:ascii="宋体" w:hAnsi="宋体"/>
                <w:color w:val="auto"/>
                <w:szCs w:val="21"/>
                <w:lang w:val="en-US" w:eastAsia="zh-CN"/>
              </w:rPr>
              <w:t>元</w:t>
            </w:r>
            <w:r>
              <w:rPr>
                <w:rFonts w:hint="eastAsia" w:ascii="宋体" w:hAnsi="宋体"/>
                <w:color w:val="auto"/>
                <w:szCs w:val="21"/>
                <w:lang w:eastAsia="zh-CN"/>
              </w:rPr>
              <w:t>）</w:t>
            </w:r>
          </w:p>
        </w:tc>
        <w:tc>
          <w:tcPr>
            <w:tcW w:w="6095" w:type="dxa"/>
            <w:noWrap w:val="0"/>
            <w:vAlign w:val="center"/>
          </w:tcPr>
          <w:p w14:paraId="6D78C748">
            <w:pPr>
              <w:jc w:val="center"/>
              <w:rPr>
                <w:rFonts w:hint="eastAsia" w:ascii="宋体" w:hAnsi="宋体"/>
                <w:color w:val="auto"/>
                <w:szCs w:val="21"/>
              </w:rPr>
            </w:pPr>
          </w:p>
        </w:tc>
      </w:tr>
      <w:tr w14:paraId="22F1E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7C8B6B1A">
            <w:pPr>
              <w:jc w:val="center"/>
              <w:rPr>
                <w:rFonts w:hint="eastAsia" w:ascii="宋体" w:hAnsi="宋体"/>
                <w:color w:val="auto"/>
                <w:szCs w:val="21"/>
              </w:rPr>
            </w:pPr>
            <w:r>
              <w:rPr>
                <w:rFonts w:hint="eastAsia" w:ascii="宋体" w:hAnsi="宋体"/>
                <w:color w:val="auto"/>
                <w:szCs w:val="21"/>
              </w:rPr>
              <w:t>开工日期</w:t>
            </w:r>
          </w:p>
        </w:tc>
        <w:tc>
          <w:tcPr>
            <w:tcW w:w="6095" w:type="dxa"/>
            <w:noWrap w:val="0"/>
            <w:vAlign w:val="center"/>
          </w:tcPr>
          <w:p w14:paraId="12DF9A9F">
            <w:pPr>
              <w:jc w:val="center"/>
              <w:rPr>
                <w:rFonts w:hint="eastAsia" w:ascii="宋体" w:hAnsi="宋体"/>
                <w:color w:val="auto"/>
                <w:szCs w:val="21"/>
              </w:rPr>
            </w:pPr>
          </w:p>
        </w:tc>
      </w:tr>
      <w:tr w14:paraId="11988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0E5C61FC">
            <w:pPr>
              <w:jc w:val="center"/>
              <w:rPr>
                <w:rFonts w:hint="eastAsia" w:ascii="宋体" w:hAnsi="宋体"/>
                <w:color w:val="auto"/>
                <w:szCs w:val="21"/>
              </w:rPr>
            </w:pPr>
            <w:r>
              <w:rPr>
                <w:rFonts w:hint="eastAsia" w:ascii="宋体" w:hAnsi="宋体"/>
                <w:color w:val="auto"/>
                <w:szCs w:val="21"/>
              </w:rPr>
              <w:t>计划竣工日期</w:t>
            </w:r>
          </w:p>
        </w:tc>
        <w:tc>
          <w:tcPr>
            <w:tcW w:w="6095" w:type="dxa"/>
            <w:noWrap w:val="0"/>
            <w:vAlign w:val="center"/>
          </w:tcPr>
          <w:p w14:paraId="3F8B67B2">
            <w:pPr>
              <w:jc w:val="center"/>
              <w:rPr>
                <w:rFonts w:hint="eastAsia" w:ascii="宋体" w:hAnsi="宋体"/>
                <w:color w:val="auto"/>
                <w:szCs w:val="21"/>
              </w:rPr>
            </w:pPr>
          </w:p>
        </w:tc>
      </w:tr>
      <w:tr w14:paraId="60B47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64DA4014">
            <w:pPr>
              <w:jc w:val="center"/>
              <w:rPr>
                <w:rFonts w:hint="eastAsia" w:ascii="宋体" w:hAnsi="宋体"/>
                <w:color w:val="auto"/>
                <w:szCs w:val="21"/>
              </w:rPr>
            </w:pPr>
            <w:r>
              <w:rPr>
                <w:rFonts w:hint="eastAsia" w:ascii="宋体" w:hAnsi="宋体"/>
                <w:color w:val="auto"/>
                <w:szCs w:val="21"/>
              </w:rPr>
              <w:t>承担的工作</w:t>
            </w:r>
          </w:p>
        </w:tc>
        <w:tc>
          <w:tcPr>
            <w:tcW w:w="6095" w:type="dxa"/>
            <w:noWrap w:val="0"/>
            <w:vAlign w:val="center"/>
          </w:tcPr>
          <w:p w14:paraId="7571F01B">
            <w:pPr>
              <w:jc w:val="center"/>
              <w:rPr>
                <w:rFonts w:hint="eastAsia" w:ascii="宋体" w:hAnsi="宋体"/>
                <w:color w:val="auto"/>
                <w:szCs w:val="21"/>
              </w:rPr>
            </w:pPr>
          </w:p>
        </w:tc>
      </w:tr>
      <w:tr w14:paraId="0BE52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6F1F0F49">
            <w:pPr>
              <w:jc w:val="center"/>
              <w:rPr>
                <w:rFonts w:hint="eastAsia" w:ascii="宋体" w:hAnsi="宋体"/>
                <w:color w:val="auto"/>
                <w:szCs w:val="21"/>
              </w:rPr>
            </w:pPr>
            <w:r>
              <w:rPr>
                <w:rFonts w:hint="eastAsia" w:ascii="宋体" w:hAnsi="宋体"/>
                <w:color w:val="auto"/>
                <w:szCs w:val="21"/>
              </w:rPr>
              <w:t>工程质量</w:t>
            </w:r>
          </w:p>
        </w:tc>
        <w:tc>
          <w:tcPr>
            <w:tcW w:w="6095" w:type="dxa"/>
            <w:noWrap w:val="0"/>
            <w:vAlign w:val="center"/>
          </w:tcPr>
          <w:p w14:paraId="2D423C9D">
            <w:pPr>
              <w:jc w:val="center"/>
              <w:rPr>
                <w:rFonts w:hint="eastAsia" w:ascii="宋体" w:hAnsi="宋体"/>
                <w:color w:val="auto"/>
                <w:szCs w:val="21"/>
              </w:rPr>
            </w:pPr>
          </w:p>
        </w:tc>
      </w:tr>
      <w:tr w14:paraId="28C6A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149FD877">
            <w:pPr>
              <w:jc w:val="center"/>
              <w:rPr>
                <w:rFonts w:hint="eastAsia" w:ascii="宋体" w:hAnsi="宋体"/>
                <w:color w:val="auto"/>
                <w:szCs w:val="21"/>
              </w:rPr>
            </w:pPr>
            <w:r>
              <w:rPr>
                <w:rFonts w:hint="eastAsia" w:ascii="宋体" w:hAnsi="宋体"/>
                <w:color w:val="auto"/>
                <w:szCs w:val="21"/>
              </w:rPr>
              <w:t>项目经理</w:t>
            </w:r>
          </w:p>
        </w:tc>
        <w:tc>
          <w:tcPr>
            <w:tcW w:w="6095" w:type="dxa"/>
            <w:noWrap w:val="0"/>
            <w:vAlign w:val="center"/>
          </w:tcPr>
          <w:p w14:paraId="0654377F">
            <w:pPr>
              <w:jc w:val="center"/>
              <w:rPr>
                <w:rFonts w:hint="eastAsia" w:ascii="宋体" w:hAnsi="宋体"/>
                <w:color w:val="auto"/>
                <w:szCs w:val="21"/>
              </w:rPr>
            </w:pPr>
          </w:p>
        </w:tc>
      </w:tr>
      <w:tr w14:paraId="39E22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7C4FDF95">
            <w:pPr>
              <w:jc w:val="center"/>
              <w:rPr>
                <w:rFonts w:hint="eastAsia" w:ascii="宋体" w:hAnsi="宋体"/>
                <w:color w:val="auto"/>
                <w:szCs w:val="21"/>
              </w:rPr>
            </w:pPr>
            <w:r>
              <w:rPr>
                <w:rFonts w:hint="eastAsia" w:ascii="宋体" w:hAnsi="宋体"/>
                <w:color w:val="auto"/>
                <w:szCs w:val="21"/>
              </w:rPr>
              <w:t>技术负责人</w:t>
            </w:r>
          </w:p>
        </w:tc>
        <w:tc>
          <w:tcPr>
            <w:tcW w:w="6095" w:type="dxa"/>
            <w:noWrap w:val="0"/>
            <w:vAlign w:val="center"/>
          </w:tcPr>
          <w:p w14:paraId="06A69DC7">
            <w:pPr>
              <w:jc w:val="center"/>
              <w:rPr>
                <w:rFonts w:hint="eastAsia" w:ascii="宋体" w:hAnsi="宋体"/>
                <w:color w:val="auto"/>
                <w:szCs w:val="21"/>
              </w:rPr>
            </w:pPr>
          </w:p>
        </w:tc>
      </w:tr>
      <w:tr w14:paraId="3D832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7A1F5D58">
            <w:pPr>
              <w:jc w:val="center"/>
              <w:rPr>
                <w:rFonts w:hint="eastAsia" w:ascii="宋体" w:hAnsi="宋体"/>
                <w:color w:val="auto"/>
                <w:szCs w:val="21"/>
              </w:rPr>
            </w:pPr>
            <w:r>
              <w:rPr>
                <w:rFonts w:hint="eastAsia" w:ascii="宋体" w:hAnsi="宋体"/>
                <w:color w:val="auto"/>
                <w:szCs w:val="21"/>
              </w:rPr>
              <w:t>总监理工程师及电话</w:t>
            </w:r>
          </w:p>
        </w:tc>
        <w:tc>
          <w:tcPr>
            <w:tcW w:w="6095" w:type="dxa"/>
            <w:noWrap w:val="0"/>
            <w:vAlign w:val="center"/>
          </w:tcPr>
          <w:p w14:paraId="60D3BA77">
            <w:pPr>
              <w:jc w:val="center"/>
              <w:rPr>
                <w:rFonts w:hint="eastAsia" w:ascii="宋体" w:hAnsi="宋体"/>
                <w:color w:val="auto"/>
                <w:szCs w:val="21"/>
              </w:rPr>
            </w:pPr>
          </w:p>
        </w:tc>
      </w:tr>
      <w:tr w14:paraId="272F8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2410" w:type="dxa"/>
            <w:noWrap w:val="0"/>
            <w:vAlign w:val="center"/>
          </w:tcPr>
          <w:p w14:paraId="37DB7DAF">
            <w:pPr>
              <w:jc w:val="center"/>
              <w:rPr>
                <w:rFonts w:hint="eastAsia" w:ascii="宋体" w:hAnsi="宋体"/>
                <w:color w:val="auto"/>
                <w:szCs w:val="21"/>
              </w:rPr>
            </w:pPr>
            <w:r>
              <w:rPr>
                <w:rFonts w:hint="eastAsia" w:ascii="宋体" w:hAnsi="宋体"/>
                <w:color w:val="auto"/>
                <w:szCs w:val="21"/>
              </w:rPr>
              <w:t>项目描述</w:t>
            </w:r>
          </w:p>
        </w:tc>
        <w:tc>
          <w:tcPr>
            <w:tcW w:w="6095" w:type="dxa"/>
            <w:noWrap w:val="0"/>
            <w:vAlign w:val="center"/>
          </w:tcPr>
          <w:p w14:paraId="15040199">
            <w:pPr>
              <w:jc w:val="center"/>
              <w:rPr>
                <w:rFonts w:hint="eastAsia" w:ascii="宋体" w:hAnsi="宋体"/>
                <w:color w:val="auto"/>
                <w:szCs w:val="21"/>
              </w:rPr>
            </w:pPr>
          </w:p>
        </w:tc>
      </w:tr>
      <w:tr w14:paraId="101BD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7D8C3A8E">
            <w:pPr>
              <w:jc w:val="center"/>
              <w:rPr>
                <w:rFonts w:hint="eastAsia" w:ascii="宋体" w:hAnsi="宋体"/>
                <w:color w:val="auto"/>
                <w:szCs w:val="21"/>
              </w:rPr>
            </w:pPr>
            <w:r>
              <w:rPr>
                <w:rFonts w:hint="eastAsia" w:ascii="宋体" w:hAnsi="宋体"/>
                <w:color w:val="auto"/>
                <w:szCs w:val="21"/>
              </w:rPr>
              <w:t>备注</w:t>
            </w:r>
          </w:p>
        </w:tc>
        <w:tc>
          <w:tcPr>
            <w:tcW w:w="6095" w:type="dxa"/>
            <w:noWrap w:val="0"/>
            <w:vAlign w:val="center"/>
          </w:tcPr>
          <w:p w14:paraId="3B5FDB0C">
            <w:pPr>
              <w:jc w:val="center"/>
              <w:rPr>
                <w:rFonts w:hint="eastAsia" w:ascii="宋体" w:hAnsi="宋体"/>
                <w:color w:val="auto"/>
                <w:szCs w:val="21"/>
              </w:rPr>
            </w:pPr>
          </w:p>
        </w:tc>
      </w:tr>
    </w:tbl>
    <w:p w14:paraId="04E9569C">
      <w:pPr>
        <w:ind w:left="945" w:leftChars="150" w:hanging="630" w:hangingChars="300"/>
        <w:rPr>
          <w:rFonts w:hint="eastAsia"/>
          <w:color w:val="auto"/>
          <w:szCs w:val="24"/>
        </w:rPr>
        <w:sectPr>
          <w:footerReference r:id="rId50" w:type="default"/>
          <w:pgSz w:w="11906" w:h="16838"/>
          <w:pgMar w:top="1440" w:right="1800" w:bottom="1440" w:left="1800" w:header="851" w:footer="992" w:gutter="0"/>
          <w:pgNumType w:fmt="decimal"/>
          <w:cols w:space="425" w:num="1"/>
          <w:docGrid w:type="lines" w:linePitch="312" w:charSpace="0"/>
        </w:sectPr>
      </w:pPr>
      <w:r>
        <w:rPr>
          <w:rFonts w:hint="eastAsia" w:ascii="宋体" w:hAnsi="宋体"/>
          <w:color w:val="auto"/>
        </w:rPr>
        <w:t>备注：类似项目含义和近年具体要求见投标人须知前附表。</w:t>
      </w:r>
    </w:p>
    <w:p w14:paraId="39396156">
      <w:pPr>
        <w:pStyle w:val="27"/>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color w:val="auto"/>
        </w:rPr>
        <w:sectPr>
          <w:footerReference r:id="rId51" w:type="default"/>
          <w:pgSz w:w="11906" w:h="16838"/>
          <w:pgMar w:top="1440" w:right="1800" w:bottom="1440" w:left="1800" w:header="851" w:footer="992" w:gutter="0"/>
          <w:pgNumType w:fmt="decimal"/>
          <w:cols w:space="425" w:num="1"/>
          <w:docGrid w:type="lines" w:linePitch="312" w:charSpace="0"/>
        </w:sectPr>
      </w:pPr>
      <w:bookmarkStart w:id="2039" w:name="_Toc7104"/>
      <w:bookmarkStart w:id="2040" w:name="_Toc122603098"/>
      <w:r>
        <w:rPr>
          <w:rFonts w:hint="eastAsia"/>
          <w:color w:val="auto"/>
          <w:szCs w:val="24"/>
          <w:lang w:eastAsia="zh-CN"/>
        </w:rPr>
        <w:t>（</w:t>
      </w:r>
      <w:r>
        <w:rPr>
          <w:rFonts w:hint="default"/>
          <w:color w:val="auto"/>
          <w:szCs w:val="24"/>
        </w:rPr>
        <w:t>五</w:t>
      </w:r>
      <w:r>
        <w:rPr>
          <w:rFonts w:hint="eastAsia"/>
          <w:color w:val="auto"/>
          <w:szCs w:val="24"/>
          <w:lang w:eastAsia="zh-CN"/>
        </w:rPr>
        <w:t>）</w:t>
      </w:r>
      <w:r>
        <w:rPr>
          <w:rFonts w:hint="eastAsia"/>
          <w:color w:val="auto"/>
          <w:szCs w:val="24"/>
        </w:rPr>
        <w:t>企业信誉情况</w:t>
      </w:r>
      <w:bookmarkEnd w:id="2039"/>
      <w:bookmarkEnd w:id="2040"/>
    </w:p>
    <w:p w14:paraId="4D65D4C6">
      <w:pPr>
        <w:pStyle w:val="27"/>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ascii="宋体" w:hAnsi="宋体"/>
          <w:color w:val="auto"/>
          <w:u w:val="single"/>
        </w:rPr>
      </w:pPr>
      <w:bookmarkStart w:id="2041" w:name="_Toc122603099"/>
      <w:r>
        <w:rPr>
          <w:rFonts w:hint="eastAsia" w:ascii="黑体" w:hAnsi="黑体" w:eastAsia="黑体" w:cs="黑体"/>
          <w:color w:val="auto"/>
          <w:szCs w:val="21"/>
        </w:rPr>
        <w:t>5-1</w:t>
      </w:r>
      <w:r>
        <w:rPr>
          <w:rFonts w:hint="eastAsia" w:ascii="黑体" w:hAnsi="黑体" w:eastAsia="黑体" w:cs="黑体"/>
          <w:color w:val="auto"/>
          <w:szCs w:val="21"/>
          <w:lang w:val="en-US" w:eastAsia="zh-CN"/>
        </w:rPr>
        <w:t xml:space="preserve"> </w:t>
      </w:r>
      <w:r>
        <w:rPr>
          <w:rFonts w:hint="eastAsia" w:ascii="宋体" w:hAnsi="宋体"/>
          <w:color w:val="auto"/>
          <w:szCs w:val="21"/>
        </w:rPr>
        <w:t>企业信誉声明</w:t>
      </w:r>
      <w:bookmarkEnd w:id="2041"/>
    </w:p>
    <w:p w14:paraId="43B2765C">
      <w:pPr>
        <w:rPr>
          <w:rFonts w:hint="eastAsia" w:ascii="宋体" w:hAnsi="宋体"/>
          <w:color w:val="auto"/>
        </w:rPr>
      </w:pPr>
      <w:r>
        <w:rPr>
          <w:rFonts w:hint="eastAsia" w:ascii="宋体" w:hAnsi="宋体"/>
          <w:color w:val="auto"/>
          <w:u w:val="single"/>
        </w:rPr>
        <w:t xml:space="preserve">                     </w:t>
      </w:r>
      <w:r>
        <w:rPr>
          <w:rFonts w:hint="eastAsia" w:ascii="宋体" w:hAnsi="宋体"/>
          <w:color w:val="auto"/>
        </w:rPr>
        <w:t>（招标人名称）：</w:t>
      </w:r>
    </w:p>
    <w:p w14:paraId="40D91357">
      <w:pPr>
        <w:rPr>
          <w:rFonts w:hint="eastAsia" w:ascii="宋体" w:hAnsi="宋体"/>
          <w:color w:val="auto"/>
        </w:rPr>
      </w:pPr>
    </w:p>
    <w:p w14:paraId="2083A552">
      <w:pPr>
        <w:spacing w:line="440" w:lineRule="exact"/>
        <w:ind w:firstLine="420" w:firstLineChars="200"/>
        <w:rPr>
          <w:rFonts w:ascii="宋体" w:hAnsi="宋体"/>
          <w:color w:val="auto"/>
          <w:szCs w:val="21"/>
        </w:rPr>
      </w:pPr>
      <w:r>
        <w:rPr>
          <w:rFonts w:hint="eastAsia" w:ascii="宋体" w:hAnsi="宋体"/>
          <w:color w:val="auto"/>
          <w:szCs w:val="21"/>
        </w:rPr>
        <w:t>我方在此声明，</w:t>
      </w:r>
      <w:r>
        <w:rPr>
          <w:rFonts w:hint="eastAsia" w:ascii="宋体" w:hAnsi="宋体"/>
          <w:color w:val="auto"/>
        </w:rPr>
        <w:t>截止本招标项目投标截止时间，我方处于</w:t>
      </w:r>
      <w:r>
        <w:rPr>
          <w:rFonts w:hint="eastAsia" w:ascii="宋体" w:hAnsi="宋体"/>
          <w:color w:val="auto"/>
          <w:szCs w:val="21"/>
        </w:rPr>
        <w:t>正常的经营状态，不存在下列任何一种情形。</w:t>
      </w:r>
    </w:p>
    <w:p w14:paraId="2D8CA293">
      <w:pPr>
        <w:spacing w:line="400" w:lineRule="exact"/>
        <w:ind w:firstLine="420" w:firstLineChars="200"/>
        <w:rPr>
          <w:color w:val="auto"/>
        </w:rPr>
      </w:pPr>
      <w:r>
        <w:rPr>
          <w:rFonts w:hint="eastAsia"/>
          <w:color w:val="auto"/>
        </w:rPr>
        <w:t>1.被依法暂停或取消投标资格；</w:t>
      </w:r>
    </w:p>
    <w:p w14:paraId="7BF8543D">
      <w:pPr>
        <w:spacing w:line="400" w:lineRule="exact"/>
        <w:ind w:firstLine="420" w:firstLineChars="200"/>
        <w:rPr>
          <w:color w:val="auto"/>
        </w:rPr>
      </w:pPr>
      <w:r>
        <w:rPr>
          <w:rFonts w:hint="eastAsia"/>
          <w:color w:val="auto"/>
        </w:rPr>
        <w:t xml:space="preserve">2.被责令停产停业、暂扣或者吊销许可证、暂扣或者吊销执照； </w:t>
      </w:r>
    </w:p>
    <w:p w14:paraId="7B7CC773">
      <w:pPr>
        <w:spacing w:line="400" w:lineRule="exact"/>
        <w:ind w:firstLine="420" w:firstLineChars="200"/>
        <w:rPr>
          <w:color w:val="auto"/>
        </w:rPr>
      </w:pPr>
      <w:r>
        <w:rPr>
          <w:rFonts w:hint="eastAsia"/>
          <w:color w:val="auto"/>
        </w:rPr>
        <w:t>3.进入清算程序，或被宣告破产，或其他丧失履约能力的情形；</w:t>
      </w:r>
    </w:p>
    <w:p w14:paraId="1C01E205">
      <w:pPr>
        <w:spacing w:line="400" w:lineRule="exact"/>
        <w:ind w:firstLine="420" w:firstLineChars="200"/>
        <w:rPr>
          <w:color w:val="auto"/>
        </w:rPr>
      </w:pPr>
      <w:r>
        <w:rPr>
          <w:rFonts w:hint="eastAsia"/>
          <w:color w:val="auto"/>
        </w:rPr>
        <w:t>4.在最近三年内有骗取中标或严重违约或重大工程质量问题的；</w:t>
      </w:r>
    </w:p>
    <w:p w14:paraId="6437CAB1">
      <w:pPr>
        <w:spacing w:line="400" w:lineRule="exact"/>
        <w:ind w:firstLine="420" w:firstLineChars="200"/>
        <w:rPr>
          <w:color w:val="auto"/>
        </w:rPr>
      </w:pPr>
      <w:r>
        <w:rPr>
          <w:rFonts w:hint="eastAsia"/>
          <w:color w:val="auto"/>
        </w:rPr>
        <w:t>5.在“国家企业信用信息公示系统”（</w:t>
      </w:r>
      <w:r>
        <w:rPr>
          <w:color w:val="auto"/>
        </w:rPr>
        <w:t xml:space="preserve"> www.gsxt.gov.cn</w:t>
      </w:r>
      <w:r>
        <w:rPr>
          <w:rFonts w:hint="eastAsia"/>
          <w:color w:val="auto"/>
        </w:rPr>
        <w:t>）被列入严重违法失信企业名单；</w:t>
      </w:r>
    </w:p>
    <w:p w14:paraId="675EFEB6">
      <w:pPr>
        <w:spacing w:line="400" w:lineRule="exact"/>
        <w:ind w:firstLine="420" w:firstLineChars="200"/>
        <w:rPr>
          <w:color w:val="auto"/>
        </w:rPr>
      </w:pPr>
      <w:r>
        <w:rPr>
          <w:rFonts w:hint="eastAsia"/>
          <w:color w:val="auto"/>
        </w:rPr>
        <w:t>6.在“信用中国”网站（</w:t>
      </w:r>
      <w:r>
        <w:rPr>
          <w:color w:val="auto"/>
        </w:rPr>
        <w:fldChar w:fldCharType="begin"/>
      </w:r>
      <w:r>
        <w:rPr>
          <w:color w:val="auto"/>
        </w:rPr>
        <w:instrText xml:space="preserve"> HYPERLINK "http://www.creditchina.gov.cn/" </w:instrText>
      </w:r>
      <w:r>
        <w:rPr>
          <w:color w:val="auto"/>
        </w:rPr>
        <w:fldChar w:fldCharType="separate"/>
      </w:r>
      <w:r>
        <w:rPr>
          <w:color w:val="auto"/>
        </w:rPr>
        <w:t>www.creditchina.gov.cn</w:t>
      </w:r>
      <w:r>
        <w:rPr>
          <w:color w:val="auto"/>
        </w:rPr>
        <w:fldChar w:fldCharType="end"/>
      </w:r>
      <w:r>
        <w:rPr>
          <w:rFonts w:hint="eastAsia"/>
          <w:color w:val="auto"/>
        </w:rPr>
        <w:t>）或“中国执行信息公开网”（http://zxgk.court.gov.cn/shixin/）被列入失信被执行人名单；</w:t>
      </w:r>
    </w:p>
    <w:p w14:paraId="3BF5EABE">
      <w:pPr>
        <w:spacing w:line="400" w:lineRule="exact"/>
        <w:ind w:firstLine="420" w:firstLineChars="200"/>
        <w:rPr>
          <w:color w:val="auto"/>
        </w:rPr>
      </w:pPr>
      <w:r>
        <w:rPr>
          <w:rFonts w:hint="eastAsia"/>
          <w:color w:val="auto"/>
        </w:rPr>
        <w:t>7</w:t>
      </w:r>
      <w:r>
        <w:rPr>
          <w:color w:val="auto"/>
        </w:rPr>
        <w:t>.</w:t>
      </w:r>
      <w:r>
        <w:rPr>
          <w:rFonts w:hint="eastAsia"/>
          <w:color w:val="auto"/>
        </w:rPr>
        <w:t>在辽宁省建设工程招投标监督平台</w:t>
      </w:r>
      <w:r>
        <w:rPr>
          <w:rFonts w:hint="eastAsia"/>
          <w:color w:val="auto"/>
          <w:lang w:eastAsia="zh-CN"/>
        </w:rPr>
        <w:t>－</w:t>
      </w:r>
      <w:r>
        <w:rPr>
          <w:rFonts w:hint="eastAsia"/>
          <w:color w:val="auto"/>
        </w:rPr>
        <w:t>辽宁建设工程信息网上被列入不良行为记录且在公布期内的（指行业主管部门或其他行政主管部门在一定期限内依法取消参加依法必须进行招标的项目的投标资格）；</w:t>
      </w:r>
    </w:p>
    <w:p w14:paraId="32041E13">
      <w:pPr>
        <w:spacing w:line="400" w:lineRule="exact"/>
        <w:ind w:firstLine="420" w:firstLineChars="200"/>
        <w:rPr>
          <w:color w:val="auto"/>
        </w:rPr>
      </w:pPr>
      <w:r>
        <w:rPr>
          <w:color w:val="auto"/>
        </w:rPr>
        <w:t>8</w:t>
      </w:r>
      <w:r>
        <w:rPr>
          <w:rFonts w:hint="eastAsia"/>
          <w:color w:val="auto"/>
        </w:rPr>
        <w:t>.投标人须知前附表第1.4.3（17）目规定的其他情形。</w:t>
      </w:r>
    </w:p>
    <w:p w14:paraId="73357FC2">
      <w:pPr>
        <w:spacing w:line="440" w:lineRule="exact"/>
        <w:ind w:firstLine="420" w:firstLineChars="200"/>
        <w:rPr>
          <w:rFonts w:ascii="宋体" w:hAnsi="宋体"/>
          <w:color w:val="auto"/>
          <w:szCs w:val="21"/>
        </w:rPr>
      </w:pPr>
      <w:r>
        <w:rPr>
          <w:rFonts w:hint="eastAsia" w:ascii="宋体" w:hAnsi="宋体"/>
          <w:color w:val="auto"/>
          <w:szCs w:val="21"/>
        </w:rPr>
        <w:t>我方</w:t>
      </w:r>
      <w:r>
        <w:rPr>
          <w:rFonts w:hint="eastAsia"/>
          <w:color w:val="auto"/>
        </w:rPr>
        <w:t>对上述声明的</w:t>
      </w:r>
      <w:r>
        <w:rPr>
          <w:rFonts w:hint="eastAsia" w:ascii="宋体" w:hAnsi="宋体"/>
          <w:color w:val="auto"/>
          <w:szCs w:val="21"/>
        </w:rPr>
        <w:t>真实性和准确性</w:t>
      </w:r>
      <w:r>
        <w:rPr>
          <w:rFonts w:hint="eastAsia"/>
          <w:color w:val="auto"/>
        </w:rPr>
        <w:t>负责</w:t>
      </w:r>
      <w:r>
        <w:rPr>
          <w:rFonts w:hint="eastAsia" w:ascii="宋体" w:hAnsi="宋体"/>
          <w:color w:val="auto"/>
          <w:szCs w:val="21"/>
        </w:rPr>
        <w:t>，并承担相应的法律责任。</w:t>
      </w:r>
    </w:p>
    <w:p w14:paraId="3D56A6C4">
      <w:pPr>
        <w:spacing w:line="440" w:lineRule="exact"/>
        <w:ind w:firstLine="420" w:firstLineChars="200"/>
        <w:rPr>
          <w:rFonts w:ascii="宋体" w:hAnsi="宋体"/>
          <w:color w:val="auto"/>
          <w:szCs w:val="21"/>
        </w:rPr>
      </w:pPr>
      <w:r>
        <w:rPr>
          <w:rFonts w:hint="eastAsia" w:ascii="宋体" w:hAnsi="宋体"/>
          <w:color w:val="auto"/>
          <w:szCs w:val="21"/>
        </w:rPr>
        <w:t>后附：上述条款5、6、7网站查询结果截图。</w:t>
      </w:r>
    </w:p>
    <w:p w14:paraId="776196D6">
      <w:pPr>
        <w:spacing w:line="440" w:lineRule="exact"/>
        <w:ind w:firstLine="420" w:firstLineChars="200"/>
        <w:rPr>
          <w:rFonts w:hint="eastAsia" w:ascii="宋体" w:hAnsi="宋体"/>
          <w:color w:val="auto"/>
          <w:szCs w:val="21"/>
        </w:rPr>
      </w:pPr>
    </w:p>
    <w:p w14:paraId="14EA4D3C">
      <w:pPr>
        <w:spacing w:line="440" w:lineRule="exact"/>
        <w:ind w:firstLine="3990" w:firstLineChars="1900"/>
        <w:rPr>
          <w:rFonts w:hint="eastAsia" w:ascii="宋体" w:hAnsi="宋体"/>
          <w:color w:val="auto"/>
          <w:szCs w:val="21"/>
        </w:rPr>
      </w:pPr>
      <w:r>
        <w:rPr>
          <w:rFonts w:hint="eastAsia" w:ascii="宋体" w:hAnsi="宋体"/>
          <w:color w:val="auto"/>
          <w:szCs w:val="21"/>
        </w:rPr>
        <w:t>投标人：</w:t>
      </w:r>
      <w:r>
        <w:rPr>
          <w:rFonts w:hint="eastAsia" w:ascii="宋体" w:hAnsi="宋体"/>
          <w:color w:val="auto"/>
          <w:szCs w:val="21"/>
          <w:u w:val="single"/>
        </w:rPr>
        <w:t xml:space="preserve">                      </w:t>
      </w:r>
      <w:r>
        <w:rPr>
          <w:rFonts w:hint="eastAsia" w:ascii="宋体" w:hAnsi="宋体"/>
          <w:color w:val="auto"/>
          <w:szCs w:val="21"/>
        </w:rPr>
        <w:t>（盖单位章）</w:t>
      </w:r>
    </w:p>
    <w:p w14:paraId="6A4F8F8F">
      <w:pPr>
        <w:spacing w:line="440" w:lineRule="exact"/>
        <w:ind w:firstLine="2730" w:firstLineChars="1300"/>
        <w:rPr>
          <w:rFonts w:hint="eastAsia" w:ascii="宋体" w:hAnsi="宋体"/>
          <w:color w:val="auto"/>
          <w:szCs w:val="21"/>
        </w:rPr>
      </w:pPr>
      <w:r>
        <w:rPr>
          <w:rFonts w:hint="eastAsia" w:ascii="宋体" w:hAnsi="宋体"/>
          <w:color w:val="auto"/>
          <w:szCs w:val="21"/>
        </w:rPr>
        <w:t>法定代表人或授权委托人：</w:t>
      </w:r>
      <w:r>
        <w:rPr>
          <w:rFonts w:hint="eastAsia" w:ascii="宋体" w:hAnsi="宋体"/>
          <w:color w:val="auto"/>
          <w:szCs w:val="21"/>
          <w:u w:val="single"/>
        </w:rPr>
        <w:t xml:space="preserve">                      </w:t>
      </w:r>
      <w:r>
        <w:rPr>
          <w:rFonts w:hint="eastAsia" w:ascii="宋体" w:hAnsi="宋体"/>
          <w:color w:val="auto"/>
          <w:szCs w:val="21"/>
        </w:rPr>
        <w:t>（签章）</w:t>
      </w:r>
    </w:p>
    <w:p w14:paraId="70D82633">
      <w:pPr>
        <w:spacing w:line="440" w:lineRule="exact"/>
        <w:ind w:firstLine="420" w:firstLineChars="200"/>
        <w:rPr>
          <w:rFonts w:hint="eastAsia" w:ascii="宋体" w:hAnsi="宋体"/>
          <w:color w:val="auto"/>
          <w:szCs w:val="21"/>
        </w:rPr>
      </w:pPr>
    </w:p>
    <w:p w14:paraId="1E68D957">
      <w:pPr>
        <w:spacing w:line="440" w:lineRule="exact"/>
        <w:ind w:firstLine="420" w:firstLineChars="200"/>
        <w:rPr>
          <w:rFonts w:hint="eastAsia" w:ascii="宋体" w:hAnsi="宋体"/>
          <w:color w:val="auto"/>
          <w:szCs w:val="21"/>
        </w:rPr>
      </w:pPr>
      <w:r>
        <w:rPr>
          <w:rFonts w:hint="eastAsia" w:ascii="宋体" w:hAnsi="宋体"/>
          <w:color w:val="auto"/>
          <w:szCs w:val="21"/>
        </w:rPr>
        <w:t xml:space="preserve">                                              </w:t>
      </w:r>
      <w:r>
        <w:rPr>
          <w:rFonts w:hint="eastAsia" w:ascii="宋体" w:hAnsi="宋体"/>
          <w:color w:val="auto"/>
          <w:szCs w:val="21"/>
          <w:u w:val="single"/>
        </w:rPr>
        <w:t xml:space="preserve">        </w:t>
      </w:r>
      <w:r>
        <w:rPr>
          <w:rFonts w:hint="eastAsia" w:ascii="宋体" w:hAnsi="宋体"/>
          <w:color w:val="auto"/>
          <w:szCs w:val="21"/>
        </w:rPr>
        <w:t xml:space="preserve"> 年 </w:t>
      </w:r>
      <w:r>
        <w:rPr>
          <w:rFonts w:hint="eastAsia" w:ascii="宋体" w:hAnsi="宋体"/>
          <w:color w:val="auto"/>
          <w:szCs w:val="21"/>
          <w:u w:val="single"/>
        </w:rPr>
        <w:t xml:space="preserve">     </w:t>
      </w:r>
      <w:r>
        <w:rPr>
          <w:rFonts w:hint="eastAsia" w:ascii="宋体" w:hAnsi="宋体"/>
          <w:color w:val="auto"/>
          <w:szCs w:val="21"/>
        </w:rPr>
        <w:t xml:space="preserve"> 月 </w:t>
      </w:r>
      <w:r>
        <w:rPr>
          <w:rFonts w:hint="eastAsia" w:ascii="宋体" w:hAnsi="宋体"/>
          <w:color w:val="auto"/>
          <w:szCs w:val="21"/>
          <w:u w:val="single"/>
        </w:rPr>
        <w:t xml:space="preserve">     </w:t>
      </w:r>
      <w:r>
        <w:rPr>
          <w:rFonts w:hint="eastAsia" w:ascii="宋体" w:hAnsi="宋体"/>
          <w:color w:val="auto"/>
          <w:szCs w:val="21"/>
        </w:rPr>
        <w:t xml:space="preserve"> 日</w:t>
      </w:r>
    </w:p>
    <w:p w14:paraId="0C9D4D88">
      <w:pPr>
        <w:spacing w:line="440" w:lineRule="exact"/>
        <w:rPr>
          <w:rFonts w:hint="eastAsia" w:ascii="宋体" w:hAnsi="宋体"/>
          <w:color w:val="auto"/>
          <w:szCs w:val="21"/>
        </w:rPr>
      </w:pPr>
    </w:p>
    <w:p w14:paraId="5411B26B">
      <w:pPr>
        <w:spacing w:line="440" w:lineRule="exact"/>
        <w:rPr>
          <w:rFonts w:hint="eastAsia" w:ascii="宋体" w:hAnsi="宋体"/>
          <w:color w:val="auto"/>
          <w:szCs w:val="21"/>
        </w:rPr>
      </w:pPr>
    </w:p>
    <w:p w14:paraId="405EFC06">
      <w:pPr>
        <w:ind w:left="840" w:hanging="840" w:hangingChars="400"/>
        <w:rPr>
          <w:rFonts w:hint="eastAsia" w:ascii="宋体" w:hAnsi="宋体"/>
          <w:color w:val="auto"/>
        </w:rPr>
      </w:pPr>
      <w:r>
        <w:rPr>
          <w:rFonts w:hint="eastAsia" w:ascii="宋体" w:hAnsi="宋体"/>
          <w:color w:val="auto"/>
        </w:rPr>
        <w:t>备注：1.投标人应针对第二章“投标人须知”第1.4.1项和第1.4.3项的要求，在此对其信誉情况做出说明。如上格式文件所示。</w:t>
      </w:r>
    </w:p>
    <w:p w14:paraId="44D70410">
      <w:pPr>
        <w:rPr>
          <w:color w:val="auto"/>
        </w:rPr>
        <w:sectPr>
          <w:footerReference r:id="rId52" w:type="default"/>
          <w:pgSz w:w="11906" w:h="16838"/>
          <w:pgMar w:top="1440" w:right="1800" w:bottom="1440" w:left="1800" w:header="851" w:footer="992" w:gutter="0"/>
          <w:pgNumType w:fmt="decimal"/>
          <w:cols w:space="425" w:num="1"/>
          <w:docGrid w:type="lines" w:linePitch="312" w:charSpace="0"/>
        </w:sectPr>
      </w:pPr>
      <w:r>
        <w:rPr>
          <w:rFonts w:hint="eastAsia" w:ascii="宋体" w:hAnsi="宋体"/>
          <w:color w:val="auto"/>
        </w:rPr>
        <w:t xml:space="preserve">      2.联合体投标的，联合体各成员单位均应按要求做出说明。</w:t>
      </w:r>
    </w:p>
    <w:p w14:paraId="1508EFE1">
      <w:pPr>
        <w:pStyle w:val="27"/>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color w:val="auto"/>
        </w:rPr>
      </w:pPr>
      <w:bookmarkStart w:id="2042" w:name="_Toc122603100"/>
      <w:r>
        <w:rPr>
          <w:rFonts w:hint="default"/>
          <w:color w:val="auto"/>
          <w:szCs w:val="24"/>
        </w:rPr>
        <w:t>5-2</w:t>
      </w:r>
      <w:r>
        <w:rPr>
          <w:rFonts w:hint="eastAsia"/>
          <w:color w:val="auto"/>
          <w:szCs w:val="24"/>
        </w:rPr>
        <w:t xml:space="preserve"> 近年发生的诉讼和仲裁情况</w:t>
      </w:r>
      <w:bookmarkEnd w:id="2042"/>
    </w:p>
    <w:tbl>
      <w:tblPr>
        <w:tblStyle w:val="18"/>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38"/>
        <w:gridCol w:w="938"/>
        <w:gridCol w:w="1235"/>
        <w:gridCol w:w="3505"/>
        <w:gridCol w:w="1906"/>
      </w:tblGrid>
      <w:tr w14:paraId="6DCC09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54" w:type="dxa"/>
            <w:noWrap w:val="0"/>
            <w:vAlign w:val="center"/>
          </w:tcPr>
          <w:p w14:paraId="282E234D">
            <w:pPr>
              <w:keepNext w:val="0"/>
              <w:keepLines w:val="0"/>
              <w:suppressLineNumbers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类别</w:t>
            </w:r>
          </w:p>
        </w:tc>
        <w:tc>
          <w:tcPr>
            <w:tcW w:w="954" w:type="dxa"/>
            <w:noWrap w:val="0"/>
            <w:vAlign w:val="center"/>
          </w:tcPr>
          <w:p w14:paraId="64FA0CE4">
            <w:pPr>
              <w:keepNext w:val="0"/>
              <w:keepLines w:val="0"/>
              <w:suppressLineNumbers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序号</w:t>
            </w:r>
          </w:p>
        </w:tc>
        <w:tc>
          <w:tcPr>
            <w:tcW w:w="1260" w:type="dxa"/>
            <w:noWrap w:val="0"/>
            <w:vAlign w:val="center"/>
          </w:tcPr>
          <w:p w14:paraId="405FCC88">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发生时间</w:t>
            </w:r>
          </w:p>
        </w:tc>
        <w:tc>
          <w:tcPr>
            <w:tcW w:w="3600" w:type="dxa"/>
            <w:noWrap w:val="0"/>
            <w:vAlign w:val="center"/>
          </w:tcPr>
          <w:p w14:paraId="356BDC92">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情况简介</w:t>
            </w:r>
          </w:p>
        </w:tc>
        <w:tc>
          <w:tcPr>
            <w:tcW w:w="1952" w:type="dxa"/>
            <w:noWrap w:val="0"/>
            <w:vAlign w:val="center"/>
          </w:tcPr>
          <w:p w14:paraId="10599B26">
            <w:pPr>
              <w:keepNext w:val="0"/>
              <w:keepLines w:val="0"/>
              <w:suppressLineNumbers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证明材料索引</w:t>
            </w:r>
          </w:p>
        </w:tc>
      </w:tr>
      <w:tr w14:paraId="354B5E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restart"/>
            <w:noWrap w:val="0"/>
            <w:vAlign w:val="center"/>
          </w:tcPr>
          <w:p w14:paraId="792F9397">
            <w:pPr>
              <w:keepNext w:val="0"/>
              <w:keepLines w:val="0"/>
              <w:suppressLineNumbers w:val="0"/>
              <w:spacing w:before="0" w:beforeAutospacing="0" w:after="0" w:afterAutospacing="0" w:line="240" w:lineRule="exact"/>
              <w:ind w:left="0" w:right="0"/>
              <w:jc w:val="center"/>
              <w:rPr>
                <w:rFonts w:hint="eastAsia" w:ascii="宋体" w:hAnsi="宋体"/>
                <w:color w:val="auto"/>
                <w:szCs w:val="21"/>
              </w:rPr>
            </w:pPr>
            <w:r>
              <w:rPr>
                <w:rFonts w:hint="eastAsia" w:ascii="宋体" w:hAnsi="宋体"/>
                <w:color w:val="auto"/>
                <w:szCs w:val="21"/>
              </w:rPr>
              <w:t>诉</w:t>
            </w:r>
          </w:p>
          <w:p w14:paraId="0F987304">
            <w:pPr>
              <w:keepNext w:val="0"/>
              <w:keepLines w:val="0"/>
              <w:suppressLineNumbers w:val="0"/>
              <w:spacing w:before="0" w:beforeAutospacing="0" w:after="0" w:afterAutospacing="0" w:line="240" w:lineRule="exact"/>
              <w:ind w:left="0" w:right="0"/>
              <w:jc w:val="center"/>
              <w:rPr>
                <w:rFonts w:hint="eastAsia" w:ascii="宋体" w:hAnsi="宋体"/>
                <w:color w:val="auto"/>
                <w:szCs w:val="21"/>
              </w:rPr>
            </w:pPr>
            <w:r>
              <w:rPr>
                <w:rFonts w:hint="eastAsia" w:ascii="宋体" w:hAnsi="宋体"/>
                <w:color w:val="auto"/>
                <w:szCs w:val="21"/>
              </w:rPr>
              <w:t>讼</w:t>
            </w:r>
          </w:p>
          <w:p w14:paraId="1E1BD1F1">
            <w:pPr>
              <w:keepNext w:val="0"/>
              <w:keepLines w:val="0"/>
              <w:suppressLineNumbers w:val="0"/>
              <w:spacing w:before="0" w:beforeAutospacing="0" w:after="0" w:afterAutospacing="0" w:line="240" w:lineRule="exact"/>
              <w:ind w:left="0" w:right="0"/>
              <w:jc w:val="center"/>
              <w:rPr>
                <w:rFonts w:hint="eastAsia" w:ascii="宋体" w:hAnsi="宋体"/>
                <w:color w:val="auto"/>
                <w:szCs w:val="21"/>
              </w:rPr>
            </w:pPr>
            <w:r>
              <w:rPr>
                <w:rFonts w:hint="eastAsia" w:ascii="宋体" w:hAnsi="宋体"/>
                <w:color w:val="auto"/>
                <w:szCs w:val="21"/>
              </w:rPr>
              <w:t>情</w:t>
            </w:r>
          </w:p>
          <w:p w14:paraId="0465F701">
            <w:pPr>
              <w:keepNext w:val="0"/>
              <w:keepLines w:val="0"/>
              <w:suppressLineNumbers w:val="0"/>
              <w:spacing w:before="0" w:beforeAutospacing="0" w:after="0" w:afterAutospacing="0" w:line="240" w:lineRule="exact"/>
              <w:ind w:left="0" w:right="0"/>
              <w:jc w:val="center"/>
              <w:rPr>
                <w:rFonts w:hint="eastAsia" w:ascii="宋体" w:hAnsi="宋体"/>
                <w:color w:val="auto"/>
                <w:szCs w:val="21"/>
              </w:rPr>
            </w:pPr>
            <w:r>
              <w:rPr>
                <w:rFonts w:hint="eastAsia" w:ascii="宋体" w:hAnsi="宋体"/>
                <w:color w:val="auto"/>
                <w:szCs w:val="21"/>
              </w:rPr>
              <w:t>况</w:t>
            </w:r>
          </w:p>
        </w:tc>
        <w:tc>
          <w:tcPr>
            <w:tcW w:w="954" w:type="dxa"/>
            <w:noWrap w:val="0"/>
            <w:vAlign w:val="center"/>
          </w:tcPr>
          <w:p w14:paraId="53451BA6">
            <w:pPr>
              <w:keepNext w:val="0"/>
              <w:keepLines w:val="0"/>
              <w:suppressLineNumbers w:val="0"/>
              <w:spacing w:before="0" w:beforeAutospacing="0" w:after="0" w:afterAutospacing="0"/>
              <w:ind w:left="0" w:right="0"/>
              <w:jc w:val="center"/>
              <w:rPr>
                <w:rFonts w:hint="eastAsia" w:ascii="宋体" w:hAnsi="宋体"/>
                <w:color w:val="auto"/>
                <w:szCs w:val="21"/>
              </w:rPr>
            </w:pPr>
          </w:p>
        </w:tc>
        <w:tc>
          <w:tcPr>
            <w:tcW w:w="1260" w:type="dxa"/>
            <w:noWrap w:val="0"/>
            <w:vAlign w:val="center"/>
          </w:tcPr>
          <w:p w14:paraId="02B20FA3">
            <w:pPr>
              <w:keepNext w:val="0"/>
              <w:keepLines w:val="0"/>
              <w:suppressLineNumbers w:val="0"/>
              <w:spacing w:before="0" w:beforeAutospacing="0" w:after="0" w:afterAutospacing="0"/>
              <w:ind w:left="0" w:right="0"/>
              <w:jc w:val="center"/>
              <w:rPr>
                <w:rFonts w:hint="eastAsia" w:ascii="宋体" w:hAnsi="宋体"/>
                <w:color w:val="auto"/>
                <w:szCs w:val="21"/>
              </w:rPr>
            </w:pPr>
          </w:p>
        </w:tc>
        <w:tc>
          <w:tcPr>
            <w:tcW w:w="3600" w:type="dxa"/>
            <w:noWrap w:val="0"/>
            <w:vAlign w:val="center"/>
          </w:tcPr>
          <w:p w14:paraId="672A03A3">
            <w:pPr>
              <w:keepNext w:val="0"/>
              <w:keepLines w:val="0"/>
              <w:suppressLineNumbers w:val="0"/>
              <w:spacing w:before="0" w:beforeAutospacing="0" w:after="0" w:afterAutospacing="0"/>
              <w:ind w:left="0" w:right="0"/>
              <w:jc w:val="center"/>
              <w:rPr>
                <w:rFonts w:hint="eastAsia" w:ascii="宋体" w:hAnsi="宋体"/>
                <w:color w:val="auto"/>
                <w:szCs w:val="21"/>
              </w:rPr>
            </w:pPr>
          </w:p>
        </w:tc>
        <w:tc>
          <w:tcPr>
            <w:tcW w:w="1952" w:type="dxa"/>
            <w:noWrap w:val="0"/>
            <w:vAlign w:val="center"/>
          </w:tcPr>
          <w:p w14:paraId="49D8C344">
            <w:pPr>
              <w:keepNext w:val="0"/>
              <w:keepLines w:val="0"/>
              <w:suppressLineNumbers w:val="0"/>
              <w:spacing w:before="0" w:beforeAutospacing="0" w:after="0" w:afterAutospacing="0"/>
              <w:ind w:left="0" w:right="0"/>
              <w:jc w:val="center"/>
              <w:rPr>
                <w:rFonts w:hint="eastAsia" w:ascii="宋体" w:hAnsi="宋体"/>
                <w:color w:val="auto"/>
                <w:szCs w:val="21"/>
              </w:rPr>
            </w:pPr>
          </w:p>
        </w:tc>
      </w:tr>
      <w:tr w14:paraId="372C97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2D399739">
            <w:pPr>
              <w:keepNext w:val="0"/>
              <w:keepLines w:val="0"/>
              <w:suppressLineNumbers w:val="0"/>
              <w:spacing w:before="0" w:beforeAutospacing="0" w:after="0" w:afterAutospacing="0"/>
              <w:ind w:left="0" w:right="0"/>
              <w:jc w:val="center"/>
              <w:rPr>
                <w:rFonts w:hint="eastAsia" w:ascii="宋体" w:hAnsi="宋体"/>
                <w:color w:val="auto"/>
                <w:szCs w:val="21"/>
              </w:rPr>
            </w:pPr>
          </w:p>
        </w:tc>
        <w:tc>
          <w:tcPr>
            <w:tcW w:w="954" w:type="dxa"/>
            <w:noWrap w:val="0"/>
            <w:vAlign w:val="center"/>
          </w:tcPr>
          <w:p w14:paraId="727A2CF8">
            <w:pPr>
              <w:keepNext w:val="0"/>
              <w:keepLines w:val="0"/>
              <w:suppressLineNumbers w:val="0"/>
              <w:spacing w:before="0" w:beforeAutospacing="0" w:after="0" w:afterAutospacing="0"/>
              <w:ind w:left="0" w:right="0"/>
              <w:jc w:val="center"/>
              <w:rPr>
                <w:rFonts w:hint="eastAsia" w:ascii="宋体" w:hAnsi="宋体"/>
                <w:color w:val="auto"/>
                <w:szCs w:val="21"/>
              </w:rPr>
            </w:pPr>
          </w:p>
        </w:tc>
        <w:tc>
          <w:tcPr>
            <w:tcW w:w="1260" w:type="dxa"/>
            <w:noWrap w:val="0"/>
            <w:vAlign w:val="center"/>
          </w:tcPr>
          <w:p w14:paraId="7D3F5441">
            <w:pPr>
              <w:keepNext w:val="0"/>
              <w:keepLines w:val="0"/>
              <w:suppressLineNumbers w:val="0"/>
              <w:spacing w:before="0" w:beforeAutospacing="0" w:after="0" w:afterAutospacing="0"/>
              <w:ind w:left="0" w:right="0"/>
              <w:jc w:val="center"/>
              <w:rPr>
                <w:rFonts w:hint="eastAsia" w:ascii="宋体" w:hAnsi="宋体"/>
                <w:color w:val="auto"/>
                <w:szCs w:val="21"/>
              </w:rPr>
            </w:pPr>
          </w:p>
        </w:tc>
        <w:tc>
          <w:tcPr>
            <w:tcW w:w="3600" w:type="dxa"/>
            <w:noWrap w:val="0"/>
            <w:vAlign w:val="center"/>
          </w:tcPr>
          <w:p w14:paraId="478AFA18">
            <w:pPr>
              <w:keepNext w:val="0"/>
              <w:keepLines w:val="0"/>
              <w:suppressLineNumbers w:val="0"/>
              <w:spacing w:before="0" w:beforeAutospacing="0" w:after="0" w:afterAutospacing="0"/>
              <w:ind w:left="0" w:right="0"/>
              <w:jc w:val="center"/>
              <w:rPr>
                <w:rFonts w:hint="eastAsia" w:ascii="宋体" w:hAnsi="宋体"/>
                <w:color w:val="auto"/>
                <w:szCs w:val="21"/>
              </w:rPr>
            </w:pPr>
          </w:p>
        </w:tc>
        <w:tc>
          <w:tcPr>
            <w:tcW w:w="1952" w:type="dxa"/>
            <w:noWrap w:val="0"/>
            <w:vAlign w:val="center"/>
          </w:tcPr>
          <w:p w14:paraId="5980064E">
            <w:pPr>
              <w:keepNext w:val="0"/>
              <w:keepLines w:val="0"/>
              <w:suppressLineNumbers w:val="0"/>
              <w:spacing w:before="0" w:beforeAutospacing="0" w:after="0" w:afterAutospacing="0"/>
              <w:ind w:left="0" w:right="0"/>
              <w:jc w:val="center"/>
              <w:rPr>
                <w:rFonts w:hint="eastAsia" w:ascii="宋体" w:hAnsi="宋体"/>
                <w:color w:val="auto"/>
                <w:szCs w:val="21"/>
              </w:rPr>
            </w:pPr>
          </w:p>
        </w:tc>
      </w:tr>
      <w:tr w14:paraId="5FD90C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0BC4E7C5">
            <w:pPr>
              <w:keepNext w:val="0"/>
              <w:keepLines w:val="0"/>
              <w:suppressLineNumbers w:val="0"/>
              <w:spacing w:before="0" w:beforeAutospacing="0" w:after="0" w:afterAutospacing="0"/>
              <w:ind w:left="0" w:right="0"/>
              <w:jc w:val="center"/>
              <w:rPr>
                <w:rFonts w:hint="eastAsia" w:ascii="宋体" w:hAnsi="宋体"/>
                <w:color w:val="auto"/>
                <w:szCs w:val="21"/>
              </w:rPr>
            </w:pPr>
          </w:p>
        </w:tc>
        <w:tc>
          <w:tcPr>
            <w:tcW w:w="954" w:type="dxa"/>
            <w:noWrap w:val="0"/>
            <w:vAlign w:val="center"/>
          </w:tcPr>
          <w:p w14:paraId="6ED40A20">
            <w:pPr>
              <w:keepNext w:val="0"/>
              <w:keepLines w:val="0"/>
              <w:suppressLineNumbers w:val="0"/>
              <w:spacing w:before="0" w:beforeAutospacing="0" w:after="0" w:afterAutospacing="0"/>
              <w:ind w:left="0" w:right="0"/>
              <w:jc w:val="center"/>
              <w:rPr>
                <w:rFonts w:hint="eastAsia" w:ascii="宋体" w:hAnsi="宋体"/>
                <w:color w:val="auto"/>
                <w:szCs w:val="21"/>
              </w:rPr>
            </w:pPr>
          </w:p>
        </w:tc>
        <w:tc>
          <w:tcPr>
            <w:tcW w:w="1260" w:type="dxa"/>
            <w:noWrap w:val="0"/>
            <w:vAlign w:val="center"/>
          </w:tcPr>
          <w:p w14:paraId="5A61848D">
            <w:pPr>
              <w:keepNext w:val="0"/>
              <w:keepLines w:val="0"/>
              <w:suppressLineNumbers w:val="0"/>
              <w:spacing w:before="0" w:beforeAutospacing="0" w:after="0" w:afterAutospacing="0"/>
              <w:ind w:left="0" w:right="0"/>
              <w:jc w:val="center"/>
              <w:rPr>
                <w:rFonts w:hint="eastAsia" w:ascii="宋体" w:hAnsi="宋体"/>
                <w:color w:val="auto"/>
                <w:szCs w:val="21"/>
              </w:rPr>
            </w:pPr>
          </w:p>
        </w:tc>
        <w:tc>
          <w:tcPr>
            <w:tcW w:w="3600" w:type="dxa"/>
            <w:noWrap w:val="0"/>
            <w:vAlign w:val="center"/>
          </w:tcPr>
          <w:p w14:paraId="4817BDE5">
            <w:pPr>
              <w:keepNext w:val="0"/>
              <w:keepLines w:val="0"/>
              <w:suppressLineNumbers w:val="0"/>
              <w:spacing w:before="0" w:beforeAutospacing="0" w:after="0" w:afterAutospacing="0"/>
              <w:ind w:left="0" w:right="0"/>
              <w:jc w:val="center"/>
              <w:rPr>
                <w:rFonts w:hint="eastAsia" w:ascii="宋体" w:hAnsi="宋体"/>
                <w:color w:val="auto"/>
                <w:szCs w:val="21"/>
              </w:rPr>
            </w:pPr>
          </w:p>
        </w:tc>
        <w:tc>
          <w:tcPr>
            <w:tcW w:w="1952" w:type="dxa"/>
            <w:noWrap w:val="0"/>
            <w:vAlign w:val="center"/>
          </w:tcPr>
          <w:p w14:paraId="532E0F41">
            <w:pPr>
              <w:keepNext w:val="0"/>
              <w:keepLines w:val="0"/>
              <w:suppressLineNumbers w:val="0"/>
              <w:spacing w:before="0" w:beforeAutospacing="0" w:after="0" w:afterAutospacing="0"/>
              <w:ind w:left="0" w:right="0"/>
              <w:jc w:val="center"/>
              <w:rPr>
                <w:rFonts w:hint="eastAsia" w:ascii="宋体" w:hAnsi="宋体"/>
                <w:color w:val="auto"/>
                <w:szCs w:val="21"/>
              </w:rPr>
            </w:pPr>
          </w:p>
        </w:tc>
      </w:tr>
      <w:tr w14:paraId="1C65C8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restart"/>
            <w:noWrap w:val="0"/>
            <w:vAlign w:val="center"/>
          </w:tcPr>
          <w:p w14:paraId="689578BC">
            <w:pPr>
              <w:keepNext w:val="0"/>
              <w:keepLines w:val="0"/>
              <w:suppressLineNumbers w:val="0"/>
              <w:spacing w:before="0" w:beforeAutospacing="0" w:after="0" w:afterAutospacing="0" w:line="240" w:lineRule="exact"/>
              <w:ind w:left="0" w:right="0"/>
              <w:jc w:val="center"/>
              <w:rPr>
                <w:rFonts w:hint="eastAsia" w:ascii="宋体" w:hAnsi="宋体"/>
                <w:color w:val="auto"/>
                <w:szCs w:val="21"/>
              </w:rPr>
            </w:pPr>
            <w:r>
              <w:rPr>
                <w:rFonts w:hint="eastAsia" w:ascii="宋体" w:hAnsi="宋体"/>
                <w:color w:val="auto"/>
                <w:szCs w:val="21"/>
              </w:rPr>
              <w:t>仲</w:t>
            </w:r>
          </w:p>
          <w:p w14:paraId="5DC21F20">
            <w:pPr>
              <w:keepNext w:val="0"/>
              <w:keepLines w:val="0"/>
              <w:suppressLineNumbers w:val="0"/>
              <w:spacing w:before="0" w:beforeAutospacing="0" w:after="0" w:afterAutospacing="0" w:line="240" w:lineRule="exact"/>
              <w:ind w:left="0" w:right="0"/>
              <w:jc w:val="center"/>
              <w:rPr>
                <w:rFonts w:hint="eastAsia" w:ascii="宋体" w:hAnsi="宋体"/>
                <w:color w:val="auto"/>
                <w:szCs w:val="21"/>
              </w:rPr>
            </w:pPr>
            <w:r>
              <w:rPr>
                <w:rFonts w:hint="eastAsia" w:ascii="宋体" w:hAnsi="宋体"/>
                <w:color w:val="auto"/>
                <w:szCs w:val="21"/>
              </w:rPr>
              <w:t>裁</w:t>
            </w:r>
          </w:p>
          <w:p w14:paraId="64DAC3CD">
            <w:pPr>
              <w:keepNext w:val="0"/>
              <w:keepLines w:val="0"/>
              <w:suppressLineNumbers w:val="0"/>
              <w:spacing w:before="0" w:beforeAutospacing="0" w:after="0" w:afterAutospacing="0" w:line="240" w:lineRule="exact"/>
              <w:ind w:left="0" w:right="0"/>
              <w:jc w:val="center"/>
              <w:rPr>
                <w:rFonts w:hint="eastAsia" w:ascii="宋体" w:hAnsi="宋体"/>
                <w:color w:val="auto"/>
                <w:szCs w:val="21"/>
              </w:rPr>
            </w:pPr>
            <w:r>
              <w:rPr>
                <w:rFonts w:hint="eastAsia" w:ascii="宋体" w:hAnsi="宋体"/>
                <w:color w:val="auto"/>
                <w:szCs w:val="21"/>
              </w:rPr>
              <w:t>情</w:t>
            </w:r>
          </w:p>
          <w:p w14:paraId="74D792DE">
            <w:pPr>
              <w:keepNext w:val="0"/>
              <w:keepLines w:val="0"/>
              <w:suppressLineNumbers w:val="0"/>
              <w:spacing w:before="0" w:beforeAutospacing="0" w:after="0" w:afterAutospacing="0" w:line="240" w:lineRule="exact"/>
              <w:ind w:left="0" w:right="0"/>
              <w:jc w:val="center"/>
              <w:rPr>
                <w:rFonts w:hint="default" w:ascii="宋体" w:hAnsi="宋体"/>
                <w:color w:val="auto"/>
                <w:szCs w:val="21"/>
              </w:rPr>
            </w:pPr>
            <w:r>
              <w:rPr>
                <w:rFonts w:hint="eastAsia" w:ascii="宋体" w:hAnsi="宋体"/>
                <w:color w:val="auto"/>
                <w:szCs w:val="21"/>
              </w:rPr>
              <w:t>况</w:t>
            </w:r>
          </w:p>
        </w:tc>
        <w:tc>
          <w:tcPr>
            <w:tcW w:w="954" w:type="dxa"/>
            <w:noWrap w:val="0"/>
            <w:vAlign w:val="center"/>
          </w:tcPr>
          <w:p w14:paraId="2E55B385">
            <w:pPr>
              <w:keepNext w:val="0"/>
              <w:keepLines w:val="0"/>
              <w:suppressLineNumbers w:val="0"/>
              <w:spacing w:before="0" w:beforeAutospacing="0" w:after="0" w:afterAutospacing="0"/>
              <w:ind w:left="0" w:right="0"/>
              <w:jc w:val="center"/>
              <w:rPr>
                <w:rFonts w:hint="eastAsia" w:ascii="宋体" w:hAnsi="宋体"/>
                <w:color w:val="auto"/>
                <w:szCs w:val="21"/>
              </w:rPr>
            </w:pPr>
          </w:p>
        </w:tc>
        <w:tc>
          <w:tcPr>
            <w:tcW w:w="1260" w:type="dxa"/>
            <w:noWrap w:val="0"/>
            <w:vAlign w:val="center"/>
          </w:tcPr>
          <w:p w14:paraId="00BE27BB">
            <w:pPr>
              <w:keepNext w:val="0"/>
              <w:keepLines w:val="0"/>
              <w:suppressLineNumbers w:val="0"/>
              <w:spacing w:before="0" w:beforeAutospacing="0" w:after="0" w:afterAutospacing="0"/>
              <w:ind w:left="0" w:right="0"/>
              <w:jc w:val="center"/>
              <w:rPr>
                <w:rFonts w:hint="eastAsia" w:ascii="宋体" w:hAnsi="宋体"/>
                <w:color w:val="auto"/>
                <w:szCs w:val="21"/>
              </w:rPr>
            </w:pPr>
          </w:p>
        </w:tc>
        <w:tc>
          <w:tcPr>
            <w:tcW w:w="3600" w:type="dxa"/>
            <w:noWrap w:val="0"/>
            <w:vAlign w:val="center"/>
          </w:tcPr>
          <w:p w14:paraId="61A6D0E1">
            <w:pPr>
              <w:keepNext w:val="0"/>
              <w:keepLines w:val="0"/>
              <w:suppressLineNumbers w:val="0"/>
              <w:spacing w:before="0" w:beforeAutospacing="0" w:after="0" w:afterAutospacing="0"/>
              <w:ind w:left="0" w:right="0"/>
              <w:jc w:val="center"/>
              <w:rPr>
                <w:rFonts w:hint="eastAsia" w:ascii="宋体" w:hAnsi="宋体"/>
                <w:color w:val="auto"/>
                <w:szCs w:val="21"/>
              </w:rPr>
            </w:pPr>
          </w:p>
        </w:tc>
        <w:tc>
          <w:tcPr>
            <w:tcW w:w="1952" w:type="dxa"/>
            <w:noWrap w:val="0"/>
            <w:vAlign w:val="center"/>
          </w:tcPr>
          <w:p w14:paraId="7C5BABC6">
            <w:pPr>
              <w:keepNext w:val="0"/>
              <w:keepLines w:val="0"/>
              <w:suppressLineNumbers w:val="0"/>
              <w:spacing w:before="0" w:beforeAutospacing="0" w:after="0" w:afterAutospacing="0"/>
              <w:ind w:left="0" w:right="0"/>
              <w:jc w:val="center"/>
              <w:rPr>
                <w:rFonts w:hint="eastAsia" w:ascii="宋体" w:hAnsi="宋体"/>
                <w:color w:val="auto"/>
                <w:szCs w:val="21"/>
              </w:rPr>
            </w:pPr>
          </w:p>
        </w:tc>
      </w:tr>
      <w:tr w14:paraId="2E6D1F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0C5D58C0">
            <w:pPr>
              <w:keepNext w:val="0"/>
              <w:keepLines w:val="0"/>
              <w:suppressLineNumbers w:val="0"/>
              <w:spacing w:before="0" w:beforeAutospacing="0" w:after="0" w:afterAutospacing="0"/>
              <w:ind w:left="0" w:right="0"/>
              <w:jc w:val="center"/>
              <w:rPr>
                <w:rFonts w:hint="eastAsia" w:ascii="宋体" w:hAnsi="宋体"/>
                <w:color w:val="auto"/>
                <w:szCs w:val="21"/>
              </w:rPr>
            </w:pPr>
          </w:p>
        </w:tc>
        <w:tc>
          <w:tcPr>
            <w:tcW w:w="954" w:type="dxa"/>
            <w:noWrap w:val="0"/>
            <w:vAlign w:val="center"/>
          </w:tcPr>
          <w:p w14:paraId="71A1E1E9">
            <w:pPr>
              <w:keepNext w:val="0"/>
              <w:keepLines w:val="0"/>
              <w:suppressLineNumbers w:val="0"/>
              <w:spacing w:before="0" w:beforeAutospacing="0" w:after="0" w:afterAutospacing="0"/>
              <w:ind w:left="0" w:right="0"/>
              <w:jc w:val="center"/>
              <w:rPr>
                <w:rFonts w:hint="eastAsia" w:ascii="宋体" w:hAnsi="宋体"/>
                <w:color w:val="auto"/>
                <w:szCs w:val="21"/>
              </w:rPr>
            </w:pPr>
          </w:p>
        </w:tc>
        <w:tc>
          <w:tcPr>
            <w:tcW w:w="1260" w:type="dxa"/>
            <w:noWrap w:val="0"/>
            <w:vAlign w:val="center"/>
          </w:tcPr>
          <w:p w14:paraId="53E4FDA1">
            <w:pPr>
              <w:keepNext w:val="0"/>
              <w:keepLines w:val="0"/>
              <w:suppressLineNumbers w:val="0"/>
              <w:spacing w:before="0" w:beforeAutospacing="0" w:after="0" w:afterAutospacing="0"/>
              <w:ind w:left="0" w:right="0"/>
              <w:jc w:val="center"/>
              <w:rPr>
                <w:rFonts w:hint="eastAsia" w:ascii="宋体" w:hAnsi="宋体"/>
                <w:color w:val="auto"/>
                <w:szCs w:val="21"/>
              </w:rPr>
            </w:pPr>
          </w:p>
        </w:tc>
        <w:tc>
          <w:tcPr>
            <w:tcW w:w="3600" w:type="dxa"/>
            <w:noWrap w:val="0"/>
            <w:vAlign w:val="center"/>
          </w:tcPr>
          <w:p w14:paraId="57743097">
            <w:pPr>
              <w:keepNext w:val="0"/>
              <w:keepLines w:val="0"/>
              <w:suppressLineNumbers w:val="0"/>
              <w:spacing w:before="0" w:beforeAutospacing="0" w:after="0" w:afterAutospacing="0"/>
              <w:ind w:left="0" w:right="0"/>
              <w:jc w:val="center"/>
              <w:rPr>
                <w:rFonts w:hint="eastAsia" w:ascii="宋体" w:hAnsi="宋体"/>
                <w:color w:val="auto"/>
                <w:szCs w:val="21"/>
              </w:rPr>
            </w:pPr>
          </w:p>
        </w:tc>
        <w:tc>
          <w:tcPr>
            <w:tcW w:w="1952" w:type="dxa"/>
            <w:noWrap w:val="0"/>
            <w:vAlign w:val="center"/>
          </w:tcPr>
          <w:p w14:paraId="642B1901">
            <w:pPr>
              <w:keepNext w:val="0"/>
              <w:keepLines w:val="0"/>
              <w:suppressLineNumbers w:val="0"/>
              <w:spacing w:before="0" w:beforeAutospacing="0" w:after="0" w:afterAutospacing="0"/>
              <w:ind w:left="0" w:right="0"/>
              <w:jc w:val="center"/>
              <w:rPr>
                <w:rFonts w:hint="eastAsia" w:ascii="宋体" w:hAnsi="宋体"/>
                <w:color w:val="auto"/>
                <w:szCs w:val="21"/>
              </w:rPr>
            </w:pPr>
          </w:p>
        </w:tc>
      </w:tr>
      <w:tr w14:paraId="0F359F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42C229F2">
            <w:pPr>
              <w:keepNext w:val="0"/>
              <w:keepLines w:val="0"/>
              <w:suppressLineNumbers w:val="0"/>
              <w:spacing w:before="0" w:beforeAutospacing="0" w:after="0" w:afterAutospacing="0"/>
              <w:ind w:left="0" w:right="0"/>
              <w:jc w:val="center"/>
              <w:rPr>
                <w:rFonts w:hint="eastAsia" w:ascii="宋体" w:hAnsi="宋体"/>
                <w:color w:val="auto"/>
                <w:szCs w:val="21"/>
              </w:rPr>
            </w:pPr>
          </w:p>
        </w:tc>
        <w:tc>
          <w:tcPr>
            <w:tcW w:w="954" w:type="dxa"/>
            <w:noWrap w:val="0"/>
            <w:vAlign w:val="center"/>
          </w:tcPr>
          <w:p w14:paraId="3EBE8446">
            <w:pPr>
              <w:keepNext w:val="0"/>
              <w:keepLines w:val="0"/>
              <w:suppressLineNumbers w:val="0"/>
              <w:spacing w:before="0" w:beforeAutospacing="0" w:after="0" w:afterAutospacing="0"/>
              <w:ind w:left="0" w:right="0"/>
              <w:jc w:val="center"/>
              <w:rPr>
                <w:rFonts w:hint="eastAsia" w:ascii="宋体" w:hAnsi="宋体"/>
                <w:color w:val="auto"/>
                <w:szCs w:val="21"/>
              </w:rPr>
            </w:pPr>
          </w:p>
        </w:tc>
        <w:tc>
          <w:tcPr>
            <w:tcW w:w="1260" w:type="dxa"/>
            <w:noWrap w:val="0"/>
            <w:vAlign w:val="center"/>
          </w:tcPr>
          <w:p w14:paraId="6D3A37D5">
            <w:pPr>
              <w:keepNext w:val="0"/>
              <w:keepLines w:val="0"/>
              <w:suppressLineNumbers w:val="0"/>
              <w:spacing w:before="0" w:beforeAutospacing="0" w:after="0" w:afterAutospacing="0"/>
              <w:ind w:left="0" w:right="0"/>
              <w:jc w:val="center"/>
              <w:rPr>
                <w:rFonts w:hint="eastAsia" w:ascii="宋体" w:hAnsi="宋体"/>
                <w:color w:val="auto"/>
                <w:szCs w:val="21"/>
              </w:rPr>
            </w:pPr>
          </w:p>
        </w:tc>
        <w:tc>
          <w:tcPr>
            <w:tcW w:w="3600" w:type="dxa"/>
            <w:noWrap w:val="0"/>
            <w:vAlign w:val="center"/>
          </w:tcPr>
          <w:p w14:paraId="491A5367">
            <w:pPr>
              <w:keepNext w:val="0"/>
              <w:keepLines w:val="0"/>
              <w:suppressLineNumbers w:val="0"/>
              <w:spacing w:before="0" w:beforeAutospacing="0" w:after="0" w:afterAutospacing="0"/>
              <w:ind w:left="0" w:right="0"/>
              <w:jc w:val="center"/>
              <w:rPr>
                <w:rFonts w:hint="eastAsia" w:ascii="宋体" w:hAnsi="宋体"/>
                <w:color w:val="auto"/>
                <w:szCs w:val="21"/>
              </w:rPr>
            </w:pPr>
          </w:p>
        </w:tc>
        <w:tc>
          <w:tcPr>
            <w:tcW w:w="1952" w:type="dxa"/>
            <w:noWrap w:val="0"/>
            <w:vAlign w:val="center"/>
          </w:tcPr>
          <w:p w14:paraId="37A0F9F7">
            <w:pPr>
              <w:keepNext w:val="0"/>
              <w:keepLines w:val="0"/>
              <w:suppressLineNumbers w:val="0"/>
              <w:spacing w:before="0" w:beforeAutospacing="0" w:after="0" w:afterAutospacing="0"/>
              <w:ind w:left="0" w:right="0"/>
              <w:jc w:val="center"/>
              <w:rPr>
                <w:rFonts w:hint="eastAsia" w:ascii="宋体" w:hAnsi="宋体"/>
                <w:color w:val="auto"/>
                <w:szCs w:val="21"/>
              </w:rPr>
            </w:pPr>
          </w:p>
        </w:tc>
      </w:tr>
    </w:tbl>
    <w:p w14:paraId="306E4DFA">
      <w:pPr>
        <w:spacing w:line="400" w:lineRule="exact"/>
        <w:ind w:left="840" w:hanging="840" w:hangingChars="400"/>
        <w:rPr>
          <w:rFonts w:ascii="宋体" w:hAnsi="宋体"/>
          <w:color w:val="auto"/>
          <w:szCs w:val="21"/>
        </w:rPr>
      </w:pPr>
      <w:r>
        <w:rPr>
          <w:rFonts w:hint="eastAsia" w:ascii="宋体" w:hAnsi="宋体"/>
          <w:color w:val="auto"/>
          <w:szCs w:val="21"/>
        </w:rPr>
        <w:t>备注：</w:t>
      </w:r>
      <w:r>
        <w:rPr>
          <w:rFonts w:hint="eastAsia"/>
          <w:color w:val="auto"/>
          <w:szCs w:val="21"/>
        </w:rPr>
        <w:t>1.招标文件将近年发生的诉讼和仲裁情况作为资格条件或评审项或否决条件的，投标人应当如实填报相关情况。没有可不填。</w:t>
      </w:r>
    </w:p>
    <w:p w14:paraId="31878CA8">
      <w:pPr>
        <w:spacing w:line="400" w:lineRule="exact"/>
        <w:ind w:left="840" w:leftChars="300" w:hanging="210" w:hangingChars="100"/>
        <w:rPr>
          <w:rFonts w:hint="eastAsia"/>
          <w:color w:val="auto"/>
          <w:szCs w:val="21"/>
        </w:rPr>
      </w:pPr>
      <w:r>
        <w:rPr>
          <w:rFonts w:hint="eastAsia"/>
          <w:color w:val="auto"/>
          <w:szCs w:val="21"/>
        </w:rPr>
        <w:t>2.近年发生的诉讼和仲裁情况仅限于申请人败诉的，且可能直接影响正常合同履约有关的案件，不包括调解结案、未终审判决的诉讼或未裁决的仲裁以及与合同履约无直接关联案件。附法院或仲裁机构作出的判决或裁决等有关法律文书。时间为判决或仲裁决定时间。</w:t>
      </w:r>
    </w:p>
    <w:p w14:paraId="6AA3C25C">
      <w:pPr>
        <w:spacing w:line="400" w:lineRule="exact"/>
        <w:ind w:left="840" w:leftChars="300" w:hanging="210" w:hangingChars="100"/>
        <w:rPr>
          <w:rFonts w:hint="eastAsia" w:ascii="宋体" w:hAnsi="宋体"/>
          <w:color w:val="auto"/>
          <w:szCs w:val="21"/>
        </w:rPr>
        <w:sectPr>
          <w:footerReference r:id="rId53" w:type="default"/>
          <w:pgSz w:w="11906" w:h="16838"/>
          <w:pgMar w:top="1440" w:right="1800" w:bottom="1440" w:left="1800" w:header="851" w:footer="992" w:gutter="0"/>
          <w:pgNumType w:fmt="decimal"/>
          <w:cols w:space="425" w:num="1"/>
          <w:docGrid w:type="lines" w:linePitch="312" w:charSpace="0"/>
        </w:sectPr>
      </w:pPr>
      <w:r>
        <w:rPr>
          <w:rFonts w:hint="eastAsia"/>
          <w:color w:val="auto"/>
          <w:szCs w:val="21"/>
        </w:rPr>
        <w:t>3.投标人应如实填写近年发生的诉讼及仲裁情况，否则视为不响应招标文件实质性要求，其投标文件将被否决。如投标人因故意隐瞒且查证属实存在影响履约的诉讼及仲裁情况，将视为弄虚作假或以不正当手段骗取中标的行为，将依法依规予以处理。</w:t>
      </w:r>
    </w:p>
    <w:p w14:paraId="5314B140">
      <w:pPr>
        <w:pStyle w:val="27"/>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color w:val="auto"/>
        </w:rPr>
      </w:pPr>
      <w:bookmarkStart w:id="2043" w:name="_Toc122603101"/>
      <w:r>
        <w:rPr>
          <w:rFonts w:hint="default"/>
          <w:color w:val="auto"/>
          <w:szCs w:val="24"/>
        </w:rPr>
        <w:t>5-3</w:t>
      </w:r>
      <w:r>
        <w:rPr>
          <w:rFonts w:hint="eastAsia"/>
          <w:color w:val="auto"/>
          <w:szCs w:val="24"/>
        </w:rPr>
        <w:t xml:space="preserve"> 近年投标人工程获奖</w:t>
      </w:r>
      <w:r>
        <w:rPr>
          <w:color w:val="auto"/>
          <w:szCs w:val="24"/>
        </w:rPr>
        <w:t>情况表</w:t>
      </w:r>
      <w:bookmarkEnd w:id="2043"/>
    </w:p>
    <w:tbl>
      <w:tblPr>
        <w:tblStyle w:val="18"/>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2402"/>
        <w:gridCol w:w="1800"/>
        <w:gridCol w:w="1440"/>
        <w:gridCol w:w="2160"/>
      </w:tblGrid>
      <w:tr w14:paraId="61D7E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66" w:type="dxa"/>
            <w:noWrap w:val="0"/>
            <w:vAlign w:val="top"/>
          </w:tcPr>
          <w:p w14:paraId="3D6CD8A1">
            <w:pPr>
              <w:topLinePunct/>
              <w:spacing w:line="400" w:lineRule="atLeast"/>
              <w:jc w:val="center"/>
              <w:rPr>
                <w:rFonts w:hint="eastAsia"/>
                <w:color w:val="auto"/>
                <w:szCs w:val="21"/>
              </w:rPr>
            </w:pPr>
            <w:r>
              <w:rPr>
                <w:rFonts w:hint="eastAsia"/>
                <w:color w:val="auto"/>
                <w:szCs w:val="21"/>
              </w:rPr>
              <w:t>序号</w:t>
            </w:r>
          </w:p>
        </w:tc>
        <w:tc>
          <w:tcPr>
            <w:tcW w:w="2402" w:type="dxa"/>
            <w:noWrap w:val="0"/>
            <w:vAlign w:val="top"/>
          </w:tcPr>
          <w:p w14:paraId="6D80D6B0">
            <w:pPr>
              <w:topLinePunct/>
              <w:spacing w:line="400" w:lineRule="atLeast"/>
              <w:jc w:val="center"/>
              <w:rPr>
                <w:rFonts w:hint="eastAsia"/>
                <w:color w:val="auto"/>
                <w:szCs w:val="21"/>
              </w:rPr>
            </w:pPr>
            <w:r>
              <w:rPr>
                <w:rFonts w:hint="eastAsia"/>
                <w:color w:val="auto"/>
                <w:szCs w:val="21"/>
              </w:rPr>
              <w:t>项目名称</w:t>
            </w:r>
          </w:p>
        </w:tc>
        <w:tc>
          <w:tcPr>
            <w:tcW w:w="1800" w:type="dxa"/>
            <w:noWrap w:val="0"/>
            <w:vAlign w:val="top"/>
          </w:tcPr>
          <w:p w14:paraId="68DBF912">
            <w:pPr>
              <w:topLinePunct/>
              <w:spacing w:line="400" w:lineRule="atLeast"/>
              <w:jc w:val="center"/>
              <w:rPr>
                <w:rFonts w:hint="eastAsia"/>
                <w:color w:val="auto"/>
                <w:szCs w:val="21"/>
              </w:rPr>
            </w:pPr>
            <w:r>
              <w:rPr>
                <w:rFonts w:hint="eastAsia"/>
                <w:color w:val="auto"/>
                <w:szCs w:val="21"/>
              </w:rPr>
              <w:t>获奖名称</w:t>
            </w:r>
          </w:p>
        </w:tc>
        <w:tc>
          <w:tcPr>
            <w:tcW w:w="1440" w:type="dxa"/>
            <w:noWrap w:val="0"/>
            <w:vAlign w:val="top"/>
          </w:tcPr>
          <w:p w14:paraId="520F84CB">
            <w:pPr>
              <w:topLinePunct/>
              <w:spacing w:line="400" w:lineRule="atLeast"/>
              <w:jc w:val="center"/>
              <w:rPr>
                <w:rFonts w:hint="eastAsia"/>
                <w:color w:val="auto"/>
                <w:szCs w:val="21"/>
              </w:rPr>
            </w:pPr>
            <w:r>
              <w:rPr>
                <w:rFonts w:hint="eastAsia"/>
                <w:color w:val="auto"/>
                <w:szCs w:val="21"/>
              </w:rPr>
              <w:t>获奖日期</w:t>
            </w:r>
          </w:p>
        </w:tc>
        <w:tc>
          <w:tcPr>
            <w:tcW w:w="2160" w:type="dxa"/>
            <w:noWrap w:val="0"/>
            <w:vAlign w:val="top"/>
          </w:tcPr>
          <w:p w14:paraId="66365AC2">
            <w:pPr>
              <w:topLinePunct/>
              <w:spacing w:line="400" w:lineRule="atLeast"/>
              <w:jc w:val="center"/>
              <w:rPr>
                <w:rFonts w:hint="eastAsia"/>
                <w:color w:val="auto"/>
                <w:szCs w:val="21"/>
              </w:rPr>
            </w:pPr>
            <w:r>
              <w:rPr>
                <w:rFonts w:hint="eastAsia"/>
                <w:color w:val="auto"/>
                <w:szCs w:val="21"/>
              </w:rPr>
              <w:t>颁奖单位</w:t>
            </w:r>
          </w:p>
        </w:tc>
      </w:tr>
      <w:tr w14:paraId="1CA51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36E16CC5">
            <w:pPr>
              <w:topLinePunct/>
              <w:spacing w:line="400" w:lineRule="atLeast"/>
              <w:jc w:val="center"/>
              <w:rPr>
                <w:color w:val="auto"/>
                <w:szCs w:val="21"/>
              </w:rPr>
            </w:pPr>
          </w:p>
        </w:tc>
        <w:tc>
          <w:tcPr>
            <w:tcW w:w="2402" w:type="dxa"/>
            <w:noWrap w:val="0"/>
            <w:vAlign w:val="top"/>
          </w:tcPr>
          <w:p w14:paraId="0896AB0A">
            <w:pPr>
              <w:topLinePunct/>
              <w:spacing w:line="400" w:lineRule="atLeast"/>
              <w:jc w:val="center"/>
              <w:rPr>
                <w:color w:val="auto"/>
                <w:szCs w:val="21"/>
              </w:rPr>
            </w:pPr>
          </w:p>
        </w:tc>
        <w:tc>
          <w:tcPr>
            <w:tcW w:w="1800" w:type="dxa"/>
            <w:noWrap w:val="0"/>
            <w:vAlign w:val="top"/>
          </w:tcPr>
          <w:p w14:paraId="5581A4F7">
            <w:pPr>
              <w:topLinePunct/>
              <w:spacing w:line="400" w:lineRule="atLeast"/>
              <w:jc w:val="center"/>
              <w:rPr>
                <w:color w:val="auto"/>
                <w:szCs w:val="21"/>
              </w:rPr>
            </w:pPr>
          </w:p>
        </w:tc>
        <w:tc>
          <w:tcPr>
            <w:tcW w:w="1440" w:type="dxa"/>
            <w:noWrap w:val="0"/>
            <w:vAlign w:val="top"/>
          </w:tcPr>
          <w:p w14:paraId="026560EE">
            <w:pPr>
              <w:topLinePunct/>
              <w:spacing w:line="400" w:lineRule="atLeast"/>
              <w:jc w:val="center"/>
              <w:rPr>
                <w:color w:val="auto"/>
                <w:szCs w:val="21"/>
              </w:rPr>
            </w:pPr>
          </w:p>
        </w:tc>
        <w:tc>
          <w:tcPr>
            <w:tcW w:w="2160" w:type="dxa"/>
            <w:noWrap w:val="0"/>
            <w:vAlign w:val="top"/>
          </w:tcPr>
          <w:p w14:paraId="1A5EDF5A">
            <w:pPr>
              <w:topLinePunct/>
              <w:spacing w:line="400" w:lineRule="atLeast"/>
              <w:jc w:val="center"/>
              <w:rPr>
                <w:color w:val="auto"/>
                <w:szCs w:val="21"/>
              </w:rPr>
            </w:pPr>
          </w:p>
        </w:tc>
      </w:tr>
      <w:tr w14:paraId="0EAAA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2D8BC44B">
            <w:pPr>
              <w:topLinePunct/>
              <w:spacing w:line="400" w:lineRule="atLeast"/>
              <w:jc w:val="center"/>
              <w:rPr>
                <w:color w:val="auto"/>
                <w:szCs w:val="21"/>
              </w:rPr>
            </w:pPr>
          </w:p>
        </w:tc>
        <w:tc>
          <w:tcPr>
            <w:tcW w:w="2402" w:type="dxa"/>
            <w:noWrap w:val="0"/>
            <w:vAlign w:val="top"/>
          </w:tcPr>
          <w:p w14:paraId="02415D2D">
            <w:pPr>
              <w:topLinePunct/>
              <w:spacing w:line="400" w:lineRule="atLeast"/>
              <w:jc w:val="center"/>
              <w:rPr>
                <w:color w:val="auto"/>
                <w:szCs w:val="21"/>
              </w:rPr>
            </w:pPr>
          </w:p>
        </w:tc>
        <w:tc>
          <w:tcPr>
            <w:tcW w:w="1800" w:type="dxa"/>
            <w:noWrap w:val="0"/>
            <w:vAlign w:val="top"/>
          </w:tcPr>
          <w:p w14:paraId="4DCF6E25">
            <w:pPr>
              <w:topLinePunct/>
              <w:spacing w:line="400" w:lineRule="atLeast"/>
              <w:jc w:val="center"/>
              <w:rPr>
                <w:color w:val="auto"/>
                <w:szCs w:val="21"/>
              </w:rPr>
            </w:pPr>
          </w:p>
        </w:tc>
        <w:tc>
          <w:tcPr>
            <w:tcW w:w="1440" w:type="dxa"/>
            <w:noWrap w:val="0"/>
            <w:vAlign w:val="top"/>
          </w:tcPr>
          <w:p w14:paraId="6E9764F4">
            <w:pPr>
              <w:topLinePunct/>
              <w:spacing w:line="400" w:lineRule="atLeast"/>
              <w:jc w:val="center"/>
              <w:rPr>
                <w:color w:val="auto"/>
                <w:szCs w:val="21"/>
              </w:rPr>
            </w:pPr>
          </w:p>
        </w:tc>
        <w:tc>
          <w:tcPr>
            <w:tcW w:w="2160" w:type="dxa"/>
            <w:noWrap w:val="0"/>
            <w:vAlign w:val="top"/>
          </w:tcPr>
          <w:p w14:paraId="24C7C713">
            <w:pPr>
              <w:topLinePunct/>
              <w:spacing w:line="400" w:lineRule="atLeast"/>
              <w:jc w:val="center"/>
              <w:rPr>
                <w:color w:val="auto"/>
                <w:szCs w:val="21"/>
              </w:rPr>
            </w:pPr>
          </w:p>
        </w:tc>
      </w:tr>
      <w:tr w14:paraId="603BD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0F9C3896">
            <w:pPr>
              <w:topLinePunct/>
              <w:spacing w:line="400" w:lineRule="atLeast"/>
              <w:jc w:val="center"/>
              <w:rPr>
                <w:color w:val="auto"/>
                <w:szCs w:val="21"/>
              </w:rPr>
            </w:pPr>
          </w:p>
        </w:tc>
        <w:tc>
          <w:tcPr>
            <w:tcW w:w="2402" w:type="dxa"/>
            <w:noWrap w:val="0"/>
            <w:vAlign w:val="top"/>
          </w:tcPr>
          <w:p w14:paraId="46C61E32">
            <w:pPr>
              <w:topLinePunct/>
              <w:spacing w:line="400" w:lineRule="atLeast"/>
              <w:jc w:val="center"/>
              <w:rPr>
                <w:color w:val="auto"/>
                <w:szCs w:val="21"/>
              </w:rPr>
            </w:pPr>
          </w:p>
        </w:tc>
        <w:tc>
          <w:tcPr>
            <w:tcW w:w="1800" w:type="dxa"/>
            <w:noWrap w:val="0"/>
            <w:vAlign w:val="top"/>
          </w:tcPr>
          <w:p w14:paraId="1AD3505C">
            <w:pPr>
              <w:topLinePunct/>
              <w:spacing w:line="400" w:lineRule="atLeast"/>
              <w:jc w:val="center"/>
              <w:rPr>
                <w:color w:val="auto"/>
                <w:szCs w:val="21"/>
              </w:rPr>
            </w:pPr>
          </w:p>
        </w:tc>
        <w:tc>
          <w:tcPr>
            <w:tcW w:w="1440" w:type="dxa"/>
            <w:noWrap w:val="0"/>
            <w:vAlign w:val="top"/>
          </w:tcPr>
          <w:p w14:paraId="670B080E">
            <w:pPr>
              <w:topLinePunct/>
              <w:spacing w:line="400" w:lineRule="atLeast"/>
              <w:jc w:val="center"/>
              <w:rPr>
                <w:color w:val="auto"/>
                <w:szCs w:val="21"/>
              </w:rPr>
            </w:pPr>
          </w:p>
        </w:tc>
        <w:tc>
          <w:tcPr>
            <w:tcW w:w="2160" w:type="dxa"/>
            <w:noWrap w:val="0"/>
            <w:vAlign w:val="top"/>
          </w:tcPr>
          <w:p w14:paraId="5930391E">
            <w:pPr>
              <w:topLinePunct/>
              <w:spacing w:line="400" w:lineRule="atLeast"/>
              <w:jc w:val="center"/>
              <w:rPr>
                <w:color w:val="auto"/>
                <w:szCs w:val="21"/>
              </w:rPr>
            </w:pPr>
          </w:p>
        </w:tc>
      </w:tr>
      <w:tr w14:paraId="68331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08804D31">
            <w:pPr>
              <w:topLinePunct/>
              <w:spacing w:line="400" w:lineRule="atLeast"/>
              <w:jc w:val="center"/>
              <w:rPr>
                <w:color w:val="auto"/>
                <w:szCs w:val="21"/>
              </w:rPr>
            </w:pPr>
          </w:p>
        </w:tc>
        <w:tc>
          <w:tcPr>
            <w:tcW w:w="2402" w:type="dxa"/>
            <w:noWrap w:val="0"/>
            <w:vAlign w:val="top"/>
          </w:tcPr>
          <w:p w14:paraId="24FE4647">
            <w:pPr>
              <w:topLinePunct/>
              <w:spacing w:line="400" w:lineRule="atLeast"/>
              <w:jc w:val="center"/>
              <w:rPr>
                <w:color w:val="auto"/>
                <w:szCs w:val="21"/>
              </w:rPr>
            </w:pPr>
          </w:p>
        </w:tc>
        <w:tc>
          <w:tcPr>
            <w:tcW w:w="1800" w:type="dxa"/>
            <w:noWrap w:val="0"/>
            <w:vAlign w:val="top"/>
          </w:tcPr>
          <w:p w14:paraId="20E74E01">
            <w:pPr>
              <w:topLinePunct/>
              <w:spacing w:line="400" w:lineRule="atLeast"/>
              <w:jc w:val="center"/>
              <w:rPr>
                <w:color w:val="auto"/>
                <w:szCs w:val="21"/>
              </w:rPr>
            </w:pPr>
          </w:p>
        </w:tc>
        <w:tc>
          <w:tcPr>
            <w:tcW w:w="1440" w:type="dxa"/>
            <w:noWrap w:val="0"/>
            <w:vAlign w:val="top"/>
          </w:tcPr>
          <w:p w14:paraId="49AB7A93">
            <w:pPr>
              <w:topLinePunct/>
              <w:spacing w:line="400" w:lineRule="atLeast"/>
              <w:jc w:val="center"/>
              <w:rPr>
                <w:color w:val="auto"/>
                <w:szCs w:val="21"/>
              </w:rPr>
            </w:pPr>
          </w:p>
        </w:tc>
        <w:tc>
          <w:tcPr>
            <w:tcW w:w="2160" w:type="dxa"/>
            <w:noWrap w:val="0"/>
            <w:vAlign w:val="top"/>
          </w:tcPr>
          <w:p w14:paraId="3590678B">
            <w:pPr>
              <w:topLinePunct/>
              <w:spacing w:line="400" w:lineRule="atLeast"/>
              <w:jc w:val="center"/>
              <w:rPr>
                <w:color w:val="auto"/>
                <w:szCs w:val="21"/>
              </w:rPr>
            </w:pPr>
          </w:p>
        </w:tc>
      </w:tr>
      <w:tr w14:paraId="655F8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3BAE70FF">
            <w:pPr>
              <w:topLinePunct/>
              <w:spacing w:line="400" w:lineRule="atLeast"/>
              <w:jc w:val="center"/>
              <w:rPr>
                <w:color w:val="auto"/>
                <w:szCs w:val="21"/>
              </w:rPr>
            </w:pPr>
          </w:p>
        </w:tc>
        <w:tc>
          <w:tcPr>
            <w:tcW w:w="2402" w:type="dxa"/>
            <w:noWrap w:val="0"/>
            <w:vAlign w:val="top"/>
          </w:tcPr>
          <w:p w14:paraId="0F644B4C">
            <w:pPr>
              <w:topLinePunct/>
              <w:spacing w:line="400" w:lineRule="atLeast"/>
              <w:jc w:val="center"/>
              <w:rPr>
                <w:color w:val="auto"/>
                <w:szCs w:val="21"/>
              </w:rPr>
            </w:pPr>
          </w:p>
        </w:tc>
        <w:tc>
          <w:tcPr>
            <w:tcW w:w="1800" w:type="dxa"/>
            <w:noWrap w:val="0"/>
            <w:vAlign w:val="top"/>
          </w:tcPr>
          <w:p w14:paraId="143E8A46">
            <w:pPr>
              <w:topLinePunct/>
              <w:spacing w:line="400" w:lineRule="atLeast"/>
              <w:jc w:val="center"/>
              <w:rPr>
                <w:color w:val="auto"/>
                <w:szCs w:val="21"/>
              </w:rPr>
            </w:pPr>
          </w:p>
        </w:tc>
        <w:tc>
          <w:tcPr>
            <w:tcW w:w="1440" w:type="dxa"/>
            <w:noWrap w:val="0"/>
            <w:vAlign w:val="top"/>
          </w:tcPr>
          <w:p w14:paraId="7FC4FF98">
            <w:pPr>
              <w:topLinePunct/>
              <w:spacing w:line="400" w:lineRule="atLeast"/>
              <w:jc w:val="center"/>
              <w:rPr>
                <w:color w:val="auto"/>
                <w:szCs w:val="21"/>
              </w:rPr>
            </w:pPr>
          </w:p>
        </w:tc>
        <w:tc>
          <w:tcPr>
            <w:tcW w:w="2160" w:type="dxa"/>
            <w:noWrap w:val="0"/>
            <w:vAlign w:val="top"/>
          </w:tcPr>
          <w:p w14:paraId="3A819358">
            <w:pPr>
              <w:topLinePunct/>
              <w:spacing w:line="400" w:lineRule="atLeast"/>
              <w:jc w:val="center"/>
              <w:rPr>
                <w:color w:val="auto"/>
                <w:szCs w:val="21"/>
              </w:rPr>
            </w:pPr>
          </w:p>
        </w:tc>
      </w:tr>
      <w:tr w14:paraId="1C267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3E0744A7">
            <w:pPr>
              <w:topLinePunct/>
              <w:spacing w:line="400" w:lineRule="atLeast"/>
              <w:jc w:val="center"/>
              <w:rPr>
                <w:color w:val="auto"/>
                <w:szCs w:val="21"/>
              </w:rPr>
            </w:pPr>
          </w:p>
        </w:tc>
        <w:tc>
          <w:tcPr>
            <w:tcW w:w="2402" w:type="dxa"/>
            <w:noWrap w:val="0"/>
            <w:vAlign w:val="top"/>
          </w:tcPr>
          <w:p w14:paraId="422C91D1">
            <w:pPr>
              <w:topLinePunct/>
              <w:spacing w:line="400" w:lineRule="atLeast"/>
              <w:jc w:val="center"/>
              <w:rPr>
                <w:color w:val="auto"/>
                <w:szCs w:val="21"/>
              </w:rPr>
            </w:pPr>
          </w:p>
        </w:tc>
        <w:tc>
          <w:tcPr>
            <w:tcW w:w="1800" w:type="dxa"/>
            <w:noWrap w:val="0"/>
            <w:vAlign w:val="top"/>
          </w:tcPr>
          <w:p w14:paraId="2B49E180">
            <w:pPr>
              <w:topLinePunct/>
              <w:spacing w:line="400" w:lineRule="atLeast"/>
              <w:jc w:val="center"/>
              <w:rPr>
                <w:color w:val="auto"/>
                <w:szCs w:val="21"/>
              </w:rPr>
            </w:pPr>
          </w:p>
        </w:tc>
        <w:tc>
          <w:tcPr>
            <w:tcW w:w="1440" w:type="dxa"/>
            <w:noWrap w:val="0"/>
            <w:vAlign w:val="top"/>
          </w:tcPr>
          <w:p w14:paraId="55824017">
            <w:pPr>
              <w:topLinePunct/>
              <w:spacing w:line="400" w:lineRule="atLeast"/>
              <w:jc w:val="center"/>
              <w:rPr>
                <w:color w:val="auto"/>
                <w:szCs w:val="21"/>
              </w:rPr>
            </w:pPr>
          </w:p>
        </w:tc>
        <w:tc>
          <w:tcPr>
            <w:tcW w:w="2160" w:type="dxa"/>
            <w:noWrap w:val="0"/>
            <w:vAlign w:val="top"/>
          </w:tcPr>
          <w:p w14:paraId="18CDB014">
            <w:pPr>
              <w:topLinePunct/>
              <w:spacing w:line="400" w:lineRule="atLeast"/>
              <w:jc w:val="center"/>
              <w:rPr>
                <w:color w:val="auto"/>
                <w:szCs w:val="21"/>
              </w:rPr>
            </w:pPr>
          </w:p>
        </w:tc>
      </w:tr>
      <w:tr w14:paraId="2961E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32A3966A">
            <w:pPr>
              <w:topLinePunct/>
              <w:spacing w:line="400" w:lineRule="atLeast"/>
              <w:jc w:val="center"/>
              <w:rPr>
                <w:color w:val="auto"/>
                <w:szCs w:val="21"/>
              </w:rPr>
            </w:pPr>
          </w:p>
        </w:tc>
        <w:tc>
          <w:tcPr>
            <w:tcW w:w="2402" w:type="dxa"/>
            <w:noWrap w:val="0"/>
            <w:vAlign w:val="top"/>
          </w:tcPr>
          <w:p w14:paraId="2018D05F">
            <w:pPr>
              <w:topLinePunct/>
              <w:spacing w:line="400" w:lineRule="atLeast"/>
              <w:jc w:val="center"/>
              <w:rPr>
                <w:color w:val="auto"/>
                <w:szCs w:val="21"/>
              </w:rPr>
            </w:pPr>
          </w:p>
        </w:tc>
        <w:tc>
          <w:tcPr>
            <w:tcW w:w="1800" w:type="dxa"/>
            <w:noWrap w:val="0"/>
            <w:vAlign w:val="top"/>
          </w:tcPr>
          <w:p w14:paraId="0B6902D2">
            <w:pPr>
              <w:topLinePunct/>
              <w:spacing w:line="400" w:lineRule="atLeast"/>
              <w:jc w:val="center"/>
              <w:rPr>
                <w:color w:val="auto"/>
                <w:szCs w:val="21"/>
              </w:rPr>
            </w:pPr>
          </w:p>
        </w:tc>
        <w:tc>
          <w:tcPr>
            <w:tcW w:w="1440" w:type="dxa"/>
            <w:noWrap w:val="0"/>
            <w:vAlign w:val="top"/>
          </w:tcPr>
          <w:p w14:paraId="5405290C">
            <w:pPr>
              <w:topLinePunct/>
              <w:spacing w:line="400" w:lineRule="atLeast"/>
              <w:jc w:val="center"/>
              <w:rPr>
                <w:color w:val="auto"/>
                <w:szCs w:val="21"/>
              </w:rPr>
            </w:pPr>
          </w:p>
        </w:tc>
        <w:tc>
          <w:tcPr>
            <w:tcW w:w="2160" w:type="dxa"/>
            <w:noWrap w:val="0"/>
            <w:vAlign w:val="top"/>
          </w:tcPr>
          <w:p w14:paraId="1D98702A">
            <w:pPr>
              <w:topLinePunct/>
              <w:spacing w:line="400" w:lineRule="atLeast"/>
              <w:jc w:val="center"/>
              <w:rPr>
                <w:color w:val="auto"/>
                <w:szCs w:val="21"/>
              </w:rPr>
            </w:pPr>
          </w:p>
        </w:tc>
      </w:tr>
      <w:tr w14:paraId="280BA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186E5A90">
            <w:pPr>
              <w:topLinePunct/>
              <w:spacing w:line="400" w:lineRule="atLeast"/>
              <w:jc w:val="center"/>
              <w:rPr>
                <w:color w:val="auto"/>
                <w:szCs w:val="21"/>
              </w:rPr>
            </w:pPr>
          </w:p>
        </w:tc>
        <w:tc>
          <w:tcPr>
            <w:tcW w:w="2402" w:type="dxa"/>
            <w:noWrap w:val="0"/>
            <w:vAlign w:val="top"/>
          </w:tcPr>
          <w:p w14:paraId="362EB897">
            <w:pPr>
              <w:topLinePunct/>
              <w:spacing w:line="400" w:lineRule="atLeast"/>
              <w:jc w:val="center"/>
              <w:rPr>
                <w:color w:val="auto"/>
                <w:szCs w:val="21"/>
              </w:rPr>
            </w:pPr>
          </w:p>
        </w:tc>
        <w:tc>
          <w:tcPr>
            <w:tcW w:w="1800" w:type="dxa"/>
            <w:noWrap w:val="0"/>
            <w:vAlign w:val="top"/>
          </w:tcPr>
          <w:p w14:paraId="296D538D">
            <w:pPr>
              <w:topLinePunct/>
              <w:spacing w:line="400" w:lineRule="atLeast"/>
              <w:jc w:val="center"/>
              <w:rPr>
                <w:color w:val="auto"/>
                <w:szCs w:val="21"/>
              </w:rPr>
            </w:pPr>
          </w:p>
        </w:tc>
        <w:tc>
          <w:tcPr>
            <w:tcW w:w="1440" w:type="dxa"/>
            <w:noWrap w:val="0"/>
            <w:vAlign w:val="top"/>
          </w:tcPr>
          <w:p w14:paraId="41E67219">
            <w:pPr>
              <w:topLinePunct/>
              <w:spacing w:line="400" w:lineRule="atLeast"/>
              <w:jc w:val="center"/>
              <w:rPr>
                <w:color w:val="auto"/>
                <w:szCs w:val="21"/>
              </w:rPr>
            </w:pPr>
          </w:p>
        </w:tc>
        <w:tc>
          <w:tcPr>
            <w:tcW w:w="2160" w:type="dxa"/>
            <w:noWrap w:val="0"/>
            <w:vAlign w:val="top"/>
          </w:tcPr>
          <w:p w14:paraId="320E60AC">
            <w:pPr>
              <w:topLinePunct/>
              <w:spacing w:line="400" w:lineRule="atLeast"/>
              <w:jc w:val="center"/>
              <w:rPr>
                <w:color w:val="auto"/>
                <w:szCs w:val="21"/>
              </w:rPr>
            </w:pPr>
          </w:p>
        </w:tc>
      </w:tr>
      <w:tr w14:paraId="035C3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4DF41AE8">
            <w:pPr>
              <w:topLinePunct/>
              <w:spacing w:line="400" w:lineRule="atLeast"/>
              <w:jc w:val="center"/>
              <w:rPr>
                <w:color w:val="auto"/>
                <w:szCs w:val="21"/>
              </w:rPr>
            </w:pPr>
          </w:p>
        </w:tc>
        <w:tc>
          <w:tcPr>
            <w:tcW w:w="2402" w:type="dxa"/>
            <w:noWrap w:val="0"/>
            <w:vAlign w:val="top"/>
          </w:tcPr>
          <w:p w14:paraId="69A62D38">
            <w:pPr>
              <w:topLinePunct/>
              <w:spacing w:line="400" w:lineRule="atLeast"/>
              <w:jc w:val="center"/>
              <w:rPr>
                <w:color w:val="auto"/>
                <w:szCs w:val="21"/>
              </w:rPr>
            </w:pPr>
          </w:p>
        </w:tc>
        <w:tc>
          <w:tcPr>
            <w:tcW w:w="1800" w:type="dxa"/>
            <w:noWrap w:val="0"/>
            <w:vAlign w:val="top"/>
          </w:tcPr>
          <w:p w14:paraId="0D11C219">
            <w:pPr>
              <w:topLinePunct/>
              <w:spacing w:line="400" w:lineRule="atLeast"/>
              <w:jc w:val="center"/>
              <w:rPr>
                <w:color w:val="auto"/>
                <w:szCs w:val="21"/>
              </w:rPr>
            </w:pPr>
          </w:p>
        </w:tc>
        <w:tc>
          <w:tcPr>
            <w:tcW w:w="1440" w:type="dxa"/>
            <w:noWrap w:val="0"/>
            <w:vAlign w:val="top"/>
          </w:tcPr>
          <w:p w14:paraId="710AF7C6">
            <w:pPr>
              <w:topLinePunct/>
              <w:spacing w:line="400" w:lineRule="atLeast"/>
              <w:jc w:val="center"/>
              <w:rPr>
                <w:color w:val="auto"/>
                <w:szCs w:val="21"/>
              </w:rPr>
            </w:pPr>
          </w:p>
        </w:tc>
        <w:tc>
          <w:tcPr>
            <w:tcW w:w="2160" w:type="dxa"/>
            <w:noWrap w:val="0"/>
            <w:vAlign w:val="top"/>
          </w:tcPr>
          <w:p w14:paraId="3C96431D">
            <w:pPr>
              <w:topLinePunct/>
              <w:spacing w:line="400" w:lineRule="atLeast"/>
              <w:jc w:val="center"/>
              <w:rPr>
                <w:color w:val="auto"/>
                <w:szCs w:val="21"/>
              </w:rPr>
            </w:pPr>
          </w:p>
        </w:tc>
      </w:tr>
      <w:tr w14:paraId="61FFF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0E26A9D3">
            <w:pPr>
              <w:topLinePunct/>
              <w:spacing w:line="400" w:lineRule="atLeast"/>
              <w:jc w:val="center"/>
              <w:rPr>
                <w:color w:val="auto"/>
                <w:szCs w:val="21"/>
              </w:rPr>
            </w:pPr>
          </w:p>
        </w:tc>
        <w:tc>
          <w:tcPr>
            <w:tcW w:w="2402" w:type="dxa"/>
            <w:noWrap w:val="0"/>
            <w:vAlign w:val="top"/>
          </w:tcPr>
          <w:p w14:paraId="52F9C3B6">
            <w:pPr>
              <w:topLinePunct/>
              <w:spacing w:line="400" w:lineRule="atLeast"/>
              <w:jc w:val="center"/>
              <w:rPr>
                <w:color w:val="auto"/>
                <w:szCs w:val="21"/>
              </w:rPr>
            </w:pPr>
          </w:p>
        </w:tc>
        <w:tc>
          <w:tcPr>
            <w:tcW w:w="1800" w:type="dxa"/>
            <w:noWrap w:val="0"/>
            <w:vAlign w:val="top"/>
          </w:tcPr>
          <w:p w14:paraId="5D5ACA32">
            <w:pPr>
              <w:topLinePunct/>
              <w:spacing w:line="400" w:lineRule="atLeast"/>
              <w:jc w:val="center"/>
              <w:rPr>
                <w:color w:val="auto"/>
                <w:szCs w:val="21"/>
              </w:rPr>
            </w:pPr>
          </w:p>
        </w:tc>
        <w:tc>
          <w:tcPr>
            <w:tcW w:w="1440" w:type="dxa"/>
            <w:noWrap w:val="0"/>
            <w:vAlign w:val="top"/>
          </w:tcPr>
          <w:p w14:paraId="27011043">
            <w:pPr>
              <w:topLinePunct/>
              <w:spacing w:line="400" w:lineRule="atLeast"/>
              <w:jc w:val="center"/>
              <w:rPr>
                <w:color w:val="auto"/>
                <w:szCs w:val="21"/>
              </w:rPr>
            </w:pPr>
          </w:p>
        </w:tc>
        <w:tc>
          <w:tcPr>
            <w:tcW w:w="2160" w:type="dxa"/>
            <w:noWrap w:val="0"/>
            <w:vAlign w:val="top"/>
          </w:tcPr>
          <w:p w14:paraId="517AE42D">
            <w:pPr>
              <w:topLinePunct/>
              <w:spacing w:line="400" w:lineRule="atLeast"/>
              <w:jc w:val="center"/>
              <w:rPr>
                <w:color w:val="auto"/>
                <w:szCs w:val="21"/>
              </w:rPr>
            </w:pPr>
          </w:p>
        </w:tc>
      </w:tr>
      <w:tr w14:paraId="16C72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00250D66">
            <w:pPr>
              <w:topLinePunct/>
              <w:spacing w:line="400" w:lineRule="atLeast"/>
              <w:jc w:val="center"/>
              <w:rPr>
                <w:color w:val="auto"/>
                <w:szCs w:val="21"/>
              </w:rPr>
            </w:pPr>
          </w:p>
        </w:tc>
        <w:tc>
          <w:tcPr>
            <w:tcW w:w="2402" w:type="dxa"/>
            <w:noWrap w:val="0"/>
            <w:vAlign w:val="top"/>
          </w:tcPr>
          <w:p w14:paraId="5CC46E06">
            <w:pPr>
              <w:topLinePunct/>
              <w:spacing w:line="400" w:lineRule="atLeast"/>
              <w:jc w:val="center"/>
              <w:rPr>
                <w:color w:val="auto"/>
                <w:szCs w:val="21"/>
              </w:rPr>
            </w:pPr>
          </w:p>
        </w:tc>
        <w:tc>
          <w:tcPr>
            <w:tcW w:w="1800" w:type="dxa"/>
            <w:noWrap w:val="0"/>
            <w:vAlign w:val="top"/>
          </w:tcPr>
          <w:p w14:paraId="1EEC85D1">
            <w:pPr>
              <w:topLinePunct/>
              <w:spacing w:line="400" w:lineRule="atLeast"/>
              <w:jc w:val="center"/>
              <w:rPr>
                <w:color w:val="auto"/>
                <w:szCs w:val="21"/>
              </w:rPr>
            </w:pPr>
          </w:p>
        </w:tc>
        <w:tc>
          <w:tcPr>
            <w:tcW w:w="1440" w:type="dxa"/>
            <w:noWrap w:val="0"/>
            <w:vAlign w:val="top"/>
          </w:tcPr>
          <w:p w14:paraId="446FBAE9">
            <w:pPr>
              <w:topLinePunct/>
              <w:spacing w:line="400" w:lineRule="atLeast"/>
              <w:jc w:val="center"/>
              <w:rPr>
                <w:color w:val="auto"/>
                <w:szCs w:val="21"/>
              </w:rPr>
            </w:pPr>
          </w:p>
        </w:tc>
        <w:tc>
          <w:tcPr>
            <w:tcW w:w="2160" w:type="dxa"/>
            <w:noWrap w:val="0"/>
            <w:vAlign w:val="top"/>
          </w:tcPr>
          <w:p w14:paraId="53F9037A">
            <w:pPr>
              <w:topLinePunct/>
              <w:spacing w:line="400" w:lineRule="atLeast"/>
              <w:jc w:val="center"/>
              <w:rPr>
                <w:color w:val="auto"/>
                <w:szCs w:val="21"/>
              </w:rPr>
            </w:pPr>
          </w:p>
        </w:tc>
      </w:tr>
      <w:tr w14:paraId="38AB3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3247350D">
            <w:pPr>
              <w:topLinePunct/>
              <w:spacing w:line="400" w:lineRule="atLeast"/>
              <w:jc w:val="center"/>
              <w:rPr>
                <w:color w:val="auto"/>
                <w:szCs w:val="21"/>
              </w:rPr>
            </w:pPr>
          </w:p>
        </w:tc>
        <w:tc>
          <w:tcPr>
            <w:tcW w:w="2402" w:type="dxa"/>
            <w:noWrap w:val="0"/>
            <w:vAlign w:val="top"/>
          </w:tcPr>
          <w:p w14:paraId="18CB8A60">
            <w:pPr>
              <w:topLinePunct/>
              <w:spacing w:line="400" w:lineRule="atLeast"/>
              <w:jc w:val="center"/>
              <w:rPr>
                <w:color w:val="auto"/>
                <w:szCs w:val="21"/>
              </w:rPr>
            </w:pPr>
          </w:p>
        </w:tc>
        <w:tc>
          <w:tcPr>
            <w:tcW w:w="1800" w:type="dxa"/>
            <w:noWrap w:val="0"/>
            <w:vAlign w:val="top"/>
          </w:tcPr>
          <w:p w14:paraId="25A974D6">
            <w:pPr>
              <w:topLinePunct/>
              <w:spacing w:line="400" w:lineRule="atLeast"/>
              <w:jc w:val="center"/>
              <w:rPr>
                <w:color w:val="auto"/>
                <w:szCs w:val="21"/>
              </w:rPr>
            </w:pPr>
          </w:p>
        </w:tc>
        <w:tc>
          <w:tcPr>
            <w:tcW w:w="1440" w:type="dxa"/>
            <w:noWrap w:val="0"/>
            <w:vAlign w:val="top"/>
          </w:tcPr>
          <w:p w14:paraId="42F9D29E">
            <w:pPr>
              <w:topLinePunct/>
              <w:spacing w:line="400" w:lineRule="atLeast"/>
              <w:jc w:val="center"/>
              <w:rPr>
                <w:color w:val="auto"/>
                <w:szCs w:val="21"/>
              </w:rPr>
            </w:pPr>
          </w:p>
        </w:tc>
        <w:tc>
          <w:tcPr>
            <w:tcW w:w="2160" w:type="dxa"/>
            <w:noWrap w:val="0"/>
            <w:vAlign w:val="top"/>
          </w:tcPr>
          <w:p w14:paraId="656FBFDF">
            <w:pPr>
              <w:topLinePunct/>
              <w:spacing w:line="400" w:lineRule="atLeast"/>
              <w:jc w:val="center"/>
              <w:rPr>
                <w:color w:val="auto"/>
                <w:szCs w:val="21"/>
              </w:rPr>
            </w:pPr>
          </w:p>
        </w:tc>
      </w:tr>
      <w:tr w14:paraId="56AD2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761AD71F">
            <w:pPr>
              <w:topLinePunct/>
              <w:spacing w:line="400" w:lineRule="atLeast"/>
              <w:jc w:val="center"/>
              <w:rPr>
                <w:color w:val="auto"/>
                <w:szCs w:val="21"/>
              </w:rPr>
            </w:pPr>
          </w:p>
        </w:tc>
        <w:tc>
          <w:tcPr>
            <w:tcW w:w="2402" w:type="dxa"/>
            <w:noWrap w:val="0"/>
            <w:vAlign w:val="top"/>
          </w:tcPr>
          <w:p w14:paraId="1F085963">
            <w:pPr>
              <w:topLinePunct/>
              <w:spacing w:line="400" w:lineRule="atLeast"/>
              <w:jc w:val="center"/>
              <w:rPr>
                <w:color w:val="auto"/>
                <w:szCs w:val="21"/>
              </w:rPr>
            </w:pPr>
          </w:p>
        </w:tc>
        <w:tc>
          <w:tcPr>
            <w:tcW w:w="1800" w:type="dxa"/>
            <w:noWrap w:val="0"/>
            <w:vAlign w:val="top"/>
          </w:tcPr>
          <w:p w14:paraId="0824A1D5">
            <w:pPr>
              <w:topLinePunct/>
              <w:spacing w:line="400" w:lineRule="atLeast"/>
              <w:jc w:val="center"/>
              <w:rPr>
                <w:color w:val="auto"/>
                <w:szCs w:val="21"/>
              </w:rPr>
            </w:pPr>
          </w:p>
        </w:tc>
        <w:tc>
          <w:tcPr>
            <w:tcW w:w="1440" w:type="dxa"/>
            <w:noWrap w:val="0"/>
            <w:vAlign w:val="top"/>
          </w:tcPr>
          <w:p w14:paraId="2336A687">
            <w:pPr>
              <w:topLinePunct/>
              <w:spacing w:line="400" w:lineRule="atLeast"/>
              <w:jc w:val="center"/>
              <w:rPr>
                <w:color w:val="auto"/>
                <w:szCs w:val="21"/>
              </w:rPr>
            </w:pPr>
          </w:p>
        </w:tc>
        <w:tc>
          <w:tcPr>
            <w:tcW w:w="2160" w:type="dxa"/>
            <w:noWrap w:val="0"/>
            <w:vAlign w:val="top"/>
          </w:tcPr>
          <w:p w14:paraId="47F969B1">
            <w:pPr>
              <w:topLinePunct/>
              <w:spacing w:line="400" w:lineRule="atLeast"/>
              <w:jc w:val="center"/>
              <w:rPr>
                <w:color w:val="auto"/>
                <w:szCs w:val="21"/>
              </w:rPr>
            </w:pPr>
          </w:p>
        </w:tc>
      </w:tr>
    </w:tbl>
    <w:p w14:paraId="716102EC">
      <w:pPr>
        <w:spacing w:line="400" w:lineRule="atLeast"/>
        <w:ind w:left="840" w:hanging="840" w:hangingChars="400"/>
        <w:rPr>
          <w:color w:val="auto"/>
          <w:szCs w:val="21"/>
        </w:rPr>
      </w:pPr>
      <w:r>
        <w:rPr>
          <w:rFonts w:hint="eastAsia"/>
          <w:color w:val="auto"/>
        </w:rPr>
        <w:t>备</w:t>
      </w:r>
      <w:r>
        <w:rPr>
          <w:color w:val="auto"/>
        </w:rPr>
        <w:t>注：</w:t>
      </w:r>
      <w:r>
        <w:rPr>
          <w:rFonts w:hint="eastAsia"/>
          <w:color w:val="auto"/>
          <w:szCs w:val="21"/>
        </w:rPr>
        <w:t>1.本表后应附表彰文件、获奖证书及其他证明材料等。以表彰文件、获奖证书的颁发时间为准。</w:t>
      </w:r>
    </w:p>
    <w:p w14:paraId="4A4D0AC2">
      <w:pPr>
        <w:spacing w:line="400" w:lineRule="atLeast"/>
        <w:ind w:left="630" w:leftChars="300"/>
        <w:rPr>
          <w:color w:val="auto"/>
          <w:szCs w:val="21"/>
        </w:rPr>
      </w:pPr>
      <w:r>
        <w:rPr>
          <w:color w:val="auto"/>
          <w:szCs w:val="21"/>
        </w:rPr>
        <w:t>2</w:t>
      </w:r>
      <w:r>
        <w:rPr>
          <w:rFonts w:hint="eastAsia"/>
          <w:color w:val="auto"/>
          <w:szCs w:val="21"/>
        </w:rPr>
        <w:t>. 颁奖单位应当是国家机关或民政部门注册登记的合法颁奖单位。</w:t>
      </w:r>
    </w:p>
    <w:p w14:paraId="55C57170">
      <w:pPr>
        <w:rPr>
          <w:color w:val="auto"/>
        </w:rPr>
        <w:sectPr>
          <w:footerReference r:id="rId54" w:type="default"/>
          <w:pgSz w:w="11906" w:h="16838"/>
          <w:pgMar w:top="1440" w:right="1800" w:bottom="1440" w:left="1800" w:header="851" w:footer="992" w:gutter="0"/>
          <w:pgNumType w:fmt="decimal"/>
          <w:cols w:space="425" w:num="1"/>
          <w:docGrid w:type="lines" w:linePitch="312" w:charSpace="0"/>
        </w:sectPr>
      </w:pPr>
    </w:p>
    <w:p w14:paraId="766D6AD1">
      <w:pPr>
        <w:pStyle w:val="27"/>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color w:val="auto"/>
        </w:rPr>
      </w:pPr>
      <w:bookmarkStart w:id="2044" w:name="_Toc122603102"/>
      <w:r>
        <w:rPr>
          <w:rFonts w:hint="default"/>
          <w:color w:val="auto"/>
          <w:szCs w:val="24"/>
        </w:rPr>
        <w:t>5-4</w:t>
      </w:r>
      <w:r>
        <w:rPr>
          <w:rFonts w:hint="eastAsia"/>
          <w:color w:val="auto"/>
          <w:szCs w:val="24"/>
        </w:rPr>
        <w:t xml:space="preserve"> 近年项目经理工程获奖</w:t>
      </w:r>
      <w:r>
        <w:rPr>
          <w:color w:val="auto"/>
          <w:szCs w:val="24"/>
        </w:rPr>
        <w:t>情况表</w:t>
      </w:r>
      <w:bookmarkEnd w:id="2044"/>
    </w:p>
    <w:tbl>
      <w:tblPr>
        <w:tblStyle w:val="18"/>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2402"/>
        <w:gridCol w:w="1800"/>
        <w:gridCol w:w="1440"/>
        <w:gridCol w:w="2160"/>
      </w:tblGrid>
      <w:tr w14:paraId="5F368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66" w:type="dxa"/>
            <w:noWrap w:val="0"/>
            <w:vAlign w:val="top"/>
          </w:tcPr>
          <w:p w14:paraId="17E9C881">
            <w:pPr>
              <w:topLinePunct/>
              <w:spacing w:line="400" w:lineRule="atLeast"/>
              <w:jc w:val="center"/>
              <w:rPr>
                <w:rFonts w:hint="eastAsia"/>
                <w:color w:val="auto"/>
                <w:szCs w:val="21"/>
              </w:rPr>
            </w:pPr>
            <w:r>
              <w:rPr>
                <w:rFonts w:hint="eastAsia"/>
                <w:color w:val="auto"/>
                <w:szCs w:val="21"/>
              </w:rPr>
              <w:t>序号</w:t>
            </w:r>
          </w:p>
        </w:tc>
        <w:tc>
          <w:tcPr>
            <w:tcW w:w="2402" w:type="dxa"/>
            <w:noWrap w:val="0"/>
            <w:vAlign w:val="top"/>
          </w:tcPr>
          <w:p w14:paraId="7D09F83B">
            <w:pPr>
              <w:topLinePunct/>
              <w:spacing w:line="400" w:lineRule="atLeast"/>
              <w:jc w:val="center"/>
              <w:rPr>
                <w:rFonts w:hint="eastAsia"/>
                <w:color w:val="auto"/>
                <w:szCs w:val="21"/>
              </w:rPr>
            </w:pPr>
            <w:r>
              <w:rPr>
                <w:rFonts w:hint="eastAsia"/>
                <w:color w:val="auto"/>
                <w:szCs w:val="21"/>
              </w:rPr>
              <w:t>项目名称</w:t>
            </w:r>
          </w:p>
        </w:tc>
        <w:tc>
          <w:tcPr>
            <w:tcW w:w="1800" w:type="dxa"/>
            <w:noWrap w:val="0"/>
            <w:vAlign w:val="top"/>
          </w:tcPr>
          <w:p w14:paraId="68DBB6DE">
            <w:pPr>
              <w:topLinePunct/>
              <w:spacing w:line="400" w:lineRule="atLeast"/>
              <w:jc w:val="center"/>
              <w:rPr>
                <w:rFonts w:hint="eastAsia"/>
                <w:color w:val="auto"/>
                <w:szCs w:val="21"/>
              </w:rPr>
            </w:pPr>
            <w:r>
              <w:rPr>
                <w:rFonts w:hint="eastAsia"/>
                <w:color w:val="auto"/>
                <w:szCs w:val="21"/>
              </w:rPr>
              <w:t>获奖名称</w:t>
            </w:r>
          </w:p>
        </w:tc>
        <w:tc>
          <w:tcPr>
            <w:tcW w:w="1440" w:type="dxa"/>
            <w:noWrap w:val="0"/>
            <w:vAlign w:val="top"/>
          </w:tcPr>
          <w:p w14:paraId="5021D0AA">
            <w:pPr>
              <w:topLinePunct/>
              <w:spacing w:line="400" w:lineRule="atLeast"/>
              <w:jc w:val="center"/>
              <w:rPr>
                <w:rFonts w:hint="eastAsia"/>
                <w:color w:val="auto"/>
                <w:szCs w:val="21"/>
              </w:rPr>
            </w:pPr>
            <w:r>
              <w:rPr>
                <w:rFonts w:hint="eastAsia"/>
                <w:color w:val="auto"/>
                <w:szCs w:val="21"/>
              </w:rPr>
              <w:t>获奖日期</w:t>
            </w:r>
          </w:p>
        </w:tc>
        <w:tc>
          <w:tcPr>
            <w:tcW w:w="2160" w:type="dxa"/>
            <w:noWrap w:val="0"/>
            <w:vAlign w:val="top"/>
          </w:tcPr>
          <w:p w14:paraId="2B55C27A">
            <w:pPr>
              <w:topLinePunct/>
              <w:spacing w:line="400" w:lineRule="atLeast"/>
              <w:jc w:val="center"/>
              <w:rPr>
                <w:rFonts w:hint="eastAsia"/>
                <w:color w:val="auto"/>
                <w:szCs w:val="21"/>
              </w:rPr>
            </w:pPr>
            <w:r>
              <w:rPr>
                <w:rFonts w:hint="eastAsia"/>
                <w:color w:val="auto"/>
                <w:szCs w:val="21"/>
              </w:rPr>
              <w:t>颁奖单位</w:t>
            </w:r>
          </w:p>
        </w:tc>
      </w:tr>
      <w:tr w14:paraId="48C63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2D27095B">
            <w:pPr>
              <w:topLinePunct/>
              <w:spacing w:line="400" w:lineRule="atLeast"/>
              <w:jc w:val="center"/>
              <w:rPr>
                <w:color w:val="auto"/>
                <w:szCs w:val="21"/>
              </w:rPr>
            </w:pPr>
          </w:p>
        </w:tc>
        <w:tc>
          <w:tcPr>
            <w:tcW w:w="2402" w:type="dxa"/>
            <w:noWrap w:val="0"/>
            <w:vAlign w:val="top"/>
          </w:tcPr>
          <w:p w14:paraId="49189BC5">
            <w:pPr>
              <w:topLinePunct/>
              <w:spacing w:line="400" w:lineRule="atLeast"/>
              <w:jc w:val="center"/>
              <w:rPr>
                <w:color w:val="auto"/>
                <w:szCs w:val="21"/>
              </w:rPr>
            </w:pPr>
          </w:p>
        </w:tc>
        <w:tc>
          <w:tcPr>
            <w:tcW w:w="1800" w:type="dxa"/>
            <w:noWrap w:val="0"/>
            <w:vAlign w:val="top"/>
          </w:tcPr>
          <w:p w14:paraId="240B63AC">
            <w:pPr>
              <w:topLinePunct/>
              <w:spacing w:line="400" w:lineRule="atLeast"/>
              <w:jc w:val="center"/>
              <w:rPr>
                <w:color w:val="auto"/>
                <w:szCs w:val="21"/>
              </w:rPr>
            </w:pPr>
          </w:p>
        </w:tc>
        <w:tc>
          <w:tcPr>
            <w:tcW w:w="1440" w:type="dxa"/>
            <w:noWrap w:val="0"/>
            <w:vAlign w:val="top"/>
          </w:tcPr>
          <w:p w14:paraId="330BA74E">
            <w:pPr>
              <w:topLinePunct/>
              <w:spacing w:line="400" w:lineRule="atLeast"/>
              <w:jc w:val="center"/>
              <w:rPr>
                <w:color w:val="auto"/>
                <w:szCs w:val="21"/>
              </w:rPr>
            </w:pPr>
          </w:p>
        </w:tc>
        <w:tc>
          <w:tcPr>
            <w:tcW w:w="2160" w:type="dxa"/>
            <w:noWrap w:val="0"/>
            <w:vAlign w:val="top"/>
          </w:tcPr>
          <w:p w14:paraId="70550062">
            <w:pPr>
              <w:topLinePunct/>
              <w:spacing w:line="400" w:lineRule="atLeast"/>
              <w:jc w:val="center"/>
              <w:rPr>
                <w:color w:val="auto"/>
                <w:szCs w:val="21"/>
              </w:rPr>
            </w:pPr>
          </w:p>
        </w:tc>
      </w:tr>
      <w:tr w14:paraId="2EB03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3726B8B3">
            <w:pPr>
              <w:topLinePunct/>
              <w:spacing w:line="400" w:lineRule="atLeast"/>
              <w:jc w:val="center"/>
              <w:rPr>
                <w:color w:val="auto"/>
                <w:szCs w:val="21"/>
              </w:rPr>
            </w:pPr>
          </w:p>
        </w:tc>
        <w:tc>
          <w:tcPr>
            <w:tcW w:w="2402" w:type="dxa"/>
            <w:noWrap w:val="0"/>
            <w:vAlign w:val="top"/>
          </w:tcPr>
          <w:p w14:paraId="00C230C7">
            <w:pPr>
              <w:topLinePunct/>
              <w:spacing w:line="400" w:lineRule="atLeast"/>
              <w:jc w:val="center"/>
              <w:rPr>
                <w:color w:val="auto"/>
                <w:szCs w:val="21"/>
              </w:rPr>
            </w:pPr>
          </w:p>
        </w:tc>
        <w:tc>
          <w:tcPr>
            <w:tcW w:w="1800" w:type="dxa"/>
            <w:noWrap w:val="0"/>
            <w:vAlign w:val="top"/>
          </w:tcPr>
          <w:p w14:paraId="55CFAB1C">
            <w:pPr>
              <w:topLinePunct/>
              <w:spacing w:line="400" w:lineRule="atLeast"/>
              <w:jc w:val="center"/>
              <w:rPr>
                <w:color w:val="auto"/>
                <w:szCs w:val="21"/>
              </w:rPr>
            </w:pPr>
          </w:p>
        </w:tc>
        <w:tc>
          <w:tcPr>
            <w:tcW w:w="1440" w:type="dxa"/>
            <w:noWrap w:val="0"/>
            <w:vAlign w:val="top"/>
          </w:tcPr>
          <w:p w14:paraId="55F035D4">
            <w:pPr>
              <w:topLinePunct/>
              <w:spacing w:line="400" w:lineRule="atLeast"/>
              <w:jc w:val="center"/>
              <w:rPr>
                <w:color w:val="auto"/>
                <w:szCs w:val="21"/>
              </w:rPr>
            </w:pPr>
          </w:p>
        </w:tc>
        <w:tc>
          <w:tcPr>
            <w:tcW w:w="2160" w:type="dxa"/>
            <w:noWrap w:val="0"/>
            <w:vAlign w:val="top"/>
          </w:tcPr>
          <w:p w14:paraId="4656C105">
            <w:pPr>
              <w:topLinePunct/>
              <w:spacing w:line="400" w:lineRule="atLeast"/>
              <w:jc w:val="center"/>
              <w:rPr>
                <w:color w:val="auto"/>
                <w:szCs w:val="21"/>
              </w:rPr>
            </w:pPr>
          </w:p>
        </w:tc>
      </w:tr>
      <w:tr w14:paraId="4122A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6A5A4C71">
            <w:pPr>
              <w:topLinePunct/>
              <w:spacing w:line="400" w:lineRule="atLeast"/>
              <w:jc w:val="center"/>
              <w:rPr>
                <w:color w:val="auto"/>
                <w:szCs w:val="21"/>
              </w:rPr>
            </w:pPr>
          </w:p>
        </w:tc>
        <w:tc>
          <w:tcPr>
            <w:tcW w:w="2402" w:type="dxa"/>
            <w:noWrap w:val="0"/>
            <w:vAlign w:val="top"/>
          </w:tcPr>
          <w:p w14:paraId="6835CF4C">
            <w:pPr>
              <w:topLinePunct/>
              <w:spacing w:line="400" w:lineRule="atLeast"/>
              <w:jc w:val="center"/>
              <w:rPr>
                <w:color w:val="auto"/>
                <w:szCs w:val="21"/>
              </w:rPr>
            </w:pPr>
          </w:p>
        </w:tc>
        <w:tc>
          <w:tcPr>
            <w:tcW w:w="1800" w:type="dxa"/>
            <w:noWrap w:val="0"/>
            <w:vAlign w:val="top"/>
          </w:tcPr>
          <w:p w14:paraId="2DD0DF38">
            <w:pPr>
              <w:topLinePunct/>
              <w:spacing w:line="400" w:lineRule="atLeast"/>
              <w:jc w:val="center"/>
              <w:rPr>
                <w:color w:val="auto"/>
                <w:szCs w:val="21"/>
              </w:rPr>
            </w:pPr>
          </w:p>
        </w:tc>
        <w:tc>
          <w:tcPr>
            <w:tcW w:w="1440" w:type="dxa"/>
            <w:noWrap w:val="0"/>
            <w:vAlign w:val="top"/>
          </w:tcPr>
          <w:p w14:paraId="71E45A9D">
            <w:pPr>
              <w:topLinePunct/>
              <w:spacing w:line="400" w:lineRule="atLeast"/>
              <w:jc w:val="center"/>
              <w:rPr>
                <w:color w:val="auto"/>
                <w:szCs w:val="21"/>
              </w:rPr>
            </w:pPr>
          </w:p>
        </w:tc>
        <w:tc>
          <w:tcPr>
            <w:tcW w:w="2160" w:type="dxa"/>
            <w:noWrap w:val="0"/>
            <w:vAlign w:val="top"/>
          </w:tcPr>
          <w:p w14:paraId="4F19F2DE">
            <w:pPr>
              <w:topLinePunct/>
              <w:spacing w:line="400" w:lineRule="atLeast"/>
              <w:jc w:val="center"/>
              <w:rPr>
                <w:color w:val="auto"/>
                <w:szCs w:val="21"/>
              </w:rPr>
            </w:pPr>
          </w:p>
        </w:tc>
      </w:tr>
      <w:tr w14:paraId="5E976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27BF07B8">
            <w:pPr>
              <w:topLinePunct/>
              <w:spacing w:line="400" w:lineRule="atLeast"/>
              <w:jc w:val="center"/>
              <w:rPr>
                <w:color w:val="auto"/>
                <w:szCs w:val="21"/>
              </w:rPr>
            </w:pPr>
          </w:p>
        </w:tc>
        <w:tc>
          <w:tcPr>
            <w:tcW w:w="2402" w:type="dxa"/>
            <w:noWrap w:val="0"/>
            <w:vAlign w:val="top"/>
          </w:tcPr>
          <w:p w14:paraId="1763DBA4">
            <w:pPr>
              <w:topLinePunct/>
              <w:spacing w:line="400" w:lineRule="atLeast"/>
              <w:jc w:val="center"/>
              <w:rPr>
                <w:color w:val="auto"/>
                <w:szCs w:val="21"/>
              </w:rPr>
            </w:pPr>
          </w:p>
        </w:tc>
        <w:tc>
          <w:tcPr>
            <w:tcW w:w="1800" w:type="dxa"/>
            <w:noWrap w:val="0"/>
            <w:vAlign w:val="top"/>
          </w:tcPr>
          <w:p w14:paraId="71E1C026">
            <w:pPr>
              <w:topLinePunct/>
              <w:spacing w:line="400" w:lineRule="atLeast"/>
              <w:jc w:val="center"/>
              <w:rPr>
                <w:color w:val="auto"/>
                <w:szCs w:val="21"/>
              </w:rPr>
            </w:pPr>
          </w:p>
        </w:tc>
        <w:tc>
          <w:tcPr>
            <w:tcW w:w="1440" w:type="dxa"/>
            <w:noWrap w:val="0"/>
            <w:vAlign w:val="top"/>
          </w:tcPr>
          <w:p w14:paraId="7E0686CD">
            <w:pPr>
              <w:topLinePunct/>
              <w:spacing w:line="400" w:lineRule="atLeast"/>
              <w:jc w:val="center"/>
              <w:rPr>
                <w:color w:val="auto"/>
                <w:szCs w:val="21"/>
              </w:rPr>
            </w:pPr>
          </w:p>
        </w:tc>
        <w:tc>
          <w:tcPr>
            <w:tcW w:w="2160" w:type="dxa"/>
            <w:noWrap w:val="0"/>
            <w:vAlign w:val="top"/>
          </w:tcPr>
          <w:p w14:paraId="0D23F983">
            <w:pPr>
              <w:topLinePunct/>
              <w:spacing w:line="400" w:lineRule="atLeast"/>
              <w:jc w:val="center"/>
              <w:rPr>
                <w:color w:val="auto"/>
                <w:szCs w:val="21"/>
              </w:rPr>
            </w:pPr>
          </w:p>
        </w:tc>
      </w:tr>
      <w:tr w14:paraId="4CA88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5E6CC307">
            <w:pPr>
              <w:topLinePunct/>
              <w:spacing w:line="400" w:lineRule="atLeast"/>
              <w:jc w:val="center"/>
              <w:rPr>
                <w:color w:val="auto"/>
                <w:szCs w:val="21"/>
              </w:rPr>
            </w:pPr>
          </w:p>
        </w:tc>
        <w:tc>
          <w:tcPr>
            <w:tcW w:w="2402" w:type="dxa"/>
            <w:noWrap w:val="0"/>
            <w:vAlign w:val="top"/>
          </w:tcPr>
          <w:p w14:paraId="547B3C51">
            <w:pPr>
              <w:topLinePunct/>
              <w:spacing w:line="400" w:lineRule="atLeast"/>
              <w:jc w:val="center"/>
              <w:rPr>
                <w:color w:val="auto"/>
                <w:szCs w:val="21"/>
              </w:rPr>
            </w:pPr>
          </w:p>
        </w:tc>
        <w:tc>
          <w:tcPr>
            <w:tcW w:w="1800" w:type="dxa"/>
            <w:noWrap w:val="0"/>
            <w:vAlign w:val="top"/>
          </w:tcPr>
          <w:p w14:paraId="28292135">
            <w:pPr>
              <w:topLinePunct/>
              <w:spacing w:line="400" w:lineRule="atLeast"/>
              <w:jc w:val="center"/>
              <w:rPr>
                <w:color w:val="auto"/>
                <w:szCs w:val="21"/>
              </w:rPr>
            </w:pPr>
          </w:p>
        </w:tc>
        <w:tc>
          <w:tcPr>
            <w:tcW w:w="1440" w:type="dxa"/>
            <w:noWrap w:val="0"/>
            <w:vAlign w:val="top"/>
          </w:tcPr>
          <w:p w14:paraId="74F9B8E2">
            <w:pPr>
              <w:topLinePunct/>
              <w:spacing w:line="400" w:lineRule="atLeast"/>
              <w:jc w:val="center"/>
              <w:rPr>
                <w:color w:val="auto"/>
                <w:szCs w:val="21"/>
              </w:rPr>
            </w:pPr>
          </w:p>
        </w:tc>
        <w:tc>
          <w:tcPr>
            <w:tcW w:w="2160" w:type="dxa"/>
            <w:noWrap w:val="0"/>
            <w:vAlign w:val="top"/>
          </w:tcPr>
          <w:p w14:paraId="3C3E1A02">
            <w:pPr>
              <w:topLinePunct/>
              <w:spacing w:line="400" w:lineRule="atLeast"/>
              <w:jc w:val="center"/>
              <w:rPr>
                <w:color w:val="auto"/>
                <w:szCs w:val="21"/>
              </w:rPr>
            </w:pPr>
          </w:p>
        </w:tc>
      </w:tr>
      <w:tr w14:paraId="3B4AD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3CD08C14">
            <w:pPr>
              <w:topLinePunct/>
              <w:spacing w:line="400" w:lineRule="atLeast"/>
              <w:jc w:val="center"/>
              <w:rPr>
                <w:color w:val="auto"/>
                <w:szCs w:val="21"/>
              </w:rPr>
            </w:pPr>
          </w:p>
        </w:tc>
        <w:tc>
          <w:tcPr>
            <w:tcW w:w="2402" w:type="dxa"/>
            <w:noWrap w:val="0"/>
            <w:vAlign w:val="top"/>
          </w:tcPr>
          <w:p w14:paraId="415C473D">
            <w:pPr>
              <w:topLinePunct/>
              <w:spacing w:line="400" w:lineRule="atLeast"/>
              <w:jc w:val="center"/>
              <w:rPr>
                <w:color w:val="auto"/>
                <w:szCs w:val="21"/>
              </w:rPr>
            </w:pPr>
          </w:p>
        </w:tc>
        <w:tc>
          <w:tcPr>
            <w:tcW w:w="1800" w:type="dxa"/>
            <w:noWrap w:val="0"/>
            <w:vAlign w:val="top"/>
          </w:tcPr>
          <w:p w14:paraId="633809CD">
            <w:pPr>
              <w:topLinePunct/>
              <w:spacing w:line="400" w:lineRule="atLeast"/>
              <w:jc w:val="center"/>
              <w:rPr>
                <w:color w:val="auto"/>
                <w:szCs w:val="21"/>
              </w:rPr>
            </w:pPr>
          </w:p>
        </w:tc>
        <w:tc>
          <w:tcPr>
            <w:tcW w:w="1440" w:type="dxa"/>
            <w:noWrap w:val="0"/>
            <w:vAlign w:val="top"/>
          </w:tcPr>
          <w:p w14:paraId="204EDD9B">
            <w:pPr>
              <w:topLinePunct/>
              <w:spacing w:line="400" w:lineRule="atLeast"/>
              <w:jc w:val="center"/>
              <w:rPr>
                <w:color w:val="auto"/>
                <w:szCs w:val="21"/>
              </w:rPr>
            </w:pPr>
          </w:p>
        </w:tc>
        <w:tc>
          <w:tcPr>
            <w:tcW w:w="2160" w:type="dxa"/>
            <w:noWrap w:val="0"/>
            <w:vAlign w:val="top"/>
          </w:tcPr>
          <w:p w14:paraId="7F5D4D76">
            <w:pPr>
              <w:topLinePunct/>
              <w:spacing w:line="400" w:lineRule="atLeast"/>
              <w:jc w:val="center"/>
              <w:rPr>
                <w:color w:val="auto"/>
                <w:szCs w:val="21"/>
              </w:rPr>
            </w:pPr>
          </w:p>
        </w:tc>
      </w:tr>
      <w:tr w14:paraId="4055A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1FD6E87E">
            <w:pPr>
              <w:topLinePunct/>
              <w:spacing w:line="400" w:lineRule="atLeast"/>
              <w:jc w:val="center"/>
              <w:rPr>
                <w:color w:val="auto"/>
                <w:szCs w:val="21"/>
              </w:rPr>
            </w:pPr>
          </w:p>
        </w:tc>
        <w:tc>
          <w:tcPr>
            <w:tcW w:w="2402" w:type="dxa"/>
            <w:noWrap w:val="0"/>
            <w:vAlign w:val="top"/>
          </w:tcPr>
          <w:p w14:paraId="4B783486">
            <w:pPr>
              <w:topLinePunct/>
              <w:spacing w:line="400" w:lineRule="atLeast"/>
              <w:jc w:val="center"/>
              <w:rPr>
                <w:color w:val="auto"/>
                <w:szCs w:val="21"/>
              </w:rPr>
            </w:pPr>
          </w:p>
        </w:tc>
        <w:tc>
          <w:tcPr>
            <w:tcW w:w="1800" w:type="dxa"/>
            <w:noWrap w:val="0"/>
            <w:vAlign w:val="top"/>
          </w:tcPr>
          <w:p w14:paraId="28035FFC">
            <w:pPr>
              <w:topLinePunct/>
              <w:spacing w:line="400" w:lineRule="atLeast"/>
              <w:jc w:val="center"/>
              <w:rPr>
                <w:color w:val="auto"/>
                <w:szCs w:val="21"/>
              </w:rPr>
            </w:pPr>
          </w:p>
        </w:tc>
        <w:tc>
          <w:tcPr>
            <w:tcW w:w="1440" w:type="dxa"/>
            <w:noWrap w:val="0"/>
            <w:vAlign w:val="top"/>
          </w:tcPr>
          <w:p w14:paraId="72066A8F">
            <w:pPr>
              <w:topLinePunct/>
              <w:spacing w:line="400" w:lineRule="atLeast"/>
              <w:jc w:val="center"/>
              <w:rPr>
                <w:color w:val="auto"/>
                <w:szCs w:val="21"/>
              </w:rPr>
            </w:pPr>
          </w:p>
        </w:tc>
        <w:tc>
          <w:tcPr>
            <w:tcW w:w="2160" w:type="dxa"/>
            <w:noWrap w:val="0"/>
            <w:vAlign w:val="top"/>
          </w:tcPr>
          <w:p w14:paraId="21539F2F">
            <w:pPr>
              <w:topLinePunct/>
              <w:spacing w:line="400" w:lineRule="atLeast"/>
              <w:jc w:val="center"/>
              <w:rPr>
                <w:color w:val="auto"/>
                <w:szCs w:val="21"/>
              </w:rPr>
            </w:pPr>
          </w:p>
        </w:tc>
      </w:tr>
      <w:tr w14:paraId="79803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517F9625">
            <w:pPr>
              <w:topLinePunct/>
              <w:spacing w:line="400" w:lineRule="atLeast"/>
              <w:jc w:val="center"/>
              <w:rPr>
                <w:color w:val="auto"/>
                <w:szCs w:val="21"/>
              </w:rPr>
            </w:pPr>
          </w:p>
        </w:tc>
        <w:tc>
          <w:tcPr>
            <w:tcW w:w="2402" w:type="dxa"/>
            <w:noWrap w:val="0"/>
            <w:vAlign w:val="top"/>
          </w:tcPr>
          <w:p w14:paraId="18F7DC3E">
            <w:pPr>
              <w:topLinePunct/>
              <w:spacing w:line="400" w:lineRule="atLeast"/>
              <w:jc w:val="center"/>
              <w:rPr>
                <w:color w:val="auto"/>
                <w:szCs w:val="21"/>
              </w:rPr>
            </w:pPr>
          </w:p>
        </w:tc>
        <w:tc>
          <w:tcPr>
            <w:tcW w:w="1800" w:type="dxa"/>
            <w:noWrap w:val="0"/>
            <w:vAlign w:val="top"/>
          </w:tcPr>
          <w:p w14:paraId="30DC52EE">
            <w:pPr>
              <w:topLinePunct/>
              <w:spacing w:line="400" w:lineRule="atLeast"/>
              <w:jc w:val="center"/>
              <w:rPr>
                <w:color w:val="auto"/>
                <w:szCs w:val="21"/>
              </w:rPr>
            </w:pPr>
          </w:p>
        </w:tc>
        <w:tc>
          <w:tcPr>
            <w:tcW w:w="1440" w:type="dxa"/>
            <w:noWrap w:val="0"/>
            <w:vAlign w:val="top"/>
          </w:tcPr>
          <w:p w14:paraId="67F222F2">
            <w:pPr>
              <w:topLinePunct/>
              <w:spacing w:line="400" w:lineRule="atLeast"/>
              <w:jc w:val="center"/>
              <w:rPr>
                <w:color w:val="auto"/>
                <w:szCs w:val="21"/>
              </w:rPr>
            </w:pPr>
          </w:p>
        </w:tc>
        <w:tc>
          <w:tcPr>
            <w:tcW w:w="2160" w:type="dxa"/>
            <w:noWrap w:val="0"/>
            <w:vAlign w:val="top"/>
          </w:tcPr>
          <w:p w14:paraId="5DA91CB0">
            <w:pPr>
              <w:topLinePunct/>
              <w:spacing w:line="400" w:lineRule="atLeast"/>
              <w:jc w:val="center"/>
              <w:rPr>
                <w:color w:val="auto"/>
                <w:szCs w:val="21"/>
              </w:rPr>
            </w:pPr>
          </w:p>
        </w:tc>
      </w:tr>
      <w:tr w14:paraId="76741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60EF58F1">
            <w:pPr>
              <w:topLinePunct/>
              <w:spacing w:line="400" w:lineRule="atLeast"/>
              <w:jc w:val="center"/>
              <w:rPr>
                <w:color w:val="auto"/>
                <w:szCs w:val="21"/>
              </w:rPr>
            </w:pPr>
          </w:p>
        </w:tc>
        <w:tc>
          <w:tcPr>
            <w:tcW w:w="2402" w:type="dxa"/>
            <w:noWrap w:val="0"/>
            <w:vAlign w:val="top"/>
          </w:tcPr>
          <w:p w14:paraId="30949B04">
            <w:pPr>
              <w:topLinePunct/>
              <w:spacing w:line="400" w:lineRule="atLeast"/>
              <w:jc w:val="center"/>
              <w:rPr>
                <w:color w:val="auto"/>
                <w:szCs w:val="21"/>
              </w:rPr>
            </w:pPr>
          </w:p>
        </w:tc>
        <w:tc>
          <w:tcPr>
            <w:tcW w:w="1800" w:type="dxa"/>
            <w:noWrap w:val="0"/>
            <w:vAlign w:val="top"/>
          </w:tcPr>
          <w:p w14:paraId="492CFBF2">
            <w:pPr>
              <w:topLinePunct/>
              <w:spacing w:line="400" w:lineRule="atLeast"/>
              <w:jc w:val="center"/>
              <w:rPr>
                <w:color w:val="auto"/>
                <w:szCs w:val="21"/>
              </w:rPr>
            </w:pPr>
          </w:p>
        </w:tc>
        <w:tc>
          <w:tcPr>
            <w:tcW w:w="1440" w:type="dxa"/>
            <w:noWrap w:val="0"/>
            <w:vAlign w:val="top"/>
          </w:tcPr>
          <w:p w14:paraId="27019CC8">
            <w:pPr>
              <w:topLinePunct/>
              <w:spacing w:line="400" w:lineRule="atLeast"/>
              <w:jc w:val="center"/>
              <w:rPr>
                <w:color w:val="auto"/>
                <w:szCs w:val="21"/>
              </w:rPr>
            </w:pPr>
          </w:p>
        </w:tc>
        <w:tc>
          <w:tcPr>
            <w:tcW w:w="2160" w:type="dxa"/>
            <w:noWrap w:val="0"/>
            <w:vAlign w:val="top"/>
          </w:tcPr>
          <w:p w14:paraId="57676CB4">
            <w:pPr>
              <w:topLinePunct/>
              <w:spacing w:line="400" w:lineRule="atLeast"/>
              <w:jc w:val="center"/>
              <w:rPr>
                <w:color w:val="auto"/>
                <w:szCs w:val="21"/>
              </w:rPr>
            </w:pPr>
          </w:p>
        </w:tc>
      </w:tr>
      <w:tr w14:paraId="5C967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27E68566">
            <w:pPr>
              <w:topLinePunct/>
              <w:spacing w:line="400" w:lineRule="atLeast"/>
              <w:jc w:val="center"/>
              <w:rPr>
                <w:color w:val="auto"/>
                <w:szCs w:val="21"/>
              </w:rPr>
            </w:pPr>
          </w:p>
        </w:tc>
        <w:tc>
          <w:tcPr>
            <w:tcW w:w="2402" w:type="dxa"/>
            <w:noWrap w:val="0"/>
            <w:vAlign w:val="top"/>
          </w:tcPr>
          <w:p w14:paraId="4D1B7786">
            <w:pPr>
              <w:topLinePunct/>
              <w:spacing w:line="400" w:lineRule="atLeast"/>
              <w:jc w:val="center"/>
              <w:rPr>
                <w:color w:val="auto"/>
                <w:szCs w:val="21"/>
              </w:rPr>
            </w:pPr>
          </w:p>
        </w:tc>
        <w:tc>
          <w:tcPr>
            <w:tcW w:w="1800" w:type="dxa"/>
            <w:noWrap w:val="0"/>
            <w:vAlign w:val="top"/>
          </w:tcPr>
          <w:p w14:paraId="25D96F12">
            <w:pPr>
              <w:topLinePunct/>
              <w:spacing w:line="400" w:lineRule="atLeast"/>
              <w:jc w:val="center"/>
              <w:rPr>
                <w:color w:val="auto"/>
                <w:szCs w:val="21"/>
              </w:rPr>
            </w:pPr>
          </w:p>
        </w:tc>
        <w:tc>
          <w:tcPr>
            <w:tcW w:w="1440" w:type="dxa"/>
            <w:noWrap w:val="0"/>
            <w:vAlign w:val="top"/>
          </w:tcPr>
          <w:p w14:paraId="035BF720">
            <w:pPr>
              <w:topLinePunct/>
              <w:spacing w:line="400" w:lineRule="atLeast"/>
              <w:jc w:val="center"/>
              <w:rPr>
                <w:color w:val="auto"/>
                <w:szCs w:val="21"/>
              </w:rPr>
            </w:pPr>
          </w:p>
        </w:tc>
        <w:tc>
          <w:tcPr>
            <w:tcW w:w="2160" w:type="dxa"/>
            <w:noWrap w:val="0"/>
            <w:vAlign w:val="top"/>
          </w:tcPr>
          <w:p w14:paraId="506A7159">
            <w:pPr>
              <w:topLinePunct/>
              <w:spacing w:line="400" w:lineRule="atLeast"/>
              <w:jc w:val="center"/>
              <w:rPr>
                <w:color w:val="auto"/>
                <w:szCs w:val="21"/>
              </w:rPr>
            </w:pPr>
          </w:p>
        </w:tc>
      </w:tr>
      <w:tr w14:paraId="03D97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64273D4F">
            <w:pPr>
              <w:topLinePunct/>
              <w:spacing w:line="400" w:lineRule="atLeast"/>
              <w:jc w:val="center"/>
              <w:rPr>
                <w:color w:val="auto"/>
                <w:szCs w:val="21"/>
              </w:rPr>
            </w:pPr>
          </w:p>
        </w:tc>
        <w:tc>
          <w:tcPr>
            <w:tcW w:w="2402" w:type="dxa"/>
            <w:noWrap w:val="0"/>
            <w:vAlign w:val="top"/>
          </w:tcPr>
          <w:p w14:paraId="0018EFDC">
            <w:pPr>
              <w:topLinePunct/>
              <w:spacing w:line="400" w:lineRule="atLeast"/>
              <w:jc w:val="center"/>
              <w:rPr>
                <w:color w:val="auto"/>
                <w:szCs w:val="21"/>
              </w:rPr>
            </w:pPr>
          </w:p>
        </w:tc>
        <w:tc>
          <w:tcPr>
            <w:tcW w:w="1800" w:type="dxa"/>
            <w:noWrap w:val="0"/>
            <w:vAlign w:val="top"/>
          </w:tcPr>
          <w:p w14:paraId="46B315CB">
            <w:pPr>
              <w:topLinePunct/>
              <w:spacing w:line="400" w:lineRule="atLeast"/>
              <w:jc w:val="center"/>
              <w:rPr>
                <w:color w:val="auto"/>
                <w:szCs w:val="21"/>
              </w:rPr>
            </w:pPr>
          </w:p>
        </w:tc>
        <w:tc>
          <w:tcPr>
            <w:tcW w:w="1440" w:type="dxa"/>
            <w:noWrap w:val="0"/>
            <w:vAlign w:val="top"/>
          </w:tcPr>
          <w:p w14:paraId="52E790EC">
            <w:pPr>
              <w:topLinePunct/>
              <w:spacing w:line="400" w:lineRule="atLeast"/>
              <w:jc w:val="center"/>
              <w:rPr>
                <w:color w:val="auto"/>
                <w:szCs w:val="21"/>
              </w:rPr>
            </w:pPr>
          </w:p>
        </w:tc>
        <w:tc>
          <w:tcPr>
            <w:tcW w:w="2160" w:type="dxa"/>
            <w:noWrap w:val="0"/>
            <w:vAlign w:val="top"/>
          </w:tcPr>
          <w:p w14:paraId="451EE1CD">
            <w:pPr>
              <w:topLinePunct/>
              <w:spacing w:line="400" w:lineRule="atLeast"/>
              <w:jc w:val="center"/>
              <w:rPr>
                <w:color w:val="auto"/>
                <w:szCs w:val="21"/>
              </w:rPr>
            </w:pPr>
          </w:p>
        </w:tc>
      </w:tr>
      <w:tr w14:paraId="78D07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3F9DCCDF">
            <w:pPr>
              <w:topLinePunct/>
              <w:spacing w:line="400" w:lineRule="atLeast"/>
              <w:jc w:val="center"/>
              <w:rPr>
                <w:color w:val="auto"/>
                <w:szCs w:val="21"/>
              </w:rPr>
            </w:pPr>
          </w:p>
        </w:tc>
        <w:tc>
          <w:tcPr>
            <w:tcW w:w="2402" w:type="dxa"/>
            <w:noWrap w:val="0"/>
            <w:vAlign w:val="top"/>
          </w:tcPr>
          <w:p w14:paraId="62A02443">
            <w:pPr>
              <w:topLinePunct/>
              <w:spacing w:line="400" w:lineRule="atLeast"/>
              <w:jc w:val="center"/>
              <w:rPr>
                <w:color w:val="auto"/>
                <w:szCs w:val="21"/>
              </w:rPr>
            </w:pPr>
          </w:p>
        </w:tc>
        <w:tc>
          <w:tcPr>
            <w:tcW w:w="1800" w:type="dxa"/>
            <w:noWrap w:val="0"/>
            <w:vAlign w:val="top"/>
          </w:tcPr>
          <w:p w14:paraId="7C1A26E5">
            <w:pPr>
              <w:topLinePunct/>
              <w:spacing w:line="400" w:lineRule="atLeast"/>
              <w:jc w:val="center"/>
              <w:rPr>
                <w:color w:val="auto"/>
                <w:szCs w:val="21"/>
              </w:rPr>
            </w:pPr>
          </w:p>
        </w:tc>
        <w:tc>
          <w:tcPr>
            <w:tcW w:w="1440" w:type="dxa"/>
            <w:noWrap w:val="0"/>
            <w:vAlign w:val="top"/>
          </w:tcPr>
          <w:p w14:paraId="7BCF8ECB">
            <w:pPr>
              <w:topLinePunct/>
              <w:spacing w:line="400" w:lineRule="atLeast"/>
              <w:jc w:val="center"/>
              <w:rPr>
                <w:color w:val="auto"/>
                <w:szCs w:val="21"/>
              </w:rPr>
            </w:pPr>
          </w:p>
        </w:tc>
        <w:tc>
          <w:tcPr>
            <w:tcW w:w="2160" w:type="dxa"/>
            <w:noWrap w:val="0"/>
            <w:vAlign w:val="top"/>
          </w:tcPr>
          <w:p w14:paraId="2C29045E">
            <w:pPr>
              <w:topLinePunct/>
              <w:spacing w:line="400" w:lineRule="atLeast"/>
              <w:jc w:val="center"/>
              <w:rPr>
                <w:color w:val="auto"/>
                <w:szCs w:val="21"/>
              </w:rPr>
            </w:pPr>
          </w:p>
        </w:tc>
      </w:tr>
      <w:tr w14:paraId="05CD6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014F1878">
            <w:pPr>
              <w:topLinePunct/>
              <w:spacing w:line="400" w:lineRule="atLeast"/>
              <w:jc w:val="center"/>
              <w:rPr>
                <w:color w:val="auto"/>
                <w:szCs w:val="21"/>
              </w:rPr>
            </w:pPr>
          </w:p>
        </w:tc>
        <w:tc>
          <w:tcPr>
            <w:tcW w:w="2402" w:type="dxa"/>
            <w:noWrap w:val="0"/>
            <w:vAlign w:val="top"/>
          </w:tcPr>
          <w:p w14:paraId="43947CAD">
            <w:pPr>
              <w:topLinePunct/>
              <w:spacing w:line="400" w:lineRule="atLeast"/>
              <w:jc w:val="center"/>
              <w:rPr>
                <w:color w:val="auto"/>
                <w:szCs w:val="21"/>
              </w:rPr>
            </w:pPr>
          </w:p>
        </w:tc>
        <w:tc>
          <w:tcPr>
            <w:tcW w:w="1800" w:type="dxa"/>
            <w:noWrap w:val="0"/>
            <w:vAlign w:val="top"/>
          </w:tcPr>
          <w:p w14:paraId="09D67CB8">
            <w:pPr>
              <w:topLinePunct/>
              <w:spacing w:line="400" w:lineRule="atLeast"/>
              <w:jc w:val="center"/>
              <w:rPr>
                <w:color w:val="auto"/>
                <w:szCs w:val="21"/>
              </w:rPr>
            </w:pPr>
          </w:p>
        </w:tc>
        <w:tc>
          <w:tcPr>
            <w:tcW w:w="1440" w:type="dxa"/>
            <w:noWrap w:val="0"/>
            <w:vAlign w:val="top"/>
          </w:tcPr>
          <w:p w14:paraId="4DDB71EE">
            <w:pPr>
              <w:topLinePunct/>
              <w:spacing w:line="400" w:lineRule="atLeast"/>
              <w:jc w:val="center"/>
              <w:rPr>
                <w:color w:val="auto"/>
                <w:szCs w:val="21"/>
              </w:rPr>
            </w:pPr>
          </w:p>
        </w:tc>
        <w:tc>
          <w:tcPr>
            <w:tcW w:w="2160" w:type="dxa"/>
            <w:noWrap w:val="0"/>
            <w:vAlign w:val="top"/>
          </w:tcPr>
          <w:p w14:paraId="0D4CF408">
            <w:pPr>
              <w:topLinePunct/>
              <w:spacing w:line="400" w:lineRule="atLeast"/>
              <w:jc w:val="center"/>
              <w:rPr>
                <w:color w:val="auto"/>
                <w:szCs w:val="21"/>
              </w:rPr>
            </w:pPr>
          </w:p>
        </w:tc>
      </w:tr>
    </w:tbl>
    <w:p w14:paraId="18207F4D">
      <w:pPr>
        <w:ind w:left="945" w:hanging="945" w:hangingChars="450"/>
        <w:rPr>
          <w:color w:val="auto"/>
          <w:szCs w:val="21"/>
        </w:rPr>
      </w:pPr>
      <w:r>
        <w:rPr>
          <w:rFonts w:hint="eastAsia"/>
          <w:color w:val="auto"/>
        </w:rPr>
        <w:t>备</w:t>
      </w:r>
      <w:r>
        <w:rPr>
          <w:color w:val="auto"/>
        </w:rPr>
        <w:t>注：</w:t>
      </w:r>
      <w:r>
        <w:rPr>
          <w:rFonts w:hint="eastAsia"/>
          <w:color w:val="auto"/>
          <w:szCs w:val="21"/>
        </w:rPr>
        <w:t>1.本表后应附表彰文件、获奖证书及其他证明材料等。</w:t>
      </w:r>
    </w:p>
    <w:p w14:paraId="7194E2D9">
      <w:pPr>
        <w:spacing w:line="400" w:lineRule="atLeast"/>
        <w:ind w:left="840" w:leftChars="300" w:hanging="210" w:hangingChars="100"/>
        <w:rPr>
          <w:color w:val="auto"/>
        </w:rPr>
        <w:sectPr>
          <w:footerReference r:id="rId55" w:type="default"/>
          <w:pgSz w:w="11906" w:h="16838"/>
          <w:pgMar w:top="1440" w:right="1800" w:bottom="1440" w:left="1800" w:header="851" w:footer="992" w:gutter="0"/>
          <w:pgNumType w:fmt="decimal"/>
          <w:cols w:space="425" w:num="1"/>
          <w:docGrid w:type="lines" w:linePitch="312" w:charSpace="0"/>
        </w:sectPr>
      </w:pPr>
      <w:r>
        <w:rPr>
          <w:color w:val="auto"/>
          <w:szCs w:val="21"/>
        </w:rPr>
        <w:t>2</w:t>
      </w:r>
      <w:r>
        <w:rPr>
          <w:rFonts w:hint="eastAsia"/>
          <w:color w:val="auto"/>
          <w:szCs w:val="21"/>
        </w:rPr>
        <w:t>. 颁奖单位应当是国家机关或民政部门注册登记的合法颁奖单位。</w:t>
      </w:r>
    </w:p>
    <w:p w14:paraId="245433CD">
      <w:pPr>
        <w:pStyle w:val="27"/>
        <w:jc w:val="center"/>
        <w:outlineLvl w:val="3"/>
        <w:rPr>
          <w:rFonts w:hint="eastAsia"/>
          <w:color w:val="auto"/>
          <w:szCs w:val="24"/>
        </w:rPr>
      </w:pPr>
      <w:bookmarkStart w:id="2045" w:name="_Toc122603103"/>
      <w:r>
        <w:rPr>
          <w:rFonts w:hint="default"/>
          <w:color w:val="auto"/>
          <w:szCs w:val="24"/>
        </w:rPr>
        <w:t>5-5</w:t>
      </w:r>
      <w:r>
        <w:rPr>
          <w:rFonts w:hint="eastAsia"/>
          <w:color w:val="auto"/>
          <w:szCs w:val="24"/>
        </w:rPr>
        <w:t xml:space="preserve"> 近年获表彰</w:t>
      </w:r>
      <w:r>
        <w:rPr>
          <w:color w:val="auto"/>
          <w:szCs w:val="24"/>
        </w:rPr>
        <w:t>情况表</w:t>
      </w:r>
      <w:bookmarkEnd w:id="2045"/>
    </w:p>
    <w:p w14:paraId="255EB6FC">
      <w:pPr>
        <w:spacing w:line="440" w:lineRule="exact"/>
        <w:rPr>
          <w:rFonts w:hint="eastAsia" w:ascii="宋体" w:hAnsi="宋体"/>
          <w:color w:val="auto"/>
          <w:szCs w:val="21"/>
        </w:rPr>
      </w:pPr>
    </w:p>
    <w:tbl>
      <w:tblPr>
        <w:tblStyle w:val="18"/>
        <w:tblW w:w="85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2466"/>
        <w:gridCol w:w="1868"/>
        <w:gridCol w:w="1814"/>
        <w:gridCol w:w="1659"/>
      </w:tblGrid>
      <w:tr w14:paraId="31BD1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11" w:type="dxa"/>
            <w:noWrap w:val="0"/>
            <w:vAlign w:val="top"/>
          </w:tcPr>
          <w:p w14:paraId="3EB2AD3C">
            <w:pPr>
              <w:topLinePunct/>
              <w:spacing w:line="400" w:lineRule="atLeast"/>
              <w:jc w:val="center"/>
              <w:rPr>
                <w:rFonts w:hint="eastAsia"/>
                <w:color w:val="auto"/>
                <w:szCs w:val="21"/>
              </w:rPr>
            </w:pPr>
            <w:r>
              <w:rPr>
                <w:rFonts w:hint="eastAsia"/>
                <w:color w:val="auto"/>
                <w:szCs w:val="21"/>
              </w:rPr>
              <w:t>序号</w:t>
            </w:r>
          </w:p>
        </w:tc>
        <w:tc>
          <w:tcPr>
            <w:tcW w:w="2466" w:type="dxa"/>
            <w:noWrap w:val="0"/>
            <w:vAlign w:val="top"/>
          </w:tcPr>
          <w:p w14:paraId="25638D8F">
            <w:pPr>
              <w:topLinePunct/>
              <w:spacing w:line="400" w:lineRule="atLeast"/>
              <w:jc w:val="center"/>
              <w:rPr>
                <w:rFonts w:hint="eastAsia"/>
                <w:color w:val="auto"/>
                <w:szCs w:val="21"/>
              </w:rPr>
            </w:pPr>
            <w:r>
              <w:rPr>
                <w:rFonts w:hint="eastAsia"/>
                <w:color w:val="auto"/>
                <w:szCs w:val="21"/>
              </w:rPr>
              <w:t>获奖</w:t>
            </w:r>
            <w:r>
              <w:rPr>
                <w:rFonts w:hint="eastAsia"/>
                <w:color w:val="auto"/>
                <w:szCs w:val="21"/>
                <w:lang w:val="en-US" w:eastAsia="zh-CN"/>
              </w:rPr>
              <w:t>主体</w:t>
            </w:r>
            <w:r>
              <w:rPr>
                <w:rFonts w:hint="eastAsia"/>
                <w:color w:val="auto"/>
                <w:szCs w:val="21"/>
              </w:rPr>
              <w:t>名称</w:t>
            </w:r>
          </w:p>
        </w:tc>
        <w:tc>
          <w:tcPr>
            <w:tcW w:w="1868" w:type="dxa"/>
            <w:noWrap w:val="0"/>
            <w:vAlign w:val="top"/>
          </w:tcPr>
          <w:p w14:paraId="3062A7DA">
            <w:pPr>
              <w:topLinePunct/>
              <w:spacing w:line="400" w:lineRule="atLeast"/>
              <w:jc w:val="center"/>
              <w:rPr>
                <w:rFonts w:hint="eastAsia"/>
                <w:color w:val="auto"/>
                <w:szCs w:val="21"/>
              </w:rPr>
            </w:pPr>
            <w:r>
              <w:rPr>
                <w:rFonts w:hint="eastAsia"/>
                <w:color w:val="auto"/>
                <w:szCs w:val="21"/>
              </w:rPr>
              <w:t>获奖名称</w:t>
            </w:r>
          </w:p>
        </w:tc>
        <w:tc>
          <w:tcPr>
            <w:tcW w:w="1814" w:type="dxa"/>
            <w:noWrap w:val="0"/>
            <w:vAlign w:val="top"/>
          </w:tcPr>
          <w:p w14:paraId="5FB1097F">
            <w:pPr>
              <w:topLinePunct/>
              <w:spacing w:line="400" w:lineRule="atLeast"/>
              <w:jc w:val="center"/>
              <w:rPr>
                <w:rFonts w:hint="eastAsia"/>
                <w:color w:val="auto"/>
                <w:szCs w:val="21"/>
              </w:rPr>
            </w:pPr>
            <w:r>
              <w:rPr>
                <w:rFonts w:hint="eastAsia"/>
                <w:color w:val="auto"/>
                <w:szCs w:val="21"/>
              </w:rPr>
              <w:t>获奖日期</w:t>
            </w:r>
          </w:p>
        </w:tc>
        <w:tc>
          <w:tcPr>
            <w:tcW w:w="1659" w:type="dxa"/>
            <w:noWrap w:val="0"/>
            <w:vAlign w:val="top"/>
          </w:tcPr>
          <w:p w14:paraId="64244B6A">
            <w:pPr>
              <w:topLinePunct/>
              <w:spacing w:line="400" w:lineRule="atLeast"/>
              <w:jc w:val="center"/>
              <w:rPr>
                <w:rFonts w:hint="eastAsia"/>
                <w:color w:val="auto"/>
                <w:szCs w:val="21"/>
              </w:rPr>
            </w:pPr>
            <w:r>
              <w:rPr>
                <w:rFonts w:hint="eastAsia"/>
                <w:color w:val="auto"/>
                <w:szCs w:val="21"/>
              </w:rPr>
              <w:t>颁奖单位</w:t>
            </w:r>
          </w:p>
        </w:tc>
      </w:tr>
      <w:tr w14:paraId="06A47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282791B4">
            <w:pPr>
              <w:topLinePunct/>
              <w:spacing w:line="400" w:lineRule="atLeast"/>
              <w:jc w:val="center"/>
              <w:rPr>
                <w:color w:val="auto"/>
                <w:szCs w:val="21"/>
              </w:rPr>
            </w:pPr>
          </w:p>
        </w:tc>
        <w:tc>
          <w:tcPr>
            <w:tcW w:w="2466" w:type="dxa"/>
            <w:noWrap w:val="0"/>
            <w:vAlign w:val="top"/>
          </w:tcPr>
          <w:p w14:paraId="1F62BC69">
            <w:pPr>
              <w:topLinePunct/>
              <w:spacing w:line="400" w:lineRule="atLeast"/>
              <w:jc w:val="center"/>
              <w:rPr>
                <w:color w:val="auto"/>
                <w:szCs w:val="21"/>
              </w:rPr>
            </w:pPr>
          </w:p>
        </w:tc>
        <w:tc>
          <w:tcPr>
            <w:tcW w:w="1868" w:type="dxa"/>
            <w:noWrap w:val="0"/>
            <w:vAlign w:val="top"/>
          </w:tcPr>
          <w:p w14:paraId="09CEC340">
            <w:pPr>
              <w:topLinePunct/>
              <w:spacing w:line="400" w:lineRule="atLeast"/>
              <w:jc w:val="center"/>
              <w:rPr>
                <w:color w:val="auto"/>
                <w:szCs w:val="21"/>
              </w:rPr>
            </w:pPr>
          </w:p>
        </w:tc>
        <w:tc>
          <w:tcPr>
            <w:tcW w:w="1814" w:type="dxa"/>
            <w:noWrap w:val="0"/>
            <w:vAlign w:val="top"/>
          </w:tcPr>
          <w:p w14:paraId="7CE979EA">
            <w:pPr>
              <w:topLinePunct/>
              <w:spacing w:line="400" w:lineRule="atLeast"/>
              <w:jc w:val="center"/>
              <w:rPr>
                <w:color w:val="auto"/>
                <w:szCs w:val="21"/>
              </w:rPr>
            </w:pPr>
          </w:p>
        </w:tc>
        <w:tc>
          <w:tcPr>
            <w:tcW w:w="1659" w:type="dxa"/>
            <w:noWrap w:val="0"/>
            <w:vAlign w:val="top"/>
          </w:tcPr>
          <w:p w14:paraId="02BAE630">
            <w:pPr>
              <w:topLinePunct/>
              <w:spacing w:line="400" w:lineRule="atLeast"/>
              <w:jc w:val="center"/>
              <w:rPr>
                <w:color w:val="auto"/>
                <w:szCs w:val="21"/>
              </w:rPr>
            </w:pPr>
          </w:p>
        </w:tc>
      </w:tr>
      <w:tr w14:paraId="432C8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237A1DE7">
            <w:pPr>
              <w:topLinePunct/>
              <w:spacing w:line="400" w:lineRule="atLeast"/>
              <w:jc w:val="center"/>
              <w:rPr>
                <w:color w:val="auto"/>
                <w:szCs w:val="21"/>
              </w:rPr>
            </w:pPr>
          </w:p>
        </w:tc>
        <w:tc>
          <w:tcPr>
            <w:tcW w:w="2466" w:type="dxa"/>
            <w:noWrap w:val="0"/>
            <w:vAlign w:val="top"/>
          </w:tcPr>
          <w:p w14:paraId="7FDDA3D7">
            <w:pPr>
              <w:topLinePunct/>
              <w:spacing w:line="400" w:lineRule="atLeast"/>
              <w:jc w:val="center"/>
              <w:rPr>
                <w:color w:val="auto"/>
                <w:szCs w:val="21"/>
              </w:rPr>
            </w:pPr>
          </w:p>
        </w:tc>
        <w:tc>
          <w:tcPr>
            <w:tcW w:w="1868" w:type="dxa"/>
            <w:noWrap w:val="0"/>
            <w:vAlign w:val="top"/>
          </w:tcPr>
          <w:p w14:paraId="6D672449">
            <w:pPr>
              <w:topLinePunct/>
              <w:spacing w:line="400" w:lineRule="atLeast"/>
              <w:jc w:val="center"/>
              <w:rPr>
                <w:color w:val="auto"/>
                <w:szCs w:val="21"/>
              </w:rPr>
            </w:pPr>
          </w:p>
        </w:tc>
        <w:tc>
          <w:tcPr>
            <w:tcW w:w="1814" w:type="dxa"/>
            <w:noWrap w:val="0"/>
            <w:vAlign w:val="top"/>
          </w:tcPr>
          <w:p w14:paraId="191B282C">
            <w:pPr>
              <w:topLinePunct/>
              <w:spacing w:line="400" w:lineRule="atLeast"/>
              <w:jc w:val="center"/>
              <w:rPr>
                <w:color w:val="auto"/>
                <w:szCs w:val="21"/>
              </w:rPr>
            </w:pPr>
          </w:p>
        </w:tc>
        <w:tc>
          <w:tcPr>
            <w:tcW w:w="1659" w:type="dxa"/>
            <w:noWrap w:val="0"/>
            <w:vAlign w:val="top"/>
          </w:tcPr>
          <w:p w14:paraId="213EAC7F">
            <w:pPr>
              <w:topLinePunct/>
              <w:spacing w:line="400" w:lineRule="atLeast"/>
              <w:jc w:val="center"/>
              <w:rPr>
                <w:color w:val="auto"/>
                <w:szCs w:val="21"/>
              </w:rPr>
            </w:pPr>
          </w:p>
        </w:tc>
      </w:tr>
      <w:tr w14:paraId="02024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035E2C87">
            <w:pPr>
              <w:topLinePunct/>
              <w:spacing w:line="400" w:lineRule="atLeast"/>
              <w:jc w:val="center"/>
              <w:rPr>
                <w:color w:val="auto"/>
                <w:szCs w:val="21"/>
              </w:rPr>
            </w:pPr>
          </w:p>
        </w:tc>
        <w:tc>
          <w:tcPr>
            <w:tcW w:w="2466" w:type="dxa"/>
            <w:noWrap w:val="0"/>
            <w:vAlign w:val="top"/>
          </w:tcPr>
          <w:p w14:paraId="1FEA45F7">
            <w:pPr>
              <w:topLinePunct/>
              <w:spacing w:line="400" w:lineRule="atLeast"/>
              <w:jc w:val="center"/>
              <w:rPr>
                <w:color w:val="auto"/>
                <w:szCs w:val="21"/>
              </w:rPr>
            </w:pPr>
          </w:p>
        </w:tc>
        <w:tc>
          <w:tcPr>
            <w:tcW w:w="1868" w:type="dxa"/>
            <w:noWrap w:val="0"/>
            <w:vAlign w:val="top"/>
          </w:tcPr>
          <w:p w14:paraId="515598FE">
            <w:pPr>
              <w:topLinePunct/>
              <w:spacing w:line="400" w:lineRule="atLeast"/>
              <w:jc w:val="center"/>
              <w:rPr>
                <w:color w:val="auto"/>
                <w:szCs w:val="21"/>
              </w:rPr>
            </w:pPr>
          </w:p>
        </w:tc>
        <w:tc>
          <w:tcPr>
            <w:tcW w:w="1814" w:type="dxa"/>
            <w:noWrap w:val="0"/>
            <w:vAlign w:val="top"/>
          </w:tcPr>
          <w:p w14:paraId="4C5735C7">
            <w:pPr>
              <w:topLinePunct/>
              <w:spacing w:line="400" w:lineRule="atLeast"/>
              <w:jc w:val="center"/>
              <w:rPr>
                <w:color w:val="auto"/>
                <w:szCs w:val="21"/>
              </w:rPr>
            </w:pPr>
          </w:p>
        </w:tc>
        <w:tc>
          <w:tcPr>
            <w:tcW w:w="1659" w:type="dxa"/>
            <w:noWrap w:val="0"/>
            <w:vAlign w:val="top"/>
          </w:tcPr>
          <w:p w14:paraId="3800CA5A">
            <w:pPr>
              <w:topLinePunct/>
              <w:spacing w:line="400" w:lineRule="atLeast"/>
              <w:jc w:val="center"/>
              <w:rPr>
                <w:color w:val="auto"/>
                <w:szCs w:val="21"/>
              </w:rPr>
            </w:pPr>
          </w:p>
        </w:tc>
      </w:tr>
      <w:tr w14:paraId="4A6CD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2FE76C58">
            <w:pPr>
              <w:topLinePunct/>
              <w:spacing w:line="400" w:lineRule="atLeast"/>
              <w:jc w:val="center"/>
              <w:rPr>
                <w:color w:val="auto"/>
                <w:szCs w:val="21"/>
              </w:rPr>
            </w:pPr>
          </w:p>
        </w:tc>
        <w:tc>
          <w:tcPr>
            <w:tcW w:w="2466" w:type="dxa"/>
            <w:noWrap w:val="0"/>
            <w:vAlign w:val="top"/>
          </w:tcPr>
          <w:p w14:paraId="02FDF3D1">
            <w:pPr>
              <w:topLinePunct/>
              <w:spacing w:line="400" w:lineRule="atLeast"/>
              <w:jc w:val="center"/>
              <w:rPr>
                <w:color w:val="auto"/>
                <w:szCs w:val="21"/>
              </w:rPr>
            </w:pPr>
          </w:p>
        </w:tc>
        <w:tc>
          <w:tcPr>
            <w:tcW w:w="1868" w:type="dxa"/>
            <w:noWrap w:val="0"/>
            <w:vAlign w:val="top"/>
          </w:tcPr>
          <w:p w14:paraId="28A8C971">
            <w:pPr>
              <w:topLinePunct/>
              <w:spacing w:line="400" w:lineRule="atLeast"/>
              <w:jc w:val="center"/>
              <w:rPr>
                <w:color w:val="auto"/>
                <w:szCs w:val="21"/>
              </w:rPr>
            </w:pPr>
          </w:p>
        </w:tc>
        <w:tc>
          <w:tcPr>
            <w:tcW w:w="1814" w:type="dxa"/>
            <w:noWrap w:val="0"/>
            <w:vAlign w:val="top"/>
          </w:tcPr>
          <w:p w14:paraId="6517C11E">
            <w:pPr>
              <w:topLinePunct/>
              <w:spacing w:line="400" w:lineRule="atLeast"/>
              <w:jc w:val="center"/>
              <w:rPr>
                <w:color w:val="auto"/>
                <w:szCs w:val="21"/>
              </w:rPr>
            </w:pPr>
          </w:p>
        </w:tc>
        <w:tc>
          <w:tcPr>
            <w:tcW w:w="1659" w:type="dxa"/>
            <w:noWrap w:val="0"/>
            <w:vAlign w:val="top"/>
          </w:tcPr>
          <w:p w14:paraId="4B32058F">
            <w:pPr>
              <w:topLinePunct/>
              <w:spacing w:line="400" w:lineRule="atLeast"/>
              <w:jc w:val="center"/>
              <w:rPr>
                <w:color w:val="auto"/>
                <w:szCs w:val="21"/>
              </w:rPr>
            </w:pPr>
          </w:p>
        </w:tc>
      </w:tr>
      <w:tr w14:paraId="02280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783708D0">
            <w:pPr>
              <w:topLinePunct/>
              <w:spacing w:line="400" w:lineRule="atLeast"/>
              <w:jc w:val="center"/>
              <w:rPr>
                <w:color w:val="auto"/>
                <w:szCs w:val="21"/>
              </w:rPr>
            </w:pPr>
          </w:p>
        </w:tc>
        <w:tc>
          <w:tcPr>
            <w:tcW w:w="2466" w:type="dxa"/>
            <w:noWrap w:val="0"/>
            <w:vAlign w:val="top"/>
          </w:tcPr>
          <w:p w14:paraId="2B07596B">
            <w:pPr>
              <w:topLinePunct/>
              <w:spacing w:line="400" w:lineRule="atLeast"/>
              <w:jc w:val="center"/>
              <w:rPr>
                <w:color w:val="auto"/>
                <w:szCs w:val="21"/>
              </w:rPr>
            </w:pPr>
          </w:p>
        </w:tc>
        <w:tc>
          <w:tcPr>
            <w:tcW w:w="1868" w:type="dxa"/>
            <w:noWrap w:val="0"/>
            <w:vAlign w:val="top"/>
          </w:tcPr>
          <w:p w14:paraId="2E893271">
            <w:pPr>
              <w:topLinePunct/>
              <w:spacing w:line="400" w:lineRule="atLeast"/>
              <w:jc w:val="center"/>
              <w:rPr>
                <w:color w:val="auto"/>
                <w:szCs w:val="21"/>
              </w:rPr>
            </w:pPr>
          </w:p>
        </w:tc>
        <w:tc>
          <w:tcPr>
            <w:tcW w:w="1814" w:type="dxa"/>
            <w:noWrap w:val="0"/>
            <w:vAlign w:val="top"/>
          </w:tcPr>
          <w:p w14:paraId="7AF11656">
            <w:pPr>
              <w:topLinePunct/>
              <w:spacing w:line="400" w:lineRule="atLeast"/>
              <w:jc w:val="center"/>
              <w:rPr>
                <w:color w:val="auto"/>
                <w:szCs w:val="21"/>
              </w:rPr>
            </w:pPr>
          </w:p>
        </w:tc>
        <w:tc>
          <w:tcPr>
            <w:tcW w:w="1659" w:type="dxa"/>
            <w:noWrap w:val="0"/>
            <w:vAlign w:val="top"/>
          </w:tcPr>
          <w:p w14:paraId="1DD5229C">
            <w:pPr>
              <w:topLinePunct/>
              <w:spacing w:line="400" w:lineRule="atLeast"/>
              <w:jc w:val="center"/>
              <w:rPr>
                <w:color w:val="auto"/>
                <w:szCs w:val="21"/>
              </w:rPr>
            </w:pPr>
          </w:p>
        </w:tc>
      </w:tr>
      <w:tr w14:paraId="575C6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07BBBC6C">
            <w:pPr>
              <w:topLinePunct/>
              <w:spacing w:line="400" w:lineRule="atLeast"/>
              <w:jc w:val="center"/>
              <w:rPr>
                <w:color w:val="auto"/>
                <w:szCs w:val="21"/>
              </w:rPr>
            </w:pPr>
          </w:p>
        </w:tc>
        <w:tc>
          <w:tcPr>
            <w:tcW w:w="2466" w:type="dxa"/>
            <w:noWrap w:val="0"/>
            <w:vAlign w:val="top"/>
          </w:tcPr>
          <w:p w14:paraId="5E5D4DA6">
            <w:pPr>
              <w:topLinePunct/>
              <w:spacing w:line="400" w:lineRule="atLeast"/>
              <w:jc w:val="center"/>
              <w:rPr>
                <w:color w:val="auto"/>
                <w:szCs w:val="21"/>
              </w:rPr>
            </w:pPr>
          </w:p>
        </w:tc>
        <w:tc>
          <w:tcPr>
            <w:tcW w:w="1868" w:type="dxa"/>
            <w:noWrap w:val="0"/>
            <w:vAlign w:val="top"/>
          </w:tcPr>
          <w:p w14:paraId="44D086B1">
            <w:pPr>
              <w:topLinePunct/>
              <w:spacing w:line="400" w:lineRule="atLeast"/>
              <w:jc w:val="center"/>
              <w:rPr>
                <w:color w:val="auto"/>
                <w:szCs w:val="21"/>
              </w:rPr>
            </w:pPr>
          </w:p>
        </w:tc>
        <w:tc>
          <w:tcPr>
            <w:tcW w:w="1814" w:type="dxa"/>
            <w:noWrap w:val="0"/>
            <w:vAlign w:val="top"/>
          </w:tcPr>
          <w:p w14:paraId="2C4A21FA">
            <w:pPr>
              <w:topLinePunct/>
              <w:spacing w:line="400" w:lineRule="atLeast"/>
              <w:jc w:val="center"/>
              <w:rPr>
                <w:color w:val="auto"/>
                <w:szCs w:val="21"/>
              </w:rPr>
            </w:pPr>
          </w:p>
        </w:tc>
        <w:tc>
          <w:tcPr>
            <w:tcW w:w="1659" w:type="dxa"/>
            <w:noWrap w:val="0"/>
            <w:vAlign w:val="top"/>
          </w:tcPr>
          <w:p w14:paraId="744F02D2">
            <w:pPr>
              <w:topLinePunct/>
              <w:spacing w:line="400" w:lineRule="atLeast"/>
              <w:jc w:val="center"/>
              <w:rPr>
                <w:color w:val="auto"/>
                <w:szCs w:val="21"/>
              </w:rPr>
            </w:pPr>
          </w:p>
        </w:tc>
      </w:tr>
      <w:tr w14:paraId="13F72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6D900F1B">
            <w:pPr>
              <w:topLinePunct/>
              <w:spacing w:line="400" w:lineRule="atLeast"/>
              <w:jc w:val="center"/>
              <w:rPr>
                <w:color w:val="auto"/>
                <w:szCs w:val="21"/>
              </w:rPr>
            </w:pPr>
          </w:p>
        </w:tc>
        <w:tc>
          <w:tcPr>
            <w:tcW w:w="2466" w:type="dxa"/>
            <w:noWrap w:val="0"/>
            <w:vAlign w:val="top"/>
          </w:tcPr>
          <w:p w14:paraId="1B81AB47">
            <w:pPr>
              <w:topLinePunct/>
              <w:spacing w:line="400" w:lineRule="atLeast"/>
              <w:jc w:val="center"/>
              <w:rPr>
                <w:color w:val="auto"/>
                <w:szCs w:val="21"/>
              </w:rPr>
            </w:pPr>
          </w:p>
        </w:tc>
        <w:tc>
          <w:tcPr>
            <w:tcW w:w="1868" w:type="dxa"/>
            <w:noWrap w:val="0"/>
            <w:vAlign w:val="top"/>
          </w:tcPr>
          <w:p w14:paraId="4E891189">
            <w:pPr>
              <w:topLinePunct/>
              <w:spacing w:line="400" w:lineRule="atLeast"/>
              <w:jc w:val="center"/>
              <w:rPr>
                <w:color w:val="auto"/>
                <w:szCs w:val="21"/>
              </w:rPr>
            </w:pPr>
          </w:p>
        </w:tc>
        <w:tc>
          <w:tcPr>
            <w:tcW w:w="1814" w:type="dxa"/>
            <w:noWrap w:val="0"/>
            <w:vAlign w:val="top"/>
          </w:tcPr>
          <w:p w14:paraId="24E79C80">
            <w:pPr>
              <w:topLinePunct/>
              <w:spacing w:line="400" w:lineRule="atLeast"/>
              <w:jc w:val="center"/>
              <w:rPr>
                <w:color w:val="auto"/>
                <w:szCs w:val="21"/>
              </w:rPr>
            </w:pPr>
          </w:p>
        </w:tc>
        <w:tc>
          <w:tcPr>
            <w:tcW w:w="1659" w:type="dxa"/>
            <w:noWrap w:val="0"/>
            <w:vAlign w:val="top"/>
          </w:tcPr>
          <w:p w14:paraId="677BB2A9">
            <w:pPr>
              <w:topLinePunct/>
              <w:spacing w:line="400" w:lineRule="atLeast"/>
              <w:jc w:val="center"/>
              <w:rPr>
                <w:color w:val="auto"/>
                <w:szCs w:val="21"/>
              </w:rPr>
            </w:pPr>
          </w:p>
        </w:tc>
      </w:tr>
      <w:tr w14:paraId="23AC7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34634AD0">
            <w:pPr>
              <w:topLinePunct/>
              <w:spacing w:line="400" w:lineRule="atLeast"/>
              <w:jc w:val="center"/>
              <w:rPr>
                <w:color w:val="auto"/>
                <w:szCs w:val="21"/>
              </w:rPr>
            </w:pPr>
          </w:p>
        </w:tc>
        <w:tc>
          <w:tcPr>
            <w:tcW w:w="2466" w:type="dxa"/>
            <w:noWrap w:val="0"/>
            <w:vAlign w:val="top"/>
          </w:tcPr>
          <w:p w14:paraId="50B8773B">
            <w:pPr>
              <w:topLinePunct/>
              <w:spacing w:line="400" w:lineRule="atLeast"/>
              <w:jc w:val="center"/>
              <w:rPr>
                <w:color w:val="auto"/>
                <w:szCs w:val="21"/>
              </w:rPr>
            </w:pPr>
          </w:p>
        </w:tc>
        <w:tc>
          <w:tcPr>
            <w:tcW w:w="1868" w:type="dxa"/>
            <w:noWrap w:val="0"/>
            <w:vAlign w:val="top"/>
          </w:tcPr>
          <w:p w14:paraId="653928A5">
            <w:pPr>
              <w:topLinePunct/>
              <w:spacing w:line="400" w:lineRule="atLeast"/>
              <w:jc w:val="center"/>
              <w:rPr>
                <w:color w:val="auto"/>
                <w:szCs w:val="21"/>
              </w:rPr>
            </w:pPr>
          </w:p>
        </w:tc>
        <w:tc>
          <w:tcPr>
            <w:tcW w:w="1814" w:type="dxa"/>
            <w:noWrap w:val="0"/>
            <w:vAlign w:val="top"/>
          </w:tcPr>
          <w:p w14:paraId="2BB04D34">
            <w:pPr>
              <w:topLinePunct/>
              <w:spacing w:line="400" w:lineRule="atLeast"/>
              <w:jc w:val="center"/>
              <w:rPr>
                <w:color w:val="auto"/>
                <w:szCs w:val="21"/>
              </w:rPr>
            </w:pPr>
          </w:p>
        </w:tc>
        <w:tc>
          <w:tcPr>
            <w:tcW w:w="1659" w:type="dxa"/>
            <w:noWrap w:val="0"/>
            <w:vAlign w:val="top"/>
          </w:tcPr>
          <w:p w14:paraId="75044E4C">
            <w:pPr>
              <w:topLinePunct/>
              <w:spacing w:line="400" w:lineRule="atLeast"/>
              <w:jc w:val="center"/>
              <w:rPr>
                <w:color w:val="auto"/>
                <w:szCs w:val="21"/>
              </w:rPr>
            </w:pPr>
          </w:p>
        </w:tc>
      </w:tr>
      <w:tr w14:paraId="608A4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5E87F0C1">
            <w:pPr>
              <w:topLinePunct/>
              <w:spacing w:line="400" w:lineRule="atLeast"/>
              <w:jc w:val="center"/>
              <w:rPr>
                <w:color w:val="auto"/>
                <w:szCs w:val="21"/>
              </w:rPr>
            </w:pPr>
          </w:p>
        </w:tc>
        <w:tc>
          <w:tcPr>
            <w:tcW w:w="2466" w:type="dxa"/>
            <w:noWrap w:val="0"/>
            <w:vAlign w:val="top"/>
          </w:tcPr>
          <w:p w14:paraId="4C690601">
            <w:pPr>
              <w:topLinePunct/>
              <w:spacing w:line="400" w:lineRule="atLeast"/>
              <w:jc w:val="center"/>
              <w:rPr>
                <w:color w:val="auto"/>
                <w:szCs w:val="21"/>
              </w:rPr>
            </w:pPr>
          </w:p>
        </w:tc>
        <w:tc>
          <w:tcPr>
            <w:tcW w:w="1868" w:type="dxa"/>
            <w:noWrap w:val="0"/>
            <w:vAlign w:val="top"/>
          </w:tcPr>
          <w:p w14:paraId="3DFAFD1C">
            <w:pPr>
              <w:topLinePunct/>
              <w:spacing w:line="400" w:lineRule="atLeast"/>
              <w:jc w:val="center"/>
              <w:rPr>
                <w:color w:val="auto"/>
                <w:szCs w:val="21"/>
              </w:rPr>
            </w:pPr>
          </w:p>
        </w:tc>
        <w:tc>
          <w:tcPr>
            <w:tcW w:w="1814" w:type="dxa"/>
            <w:noWrap w:val="0"/>
            <w:vAlign w:val="top"/>
          </w:tcPr>
          <w:p w14:paraId="5C9FF938">
            <w:pPr>
              <w:topLinePunct/>
              <w:spacing w:line="400" w:lineRule="atLeast"/>
              <w:jc w:val="center"/>
              <w:rPr>
                <w:color w:val="auto"/>
                <w:szCs w:val="21"/>
              </w:rPr>
            </w:pPr>
          </w:p>
        </w:tc>
        <w:tc>
          <w:tcPr>
            <w:tcW w:w="1659" w:type="dxa"/>
            <w:noWrap w:val="0"/>
            <w:vAlign w:val="top"/>
          </w:tcPr>
          <w:p w14:paraId="777CC830">
            <w:pPr>
              <w:topLinePunct/>
              <w:spacing w:line="400" w:lineRule="atLeast"/>
              <w:jc w:val="center"/>
              <w:rPr>
                <w:color w:val="auto"/>
                <w:szCs w:val="21"/>
              </w:rPr>
            </w:pPr>
          </w:p>
        </w:tc>
      </w:tr>
    </w:tbl>
    <w:p w14:paraId="3372EA58">
      <w:pPr>
        <w:spacing w:line="400" w:lineRule="atLeast"/>
        <w:ind w:left="840" w:hanging="840" w:hangingChars="400"/>
        <w:rPr>
          <w:color w:val="auto"/>
          <w:szCs w:val="21"/>
        </w:rPr>
      </w:pPr>
      <w:r>
        <w:rPr>
          <w:rFonts w:hint="eastAsia"/>
          <w:color w:val="auto"/>
        </w:rPr>
        <w:t>备</w:t>
      </w:r>
      <w:r>
        <w:rPr>
          <w:color w:val="auto"/>
        </w:rPr>
        <w:t>注：</w:t>
      </w:r>
      <w:r>
        <w:rPr>
          <w:rFonts w:hint="eastAsia"/>
          <w:color w:val="auto"/>
          <w:szCs w:val="21"/>
        </w:rPr>
        <w:t>1.本表后应附表彰文件、获奖证书及其他证明材料等。</w:t>
      </w:r>
    </w:p>
    <w:p w14:paraId="174197D9">
      <w:pPr>
        <w:spacing w:line="400" w:lineRule="atLeast"/>
        <w:ind w:left="840" w:leftChars="300" w:hanging="210" w:hangingChars="100"/>
        <w:rPr>
          <w:color w:val="auto"/>
        </w:rPr>
        <w:sectPr>
          <w:headerReference r:id="rId56" w:type="default"/>
          <w:footerReference r:id="rId57" w:type="default"/>
          <w:pgSz w:w="11906" w:h="16838"/>
          <w:pgMar w:top="1440" w:right="1800" w:bottom="1440" w:left="1800" w:header="851" w:footer="992" w:gutter="0"/>
          <w:pgNumType w:fmt="decimal"/>
          <w:cols w:space="425" w:num="1"/>
          <w:docGrid w:type="lines" w:linePitch="312" w:charSpace="0"/>
        </w:sectPr>
      </w:pPr>
      <w:r>
        <w:rPr>
          <w:color w:val="auto"/>
          <w:szCs w:val="21"/>
        </w:rPr>
        <w:t>2</w:t>
      </w:r>
      <w:r>
        <w:rPr>
          <w:rFonts w:hint="eastAsia"/>
          <w:color w:val="auto"/>
          <w:szCs w:val="21"/>
        </w:rPr>
        <w:t>.颁奖单位应当是国家机关或民政部门注册登记的合法颁奖单位。</w:t>
      </w:r>
    </w:p>
    <w:p w14:paraId="5779656D">
      <w:pPr>
        <w:pStyle w:val="25"/>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ascii="黑体" w:hAnsi="宋体"/>
          <w:color w:val="auto"/>
          <w:szCs w:val="28"/>
        </w:rPr>
      </w:pPr>
      <w:bookmarkStart w:id="2046" w:name="_Toc11716"/>
      <w:bookmarkStart w:id="2047" w:name="_Toc27201"/>
      <w:r>
        <w:rPr>
          <w:rFonts w:hint="default"/>
          <w:color w:val="auto"/>
        </w:rPr>
        <w:t>八</w:t>
      </w:r>
      <w:r>
        <w:rPr>
          <w:rFonts w:hint="eastAsia"/>
          <w:color w:val="auto"/>
        </w:rPr>
        <w:t>、已标价工程量清单</w:t>
      </w:r>
      <w:bookmarkEnd w:id="2046"/>
      <w:bookmarkEnd w:id="2047"/>
    </w:p>
    <w:p w14:paraId="0FD2FB17">
      <w:pPr>
        <w:spacing w:line="460" w:lineRule="exact"/>
        <w:rPr>
          <w:rFonts w:hint="eastAsia" w:ascii="黑体" w:hAnsi="宋体" w:eastAsia="黑体"/>
          <w:color w:val="auto"/>
          <w:szCs w:val="21"/>
        </w:rPr>
      </w:pPr>
    </w:p>
    <w:p w14:paraId="07861922">
      <w:pPr>
        <w:spacing w:line="460" w:lineRule="exact"/>
        <w:rPr>
          <w:rFonts w:ascii="宋体" w:hAnsi="宋体"/>
          <w:color w:val="auto"/>
          <w:szCs w:val="21"/>
        </w:rPr>
      </w:pPr>
      <w:r>
        <w:rPr>
          <w:rFonts w:hint="eastAsia" w:ascii="宋体" w:hAnsi="宋体"/>
          <w:color w:val="auto"/>
          <w:szCs w:val="21"/>
        </w:rPr>
        <w:t>说明：已标价工程量清单按第五章“工程量清单”中的相关清单表格式填写。</w:t>
      </w:r>
    </w:p>
    <w:p w14:paraId="31DBACF5">
      <w:pPr>
        <w:spacing w:line="460" w:lineRule="exact"/>
        <w:ind w:firstLine="630" w:firstLineChars="300"/>
        <w:rPr>
          <w:rFonts w:ascii="宋体" w:hAnsi="宋体"/>
          <w:color w:val="auto"/>
          <w:szCs w:val="21"/>
        </w:rPr>
      </w:pPr>
      <w:r>
        <w:rPr>
          <w:rFonts w:hint="eastAsia" w:ascii="宋体" w:hAnsi="宋体"/>
          <w:color w:val="auto"/>
          <w:szCs w:val="21"/>
        </w:rPr>
        <w:t>构成合同文件的已标价工程量清单包括第五章“工程量清单”有关工程量清单、投标报价以及其他说明的内容。</w:t>
      </w:r>
    </w:p>
    <w:p w14:paraId="28734BEC">
      <w:pPr>
        <w:rPr>
          <w:color w:val="auto"/>
        </w:rPr>
      </w:pPr>
      <w:r>
        <w:rPr>
          <w:color w:val="auto"/>
        </w:rPr>
        <w:br w:type="page"/>
      </w:r>
    </w:p>
    <w:p w14:paraId="7F749821">
      <w:pPr>
        <w:pStyle w:val="27"/>
        <w:rPr>
          <w:color w:val="auto"/>
        </w:rPr>
      </w:pPr>
      <w:bookmarkStart w:id="2048" w:name="_Toc24160"/>
      <w:bookmarkStart w:id="2049" w:name="_Toc426495639"/>
      <w:bookmarkStart w:id="2050" w:name="_Toc173867058"/>
      <w:r>
        <w:rPr>
          <w:rFonts w:hint="eastAsia"/>
          <w:color w:val="auto"/>
        </w:rPr>
        <w:t>已标价工程量清单（投标总价）封面</w:t>
      </w:r>
      <w:bookmarkEnd w:id="2048"/>
      <w:bookmarkEnd w:id="2049"/>
      <w:bookmarkEnd w:id="2050"/>
    </w:p>
    <w:p w14:paraId="5858F4E5">
      <w:pPr>
        <w:spacing w:line="460" w:lineRule="exact"/>
        <w:rPr>
          <w:rFonts w:hint="eastAsia" w:ascii="宋体" w:hAnsi="宋体"/>
          <w:color w:val="auto"/>
          <w:szCs w:val="21"/>
        </w:rPr>
      </w:pPr>
    </w:p>
    <w:p w14:paraId="39C949F7">
      <w:pPr>
        <w:spacing w:line="460" w:lineRule="exact"/>
        <w:jc w:val="center"/>
        <w:rPr>
          <w:rFonts w:hint="default" w:eastAsia="黑体"/>
          <w:color w:val="auto"/>
          <w:sz w:val="32"/>
          <w:u w:val="single"/>
        </w:rPr>
      </w:pPr>
      <w:r>
        <w:rPr>
          <w:rFonts w:hint="eastAsia" w:ascii="宋体" w:hAnsi="宋体" w:cs="宋体"/>
          <w:color w:val="auto"/>
          <w:sz w:val="28"/>
          <w:szCs w:val="22"/>
          <w:u w:val="single"/>
          <w:lang w:val="en-US" w:eastAsia="zh-CN"/>
        </w:rPr>
        <w:t xml:space="preserve">                            </w:t>
      </w:r>
      <w:r>
        <w:rPr>
          <w:rFonts w:hint="eastAsia" w:ascii="宋体" w:hAnsi="宋体" w:eastAsia="宋体" w:cs="宋体"/>
          <w:color w:val="auto"/>
          <w:sz w:val="32"/>
          <w:szCs w:val="24"/>
          <w:u w:val="none"/>
          <w:lang w:val="en-US" w:eastAsia="zh-CN"/>
        </w:rPr>
        <w:t>工程</w:t>
      </w:r>
    </w:p>
    <w:p w14:paraId="1F6561B1">
      <w:pPr>
        <w:spacing w:line="460" w:lineRule="exact"/>
        <w:rPr>
          <w:rFonts w:eastAsia="黑体"/>
          <w:color w:val="auto"/>
          <w:sz w:val="32"/>
          <w:u w:val="single"/>
        </w:rPr>
      </w:pPr>
    </w:p>
    <w:p w14:paraId="32FEFCA4">
      <w:pPr>
        <w:spacing w:line="460" w:lineRule="exact"/>
        <w:rPr>
          <w:rFonts w:eastAsia="黑体"/>
          <w:color w:val="auto"/>
          <w:sz w:val="32"/>
          <w:u w:val="single"/>
        </w:rPr>
      </w:pPr>
    </w:p>
    <w:p w14:paraId="707C942E">
      <w:pPr>
        <w:spacing w:line="460" w:lineRule="exact"/>
        <w:rPr>
          <w:rFonts w:eastAsia="黑体"/>
          <w:color w:val="auto"/>
          <w:sz w:val="32"/>
          <w:u w:val="single"/>
        </w:rPr>
      </w:pPr>
    </w:p>
    <w:p w14:paraId="41E30321">
      <w:pPr>
        <w:spacing w:line="460" w:lineRule="exact"/>
        <w:rPr>
          <w:rFonts w:hint="eastAsia" w:ascii="宋体" w:hAnsi="宋体"/>
          <w:color w:val="auto"/>
          <w:szCs w:val="21"/>
        </w:rPr>
      </w:pPr>
    </w:p>
    <w:p w14:paraId="38F46E2B">
      <w:pPr>
        <w:spacing w:line="360" w:lineRule="auto"/>
        <w:jc w:val="center"/>
        <w:rPr>
          <w:rFonts w:eastAsia="黑体"/>
          <w:color w:val="auto"/>
          <w:sz w:val="44"/>
          <w:szCs w:val="44"/>
        </w:rPr>
      </w:pPr>
    </w:p>
    <w:p w14:paraId="17723099">
      <w:pPr>
        <w:spacing w:line="360" w:lineRule="auto"/>
        <w:jc w:val="center"/>
        <w:rPr>
          <w:rFonts w:eastAsia="黑体"/>
          <w:color w:val="auto"/>
          <w:sz w:val="44"/>
          <w:szCs w:val="44"/>
        </w:rPr>
      </w:pPr>
      <w:r>
        <w:rPr>
          <w:rFonts w:hint="eastAsia" w:eastAsia="黑体"/>
          <w:color w:val="auto"/>
          <w:sz w:val="44"/>
          <w:szCs w:val="44"/>
        </w:rPr>
        <w:t>投标总价</w:t>
      </w:r>
    </w:p>
    <w:p w14:paraId="48DA257F">
      <w:pPr>
        <w:spacing w:line="460" w:lineRule="exact"/>
        <w:jc w:val="center"/>
        <w:rPr>
          <w:rFonts w:eastAsia="黑体"/>
          <w:color w:val="auto"/>
          <w:sz w:val="44"/>
          <w:szCs w:val="44"/>
        </w:rPr>
      </w:pPr>
    </w:p>
    <w:p w14:paraId="53FE6B97">
      <w:pPr>
        <w:spacing w:line="460" w:lineRule="exact"/>
        <w:jc w:val="center"/>
        <w:rPr>
          <w:rFonts w:eastAsia="黑体"/>
          <w:color w:val="auto"/>
          <w:sz w:val="44"/>
          <w:szCs w:val="44"/>
        </w:rPr>
      </w:pPr>
    </w:p>
    <w:p w14:paraId="292AF89A">
      <w:pPr>
        <w:spacing w:line="460" w:lineRule="exact"/>
        <w:jc w:val="center"/>
        <w:rPr>
          <w:rFonts w:eastAsia="黑体"/>
          <w:color w:val="auto"/>
          <w:sz w:val="44"/>
          <w:szCs w:val="44"/>
        </w:rPr>
      </w:pPr>
    </w:p>
    <w:p w14:paraId="7ADBBFB4">
      <w:pPr>
        <w:spacing w:line="460" w:lineRule="exact"/>
        <w:jc w:val="center"/>
        <w:rPr>
          <w:rFonts w:eastAsia="黑体"/>
          <w:color w:val="auto"/>
          <w:sz w:val="44"/>
          <w:szCs w:val="44"/>
        </w:rPr>
      </w:pPr>
    </w:p>
    <w:p w14:paraId="4D4F8D8D">
      <w:pPr>
        <w:spacing w:line="460" w:lineRule="exact"/>
        <w:jc w:val="center"/>
        <w:rPr>
          <w:rFonts w:eastAsia="黑体"/>
          <w:color w:val="auto"/>
          <w:sz w:val="44"/>
          <w:szCs w:val="44"/>
        </w:rPr>
      </w:pPr>
    </w:p>
    <w:p w14:paraId="0665A217">
      <w:pPr>
        <w:spacing w:line="460" w:lineRule="exact"/>
        <w:jc w:val="center"/>
        <w:rPr>
          <w:rFonts w:eastAsia="黑体"/>
          <w:color w:val="auto"/>
          <w:sz w:val="44"/>
          <w:szCs w:val="44"/>
        </w:rPr>
      </w:pPr>
    </w:p>
    <w:p w14:paraId="0C7807AE">
      <w:pPr>
        <w:spacing w:line="460" w:lineRule="exact"/>
        <w:jc w:val="center"/>
        <w:rPr>
          <w:rFonts w:eastAsia="黑体"/>
          <w:color w:val="auto"/>
          <w:sz w:val="44"/>
          <w:szCs w:val="44"/>
        </w:rPr>
      </w:pPr>
    </w:p>
    <w:p w14:paraId="0927892E">
      <w:pPr>
        <w:spacing w:line="600" w:lineRule="exact"/>
        <w:ind w:firstLine="1260" w:firstLineChars="600"/>
        <w:rPr>
          <w:rFonts w:ascii="黑体" w:eastAsia="黑体"/>
          <w:color w:val="auto"/>
        </w:rPr>
      </w:pPr>
    </w:p>
    <w:p w14:paraId="305A9FDC">
      <w:pPr>
        <w:spacing w:line="320" w:lineRule="exact"/>
        <w:ind w:firstLine="1680" w:firstLineChars="600"/>
        <w:rPr>
          <w:rFonts w:hint="eastAsia" w:ascii="宋体" w:hAnsi="宋体"/>
          <w:color w:val="auto"/>
          <w:sz w:val="28"/>
          <w:szCs w:val="28"/>
        </w:rPr>
      </w:pPr>
      <w:r>
        <w:rPr>
          <w:rFonts w:hint="eastAsia" w:ascii="宋体" w:hAnsi="宋体"/>
          <w:color w:val="auto"/>
          <w:sz w:val="28"/>
          <w:szCs w:val="28"/>
        </w:rPr>
        <w:t>投 标 人：</w:t>
      </w:r>
      <w:r>
        <w:rPr>
          <w:rFonts w:hint="eastAsia" w:ascii="宋体" w:hAnsi="宋体"/>
          <w:color w:val="auto"/>
          <w:sz w:val="28"/>
          <w:szCs w:val="28"/>
          <w:u w:val="single"/>
        </w:rPr>
        <w:t xml:space="preserve">           （盖章）          </w:t>
      </w:r>
    </w:p>
    <w:p w14:paraId="5BC8AF02">
      <w:pPr>
        <w:spacing w:line="320" w:lineRule="exact"/>
        <w:ind w:firstLine="4200" w:firstLineChars="1500"/>
        <w:rPr>
          <w:rFonts w:hint="eastAsia" w:ascii="宋体" w:hAnsi="宋体"/>
          <w:color w:val="auto"/>
          <w:sz w:val="28"/>
          <w:szCs w:val="28"/>
        </w:rPr>
      </w:pPr>
    </w:p>
    <w:p w14:paraId="79D899EA">
      <w:pPr>
        <w:spacing w:line="380" w:lineRule="exact"/>
        <w:ind w:firstLine="420" w:firstLineChars="200"/>
        <w:rPr>
          <w:rFonts w:hint="eastAsia" w:ascii="宋体" w:hAnsi="宋体"/>
          <w:color w:val="auto"/>
        </w:rPr>
      </w:pPr>
    </w:p>
    <w:p w14:paraId="53F280C2">
      <w:pPr>
        <w:spacing w:line="380" w:lineRule="exact"/>
        <w:ind w:firstLine="560" w:firstLineChars="200"/>
        <w:rPr>
          <w:rFonts w:hint="eastAsia" w:ascii="宋体" w:hAnsi="宋体"/>
          <w:color w:val="auto"/>
          <w:sz w:val="28"/>
          <w:szCs w:val="28"/>
        </w:rPr>
      </w:pPr>
    </w:p>
    <w:p w14:paraId="6AE00502">
      <w:pPr>
        <w:spacing w:line="380" w:lineRule="exact"/>
        <w:ind w:firstLine="560" w:firstLineChars="200"/>
        <w:rPr>
          <w:rFonts w:hint="eastAsia" w:ascii="宋体" w:hAnsi="宋体"/>
          <w:color w:val="auto"/>
          <w:sz w:val="28"/>
          <w:szCs w:val="28"/>
        </w:rPr>
      </w:pPr>
      <w:r>
        <w:rPr>
          <w:rFonts w:hint="eastAsia" w:ascii="宋体" w:hAnsi="宋体"/>
          <w:color w:val="auto"/>
          <w:sz w:val="28"/>
          <w:szCs w:val="28"/>
        </w:rPr>
        <w:t xml:space="preserve">                  </w:t>
      </w:r>
      <w:r>
        <w:rPr>
          <w:rFonts w:ascii="宋体" w:hAnsi="宋体"/>
          <w:color w:val="auto"/>
          <w:sz w:val="28"/>
          <w:szCs w:val="28"/>
        </w:rPr>
        <w:t xml:space="preserve">  </w:t>
      </w:r>
      <w:r>
        <w:rPr>
          <w:rFonts w:hint="eastAsia" w:ascii="宋体" w:hAnsi="宋体"/>
          <w:color w:val="auto"/>
          <w:sz w:val="28"/>
          <w:szCs w:val="28"/>
        </w:rPr>
        <w:t>年      月      日</w:t>
      </w:r>
    </w:p>
    <w:p w14:paraId="7C6C1EA3">
      <w:pPr>
        <w:spacing w:line="460" w:lineRule="exact"/>
        <w:jc w:val="center"/>
        <w:rPr>
          <w:rFonts w:eastAsia="黑体"/>
          <w:color w:val="auto"/>
          <w:sz w:val="44"/>
          <w:szCs w:val="44"/>
        </w:rPr>
      </w:pPr>
    </w:p>
    <w:p w14:paraId="588C382C">
      <w:pPr>
        <w:spacing w:line="460" w:lineRule="exact"/>
        <w:jc w:val="center"/>
        <w:rPr>
          <w:rFonts w:eastAsia="黑体"/>
          <w:color w:val="auto"/>
          <w:sz w:val="44"/>
          <w:szCs w:val="44"/>
        </w:rPr>
      </w:pPr>
    </w:p>
    <w:p w14:paraId="7609F684">
      <w:pPr>
        <w:widowControl/>
        <w:jc w:val="left"/>
        <w:rPr>
          <w:rFonts w:hint="eastAsia" w:ascii="宋体" w:hAnsi="宋体"/>
          <w:color w:val="auto"/>
          <w:szCs w:val="21"/>
        </w:rPr>
      </w:pPr>
      <w:r>
        <w:rPr>
          <w:rFonts w:ascii="宋体" w:hAnsi="宋体"/>
          <w:color w:val="auto"/>
          <w:szCs w:val="21"/>
        </w:rPr>
        <w:br w:type="page"/>
      </w:r>
    </w:p>
    <w:p w14:paraId="2F126156">
      <w:pPr>
        <w:spacing w:line="460" w:lineRule="exact"/>
        <w:jc w:val="center"/>
        <w:rPr>
          <w:rFonts w:hint="eastAsia" w:ascii="宋体" w:hAnsi="宋体"/>
          <w:color w:val="auto"/>
          <w:szCs w:val="21"/>
        </w:rPr>
      </w:pPr>
    </w:p>
    <w:p w14:paraId="21B34A47">
      <w:pPr>
        <w:pStyle w:val="27"/>
        <w:rPr>
          <w:color w:val="auto"/>
        </w:rPr>
      </w:pPr>
      <w:bookmarkStart w:id="2051" w:name="_Toc173867059"/>
      <w:bookmarkStart w:id="2052" w:name="_Toc426495640"/>
      <w:bookmarkStart w:id="2053" w:name="_Toc5123"/>
      <w:r>
        <w:rPr>
          <w:rFonts w:hint="eastAsia"/>
          <w:color w:val="auto"/>
        </w:rPr>
        <w:t>投标总价扉页</w:t>
      </w:r>
      <w:bookmarkEnd w:id="2051"/>
      <w:bookmarkEnd w:id="2052"/>
      <w:bookmarkEnd w:id="2053"/>
    </w:p>
    <w:p w14:paraId="01835420">
      <w:pPr>
        <w:spacing w:line="380" w:lineRule="exact"/>
        <w:ind w:firstLine="480" w:firstLineChars="200"/>
        <w:rPr>
          <w:rFonts w:ascii="黑体" w:eastAsia="黑体"/>
          <w:color w:val="auto"/>
          <w:sz w:val="24"/>
        </w:rPr>
      </w:pPr>
    </w:p>
    <w:p w14:paraId="74B5115F">
      <w:pPr>
        <w:spacing w:line="600" w:lineRule="exact"/>
        <w:ind w:firstLine="420" w:firstLineChars="200"/>
        <w:rPr>
          <w:rFonts w:hint="eastAsia" w:ascii="宋体" w:hAnsi="宋体"/>
          <w:color w:val="auto"/>
        </w:rPr>
      </w:pPr>
      <w:r>
        <w:rPr>
          <w:rFonts w:hint="eastAsia" w:ascii="宋体" w:hAnsi="宋体"/>
          <w:color w:val="auto"/>
        </w:rPr>
        <w:t>工程名称：</w:t>
      </w:r>
      <w:r>
        <w:rPr>
          <w:rFonts w:hint="eastAsia" w:ascii="宋体" w:hAnsi="宋体"/>
          <w:color w:val="auto"/>
          <w:u w:val="single"/>
        </w:rPr>
        <w:t xml:space="preserve">                                                               </w:t>
      </w:r>
    </w:p>
    <w:p w14:paraId="6168722E">
      <w:pPr>
        <w:spacing w:line="600" w:lineRule="exact"/>
        <w:ind w:firstLine="420" w:firstLineChars="200"/>
        <w:rPr>
          <w:rFonts w:hint="eastAsia" w:ascii="宋体" w:hAnsi="宋体"/>
          <w:color w:val="auto"/>
        </w:rPr>
      </w:pPr>
      <w:r>
        <w:rPr>
          <w:rFonts w:hint="eastAsia" w:ascii="宋体" w:hAnsi="宋体"/>
          <w:color w:val="auto"/>
        </w:rPr>
        <w:t>标段名称：</w:t>
      </w:r>
      <w:r>
        <w:rPr>
          <w:rFonts w:hint="eastAsia" w:ascii="宋体" w:hAnsi="宋体"/>
          <w:color w:val="auto"/>
          <w:u w:val="single"/>
        </w:rPr>
        <w:t xml:space="preserve">                                                               </w:t>
      </w:r>
    </w:p>
    <w:p w14:paraId="6D2C1DD5">
      <w:pPr>
        <w:spacing w:line="380" w:lineRule="exact"/>
        <w:ind w:firstLine="480" w:firstLineChars="200"/>
        <w:rPr>
          <w:rFonts w:ascii="黑体" w:eastAsia="黑体"/>
          <w:color w:val="auto"/>
          <w:sz w:val="24"/>
        </w:rPr>
      </w:pPr>
    </w:p>
    <w:p w14:paraId="2698C9BF">
      <w:pPr>
        <w:spacing w:line="380" w:lineRule="exact"/>
        <w:ind w:firstLine="480" w:firstLineChars="200"/>
        <w:rPr>
          <w:rFonts w:ascii="黑体" w:eastAsia="黑体"/>
          <w:color w:val="auto"/>
          <w:sz w:val="24"/>
        </w:rPr>
      </w:pPr>
    </w:p>
    <w:p w14:paraId="7F7AE602">
      <w:pPr>
        <w:spacing w:after="480" w:afterLines="200" w:line="380" w:lineRule="exact"/>
        <w:ind w:firstLine="720" w:firstLineChars="200"/>
        <w:jc w:val="center"/>
        <w:rPr>
          <w:rFonts w:ascii="黑体" w:eastAsia="黑体"/>
          <w:color w:val="auto"/>
          <w:spacing w:val="20"/>
          <w:sz w:val="32"/>
          <w:szCs w:val="32"/>
        </w:rPr>
      </w:pPr>
      <w:r>
        <w:rPr>
          <w:rFonts w:hint="eastAsia" w:ascii="黑体" w:eastAsia="黑体"/>
          <w:color w:val="auto"/>
          <w:spacing w:val="20"/>
          <w:sz w:val="32"/>
          <w:szCs w:val="32"/>
        </w:rPr>
        <w:t>投标总价</w:t>
      </w:r>
    </w:p>
    <w:p w14:paraId="7A52AB3C">
      <w:pPr>
        <w:spacing w:line="600" w:lineRule="exact"/>
        <w:ind w:firstLine="420" w:firstLineChars="200"/>
        <w:rPr>
          <w:rFonts w:hint="eastAsia" w:ascii="宋体" w:hAnsi="宋体"/>
          <w:color w:val="auto"/>
        </w:rPr>
      </w:pPr>
      <w:r>
        <w:rPr>
          <w:rFonts w:hint="eastAsia" w:ascii="宋体" w:hAnsi="宋体"/>
          <w:color w:val="auto"/>
        </w:rPr>
        <w:t>投标总价（小写） ：</w:t>
      </w:r>
      <w:r>
        <w:rPr>
          <w:rFonts w:hint="eastAsia" w:ascii="宋体" w:hAnsi="宋体"/>
          <w:color w:val="auto"/>
          <w:u w:val="single"/>
        </w:rPr>
        <w:t xml:space="preserve">                                                   </w:t>
      </w:r>
      <w:r>
        <w:rPr>
          <w:rFonts w:hint="eastAsia" w:ascii="宋体" w:hAnsi="宋体"/>
          <w:color w:val="auto"/>
        </w:rPr>
        <w:t xml:space="preserve">   </w:t>
      </w:r>
    </w:p>
    <w:p w14:paraId="50800E8A">
      <w:pPr>
        <w:spacing w:line="600" w:lineRule="exact"/>
        <w:ind w:firstLine="1260" w:firstLineChars="600"/>
        <w:rPr>
          <w:rFonts w:hint="eastAsia" w:ascii="宋体" w:hAnsi="宋体"/>
          <w:color w:val="auto"/>
          <w:u w:val="single"/>
        </w:rPr>
      </w:pPr>
      <w:r>
        <w:rPr>
          <w:rFonts w:hint="eastAsia" w:ascii="宋体" w:hAnsi="宋体"/>
          <w:color w:val="auto"/>
        </w:rPr>
        <w:t>（大写） ：</w:t>
      </w:r>
      <w:r>
        <w:rPr>
          <w:rFonts w:hint="eastAsia" w:ascii="宋体" w:hAnsi="宋体"/>
          <w:color w:val="auto"/>
          <w:u w:val="single"/>
        </w:rPr>
        <w:t xml:space="preserve">                                                   </w:t>
      </w:r>
      <w:r>
        <w:rPr>
          <w:rFonts w:hint="eastAsia" w:ascii="宋体" w:hAnsi="宋体"/>
          <w:color w:val="auto"/>
        </w:rPr>
        <w:t xml:space="preserve">   </w:t>
      </w:r>
    </w:p>
    <w:p w14:paraId="5BBA93C8">
      <w:pPr>
        <w:spacing w:line="600" w:lineRule="exact"/>
        <w:ind w:firstLine="1260" w:firstLineChars="600"/>
        <w:rPr>
          <w:rFonts w:hint="eastAsia" w:ascii="宋体" w:hAnsi="宋体"/>
          <w:color w:val="auto"/>
        </w:rPr>
      </w:pPr>
    </w:p>
    <w:p w14:paraId="1FC43CB8">
      <w:pPr>
        <w:spacing w:line="320" w:lineRule="exact"/>
        <w:ind w:firstLine="420" w:firstLineChars="200"/>
        <w:rPr>
          <w:rFonts w:hint="eastAsia" w:ascii="宋体" w:hAnsi="宋体"/>
          <w:color w:val="auto"/>
        </w:rPr>
      </w:pPr>
      <w:r>
        <w:rPr>
          <w:rFonts w:hint="eastAsia" w:ascii="宋体" w:hAnsi="宋体"/>
          <w:color w:val="auto"/>
        </w:rPr>
        <w:t>投 标 人：                                           （盖章）</w:t>
      </w:r>
    </w:p>
    <w:p w14:paraId="465A293F">
      <w:pPr>
        <w:spacing w:line="380" w:lineRule="exact"/>
        <w:ind w:firstLine="420" w:firstLineChars="200"/>
        <w:rPr>
          <w:rFonts w:hint="eastAsia" w:ascii="宋体" w:hAnsi="宋体"/>
          <w:color w:val="auto"/>
        </w:rPr>
      </w:pPr>
    </w:p>
    <w:p w14:paraId="0BED3DE4">
      <w:pPr>
        <w:spacing w:after="93" w:afterLines="30" w:line="380" w:lineRule="exact"/>
        <w:ind w:firstLine="420" w:firstLineChars="200"/>
        <w:rPr>
          <w:rFonts w:hint="eastAsia" w:ascii="宋体" w:hAnsi="宋体"/>
          <w:color w:val="auto"/>
        </w:rPr>
      </w:pPr>
      <w:r>
        <w:rPr>
          <w:rFonts w:hint="eastAsia" w:ascii="宋体" w:hAnsi="宋体"/>
          <w:color w:val="auto"/>
        </w:rPr>
        <w:t>法定代表人</w:t>
      </w:r>
    </w:p>
    <w:p w14:paraId="276C0BCD">
      <w:pPr>
        <w:spacing w:line="320" w:lineRule="exact"/>
        <w:ind w:firstLine="420" w:firstLineChars="200"/>
        <w:rPr>
          <w:rFonts w:hint="eastAsia" w:ascii="宋体" w:hAnsi="宋体"/>
          <w:color w:val="auto"/>
        </w:rPr>
      </w:pPr>
      <w:r>
        <w:rPr>
          <w:rFonts w:hint="eastAsia" w:ascii="宋体" w:hAnsi="宋体"/>
          <w:color w:val="auto"/>
        </w:rPr>
        <w:t>或其授权人：                                         （签字或盖章）</w:t>
      </w:r>
    </w:p>
    <w:p w14:paraId="770D853F">
      <w:pPr>
        <w:spacing w:line="320" w:lineRule="exact"/>
        <w:ind w:firstLine="3990" w:firstLineChars="1900"/>
        <w:rPr>
          <w:rFonts w:hint="eastAsia" w:ascii="宋体" w:hAnsi="宋体"/>
          <w:color w:val="auto"/>
        </w:rPr>
      </w:pPr>
    </w:p>
    <w:p w14:paraId="5CBDB08E">
      <w:pPr>
        <w:spacing w:line="320" w:lineRule="exact"/>
        <w:ind w:firstLine="3990" w:firstLineChars="1900"/>
        <w:rPr>
          <w:rFonts w:hint="eastAsia" w:ascii="宋体" w:hAnsi="宋体"/>
          <w:color w:val="auto"/>
        </w:rPr>
      </w:pPr>
    </w:p>
    <w:p w14:paraId="742B1C5D">
      <w:pPr>
        <w:spacing w:line="320" w:lineRule="exact"/>
        <w:ind w:firstLine="420" w:firstLineChars="200"/>
        <w:rPr>
          <w:rFonts w:hint="eastAsia" w:ascii="宋体" w:hAnsi="宋体"/>
          <w:color w:val="auto"/>
        </w:rPr>
      </w:pPr>
      <w:r>
        <w:rPr>
          <w:rFonts w:hint="eastAsia" w:ascii="宋体" w:hAnsi="宋体"/>
          <w:color w:val="auto"/>
        </w:rPr>
        <w:t>编制人：                                         （造价人员签字或盖章）</w:t>
      </w:r>
    </w:p>
    <w:p w14:paraId="34EC0164">
      <w:pPr>
        <w:spacing w:line="380" w:lineRule="exact"/>
        <w:ind w:firstLine="420" w:firstLineChars="200"/>
        <w:rPr>
          <w:rFonts w:hint="eastAsia" w:ascii="宋体" w:hAnsi="宋体"/>
          <w:color w:val="auto"/>
        </w:rPr>
      </w:pPr>
    </w:p>
    <w:p w14:paraId="5CFE187E">
      <w:pPr>
        <w:spacing w:line="380" w:lineRule="exact"/>
        <w:ind w:firstLine="420" w:firstLineChars="200"/>
        <w:rPr>
          <w:rFonts w:hint="eastAsia" w:ascii="宋体" w:hAnsi="宋体"/>
          <w:color w:val="auto"/>
        </w:rPr>
      </w:pPr>
    </w:p>
    <w:p w14:paraId="1AFE7856">
      <w:pPr>
        <w:spacing w:line="380" w:lineRule="exact"/>
        <w:ind w:firstLine="420" w:firstLineChars="200"/>
        <w:rPr>
          <w:rFonts w:hint="eastAsia" w:ascii="宋体" w:hAnsi="宋体"/>
          <w:color w:val="auto"/>
        </w:rPr>
      </w:pPr>
      <w:r>
        <w:rPr>
          <w:rFonts w:hint="eastAsia" w:ascii="宋体" w:hAnsi="宋体"/>
          <w:color w:val="auto"/>
        </w:rPr>
        <w:t>编制时间：                        年      月      日</w:t>
      </w:r>
    </w:p>
    <w:p w14:paraId="2F5B3790">
      <w:pPr>
        <w:spacing w:line="380" w:lineRule="exact"/>
        <w:ind w:firstLine="420" w:firstLineChars="200"/>
        <w:rPr>
          <w:rFonts w:ascii="黑体" w:eastAsia="黑体"/>
          <w:color w:val="auto"/>
        </w:rPr>
      </w:pPr>
    </w:p>
    <w:p w14:paraId="596F4B41">
      <w:pPr>
        <w:spacing w:line="380" w:lineRule="exact"/>
        <w:ind w:firstLine="420" w:firstLineChars="200"/>
        <w:rPr>
          <w:rFonts w:ascii="黑体" w:eastAsia="黑体"/>
          <w:color w:val="auto"/>
        </w:rPr>
      </w:pPr>
    </w:p>
    <w:p w14:paraId="6E5C7D9A">
      <w:pPr>
        <w:spacing w:line="380" w:lineRule="exact"/>
        <w:ind w:firstLine="420" w:firstLineChars="200"/>
        <w:rPr>
          <w:rFonts w:ascii="黑体" w:eastAsia="黑体"/>
          <w:color w:val="auto"/>
        </w:rPr>
      </w:pPr>
    </w:p>
    <w:p w14:paraId="60C2DA6E">
      <w:pPr>
        <w:spacing w:line="380" w:lineRule="exact"/>
        <w:ind w:firstLine="420" w:firstLineChars="200"/>
        <w:rPr>
          <w:rFonts w:ascii="黑体" w:eastAsia="黑体"/>
          <w:color w:val="auto"/>
        </w:rPr>
      </w:pPr>
    </w:p>
    <w:p w14:paraId="4A7A4878">
      <w:pPr>
        <w:spacing w:line="380" w:lineRule="exact"/>
        <w:ind w:firstLine="420" w:firstLineChars="200"/>
        <w:rPr>
          <w:rFonts w:hint="eastAsia" w:ascii="黑体" w:eastAsia="黑体"/>
          <w:color w:val="auto"/>
        </w:rPr>
      </w:pPr>
    </w:p>
    <w:p w14:paraId="1DA6E271">
      <w:pPr>
        <w:spacing w:line="380" w:lineRule="exact"/>
        <w:ind w:firstLine="420" w:firstLineChars="200"/>
        <w:rPr>
          <w:rFonts w:hint="eastAsia" w:ascii="宋体" w:hAnsi="宋体"/>
          <w:color w:val="auto"/>
        </w:rPr>
      </w:pPr>
      <w:r>
        <w:rPr>
          <w:rFonts w:hint="eastAsia" w:ascii="宋体" w:hAnsi="宋体"/>
          <w:color w:val="auto"/>
        </w:rPr>
        <w:t>备注：1</w:t>
      </w:r>
      <w:r>
        <w:rPr>
          <w:rFonts w:ascii="宋体" w:hAnsi="宋体"/>
          <w:color w:val="auto"/>
        </w:rPr>
        <w:t>.</w:t>
      </w:r>
      <w:r>
        <w:rPr>
          <w:rFonts w:hint="eastAsia" w:ascii="宋体" w:hAnsi="宋体"/>
          <w:color w:val="auto"/>
        </w:rPr>
        <w:t>投标总价可按四舍五入精确到小数点后两位。</w:t>
      </w:r>
    </w:p>
    <w:p w14:paraId="4E2BB5F6">
      <w:pPr>
        <w:spacing w:line="380" w:lineRule="exact"/>
        <w:ind w:left="1365" w:leftChars="200" w:hanging="945" w:hangingChars="450"/>
        <w:rPr>
          <w:rFonts w:hint="eastAsia"/>
          <w:color w:val="auto"/>
        </w:rPr>
      </w:pPr>
      <w:r>
        <w:rPr>
          <w:rFonts w:hint="eastAsia" w:ascii="宋体" w:hAnsi="宋体"/>
          <w:color w:val="auto"/>
        </w:rPr>
        <w:t xml:space="preserve">      2</w:t>
      </w:r>
      <w:r>
        <w:rPr>
          <w:rFonts w:ascii="宋体" w:hAnsi="宋体"/>
          <w:color w:val="auto"/>
        </w:rPr>
        <w:t>.</w:t>
      </w:r>
      <w:r>
        <w:rPr>
          <w:rFonts w:hint="eastAsia" w:ascii="宋体" w:hAnsi="宋体"/>
          <w:color w:val="auto"/>
        </w:rPr>
        <w:t>已标价工程量清单的内容和制作按第五章“工程量清单”和第二章“投标人须知”</w:t>
      </w:r>
      <w:r>
        <w:rPr>
          <w:rFonts w:hint="eastAsia"/>
          <w:color w:val="auto"/>
        </w:rPr>
        <w:t xml:space="preserve"> </w:t>
      </w:r>
      <w:r>
        <w:rPr>
          <w:rFonts w:hint="eastAsia" w:ascii="宋体" w:hAnsi="宋体"/>
          <w:color w:val="auto"/>
        </w:rPr>
        <w:t>第3.7.3（</w:t>
      </w:r>
      <w:r>
        <w:rPr>
          <w:rFonts w:ascii="宋体" w:hAnsi="宋体"/>
          <w:color w:val="auto"/>
        </w:rPr>
        <w:t>5</w:t>
      </w:r>
      <w:r>
        <w:rPr>
          <w:rFonts w:hint="eastAsia" w:ascii="宋体" w:hAnsi="宋体"/>
          <w:color w:val="auto"/>
        </w:rPr>
        <w:t>）目的要求填报和制作。</w:t>
      </w:r>
    </w:p>
    <w:p w14:paraId="25401000">
      <w:pPr>
        <w:rPr>
          <w:color w:val="auto"/>
        </w:rPr>
        <w:sectPr>
          <w:footerReference r:id="rId58" w:type="default"/>
          <w:pgSz w:w="11906" w:h="16838"/>
          <w:pgMar w:top="1440" w:right="1800" w:bottom="1440" w:left="1800" w:header="851" w:footer="992" w:gutter="0"/>
          <w:pgNumType w:fmt="decimal"/>
          <w:cols w:space="425" w:num="1"/>
          <w:docGrid w:type="lines" w:linePitch="312" w:charSpace="0"/>
        </w:sectPr>
      </w:pPr>
    </w:p>
    <w:p w14:paraId="6BD31AC2">
      <w:pPr>
        <w:pStyle w:val="25"/>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ascii="黑体" w:hAnsi="宋体"/>
          <w:color w:val="auto"/>
          <w:szCs w:val="28"/>
        </w:rPr>
      </w:pPr>
      <w:bookmarkStart w:id="2054" w:name="_Toc27235"/>
      <w:bookmarkStart w:id="2055" w:name="_Toc5291"/>
      <w:r>
        <w:rPr>
          <w:rFonts w:hint="default"/>
          <w:color w:val="auto"/>
          <w:lang w:eastAsia="zh-CN"/>
        </w:rPr>
        <w:t>九</w:t>
      </w:r>
      <w:r>
        <w:rPr>
          <w:rFonts w:hint="eastAsia"/>
          <w:color w:val="auto"/>
        </w:rPr>
        <w:t>、施工组织设计</w:t>
      </w:r>
      <w:bookmarkEnd w:id="2054"/>
      <w:bookmarkEnd w:id="2055"/>
    </w:p>
    <w:p w14:paraId="57B7C050">
      <w:pPr>
        <w:spacing w:line="420" w:lineRule="exact"/>
        <w:ind w:firstLine="420" w:firstLineChars="200"/>
        <w:rPr>
          <w:rFonts w:ascii="宋体" w:hAnsi="宋体"/>
          <w:color w:val="auto"/>
          <w:szCs w:val="21"/>
        </w:rPr>
      </w:pPr>
      <w:r>
        <w:rPr>
          <w:rFonts w:hint="eastAsia" w:ascii="宋体" w:hAnsi="宋体"/>
          <w:color w:val="auto"/>
          <w:szCs w:val="21"/>
          <w:lang w:eastAsia="zh-CN"/>
        </w:rPr>
        <w:t>1.</w:t>
      </w:r>
      <w:r>
        <w:rPr>
          <w:rFonts w:hint="eastAsia" w:ascii="宋体" w:hAnsi="宋体"/>
          <w:color w:val="auto"/>
          <w:szCs w:val="21"/>
        </w:rPr>
        <w:t>投标人应根据招标文件和对现场的勘察情况，采用文字并结合图表形式，按照国家标准《建筑施工组织设计规范》（GB/T50502-2009）的要求编制本工程的施工组织设计，其要点如下：</w:t>
      </w:r>
    </w:p>
    <w:p w14:paraId="2834C76A">
      <w:pPr>
        <w:spacing w:line="420" w:lineRule="exact"/>
        <w:ind w:firstLine="420" w:firstLineChars="200"/>
        <w:rPr>
          <w:rFonts w:ascii="宋体" w:hAnsi="宋体"/>
          <w:b/>
          <w:color w:val="auto"/>
          <w:szCs w:val="21"/>
        </w:rPr>
      </w:pPr>
      <w:r>
        <w:rPr>
          <w:rFonts w:hint="eastAsia" w:ascii="宋体" w:hAnsi="宋体"/>
          <w:color w:val="auto"/>
          <w:szCs w:val="21"/>
        </w:rPr>
        <w:t>（1）</w:t>
      </w:r>
      <w:r>
        <w:rPr>
          <w:rFonts w:hint="eastAsia" w:ascii="宋体" w:hAnsi="宋体"/>
          <w:b/>
          <w:color w:val="auto"/>
          <w:szCs w:val="21"/>
        </w:rPr>
        <w:t>工程概况</w:t>
      </w:r>
    </w:p>
    <w:p w14:paraId="0F949CD4">
      <w:pPr>
        <w:spacing w:line="420" w:lineRule="exact"/>
        <w:ind w:firstLine="945" w:firstLineChars="450"/>
        <w:rPr>
          <w:rFonts w:ascii="宋体" w:hAnsi="宋体"/>
          <w:color w:val="auto"/>
          <w:szCs w:val="21"/>
        </w:rPr>
      </w:pPr>
      <w:r>
        <w:rPr>
          <w:rFonts w:hint="eastAsia" w:ascii="宋体" w:hAnsi="宋体"/>
          <w:color w:val="auto"/>
          <w:szCs w:val="21"/>
        </w:rPr>
        <w:t>包括工程主要情况、各专业设计简介、工程施工条件等；</w:t>
      </w:r>
    </w:p>
    <w:p w14:paraId="2632AAB1">
      <w:pPr>
        <w:spacing w:line="420" w:lineRule="exact"/>
        <w:ind w:left="630" w:leftChars="200" w:hanging="210" w:hangingChars="100"/>
        <w:rPr>
          <w:rFonts w:ascii="宋体" w:hAnsi="宋体"/>
          <w:color w:val="auto"/>
          <w:szCs w:val="21"/>
        </w:rPr>
      </w:pPr>
      <w:r>
        <w:rPr>
          <w:rFonts w:hint="eastAsia" w:ascii="宋体" w:hAnsi="宋体"/>
          <w:color w:val="auto"/>
          <w:szCs w:val="21"/>
        </w:rPr>
        <w:t>（2）</w:t>
      </w:r>
      <w:r>
        <w:rPr>
          <w:rFonts w:hint="eastAsia" w:ascii="宋体" w:hAnsi="宋体"/>
          <w:b/>
          <w:color w:val="auto"/>
          <w:szCs w:val="21"/>
        </w:rPr>
        <w:t>施工部署</w:t>
      </w:r>
    </w:p>
    <w:p w14:paraId="2E97A897">
      <w:pPr>
        <w:spacing w:line="420" w:lineRule="exact"/>
        <w:ind w:left="962" w:leftChars="458"/>
        <w:rPr>
          <w:rFonts w:ascii="宋体" w:hAnsi="宋体"/>
          <w:color w:val="auto"/>
          <w:szCs w:val="21"/>
        </w:rPr>
      </w:pPr>
      <w:r>
        <w:rPr>
          <w:rFonts w:hint="eastAsia" w:ascii="宋体" w:hAnsi="宋体"/>
          <w:color w:val="auto"/>
          <w:szCs w:val="21"/>
        </w:rPr>
        <w:t>包括工程施工目标、主要施工内容及其进度安排、施工流水段划分、施工的重点和难点分析、工程管理的组织机构形式、项目经理部的工作岗位设置及其职责划分、新技术、新工艺部署及其技术和管理要求（如有）、主要分包工程施工单位的选择要求及管理方式（如有）；</w:t>
      </w:r>
    </w:p>
    <w:p w14:paraId="67797B62">
      <w:pPr>
        <w:spacing w:line="420" w:lineRule="exact"/>
        <w:ind w:left="630" w:leftChars="200" w:hanging="210" w:hangingChars="100"/>
        <w:rPr>
          <w:rFonts w:ascii="宋体" w:hAnsi="宋体"/>
          <w:color w:val="auto"/>
          <w:szCs w:val="21"/>
        </w:rPr>
      </w:pPr>
      <w:r>
        <w:rPr>
          <w:rFonts w:hint="eastAsia" w:ascii="宋体" w:hAnsi="宋体"/>
          <w:color w:val="auto"/>
          <w:szCs w:val="21"/>
        </w:rPr>
        <w:t>（3）</w:t>
      </w:r>
      <w:r>
        <w:rPr>
          <w:rFonts w:hint="eastAsia" w:ascii="宋体" w:hAnsi="宋体"/>
          <w:b/>
          <w:color w:val="auto"/>
          <w:szCs w:val="21"/>
        </w:rPr>
        <w:t>施工进度计划</w:t>
      </w:r>
    </w:p>
    <w:p w14:paraId="5C1E20A7">
      <w:pPr>
        <w:spacing w:line="420" w:lineRule="exact"/>
        <w:ind w:left="945" w:leftChars="450"/>
        <w:rPr>
          <w:rFonts w:ascii="宋体" w:hAnsi="宋体"/>
          <w:color w:val="auto"/>
          <w:szCs w:val="21"/>
        </w:rPr>
      </w:pPr>
      <w:r>
        <w:rPr>
          <w:rFonts w:hint="eastAsia" w:ascii="宋体" w:hAnsi="宋体"/>
          <w:color w:val="auto"/>
          <w:szCs w:val="21"/>
        </w:rPr>
        <w:t>可采用网络图或横道图表示，并附必要说明，对于规模较大或较复杂的工程，宜采用网络图表示；</w:t>
      </w:r>
    </w:p>
    <w:p w14:paraId="5740D41A">
      <w:pPr>
        <w:spacing w:line="420" w:lineRule="exact"/>
        <w:ind w:left="630" w:leftChars="200" w:hanging="210" w:hangingChars="100"/>
        <w:rPr>
          <w:rFonts w:ascii="宋体" w:hAnsi="宋体"/>
          <w:color w:val="auto"/>
          <w:szCs w:val="21"/>
        </w:rPr>
      </w:pPr>
      <w:r>
        <w:rPr>
          <w:rFonts w:hint="eastAsia" w:ascii="宋体" w:hAnsi="宋体"/>
          <w:color w:val="auto"/>
          <w:szCs w:val="21"/>
        </w:rPr>
        <w:t>（4）</w:t>
      </w:r>
      <w:r>
        <w:rPr>
          <w:rFonts w:hint="eastAsia" w:ascii="宋体" w:hAnsi="宋体"/>
          <w:b/>
          <w:color w:val="auto"/>
          <w:szCs w:val="21"/>
        </w:rPr>
        <w:t>施工准备与资源配置计划</w:t>
      </w:r>
    </w:p>
    <w:p w14:paraId="7D1C093B">
      <w:pPr>
        <w:spacing w:line="420" w:lineRule="exact"/>
        <w:ind w:left="945" w:leftChars="450"/>
        <w:rPr>
          <w:rFonts w:ascii="宋体" w:hAnsi="宋体"/>
          <w:color w:val="auto"/>
          <w:szCs w:val="21"/>
        </w:rPr>
      </w:pPr>
      <w:r>
        <w:rPr>
          <w:rFonts w:hint="eastAsia" w:ascii="宋体" w:hAnsi="宋体"/>
          <w:color w:val="auto"/>
          <w:szCs w:val="21"/>
        </w:rPr>
        <w:t>施工准备包括技术准备、现场准备和资金准备；资源配置计划包括劳动力配置计划、主要工程材料和设备配置计划、主要周转材料和施工机具配置计划等；</w:t>
      </w:r>
    </w:p>
    <w:p w14:paraId="60BF418F">
      <w:pPr>
        <w:spacing w:line="420" w:lineRule="exact"/>
        <w:ind w:left="630" w:leftChars="200" w:hanging="210" w:hangingChars="100"/>
        <w:rPr>
          <w:rFonts w:ascii="宋体" w:hAnsi="宋体"/>
          <w:color w:val="auto"/>
          <w:szCs w:val="21"/>
        </w:rPr>
      </w:pPr>
      <w:r>
        <w:rPr>
          <w:rFonts w:hint="eastAsia" w:ascii="宋体" w:hAnsi="宋体"/>
          <w:color w:val="auto"/>
          <w:szCs w:val="21"/>
        </w:rPr>
        <w:t>（5）</w:t>
      </w:r>
      <w:r>
        <w:rPr>
          <w:rFonts w:hint="eastAsia" w:ascii="宋体" w:hAnsi="宋体"/>
          <w:b/>
          <w:color w:val="auto"/>
          <w:szCs w:val="21"/>
        </w:rPr>
        <w:t>主要施工方案</w:t>
      </w:r>
    </w:p>
    <w:p w14:paraId="5946E588">
      <w:pPr>
        <w:spacing w:line="420" w:lineRule="exact"/>
        <w:ind w:left="945" w:leftChars="450"/>
        <w:rPr>
          <w:rFonts w:ascii="宋体" w:hAnsi="宋体"/>
          <w:color w:val="auto"/>
          <w:szCs w:val="21"/>
        </w:rPr>
      </w:pPr>
      <w:r>
        <w:rPr>
          <w:rFonts w:hint="eastAsia" w:ascii="宋体" w:hAnsi="宋体"/>
          <w:color w:val="auto"/>
          <w:szCs w:val="21"/>
        </w:rPr>
        <w:t>对主要分部、分项工程制定施工方案；对脚手架工程、起重吊装工程、临时用水用电工程、季节性施工等专项工程所采用的施工方案进行必要的验算和说明；对易发生质量通病、易出现安全问题、施工难度大、技术含量高的分项工程（工序）等做出重点说明；</w:t>
      </w:r>
    </w:p>
    <w:p w14:paraId="7D395F98">
      <w:pPr>
        <w:spacing w:line="420" w:lineRule="exact"/>
        <w:ind w:left="630" w:leftChars="200" w:hanging="210" w:hangingChars="100"/>
        <w:rPr>
          <w:rFonts w:ascii="宋体" w:hAnsi="宋体"/>
          <w:color w:val="auto"/>
          <w:szCs w:val="21"/>
        </w:rPr>
      </w:pPr>
      <w:r>
        <w:rPr>
          <w:rFonts w:hint="eastAsia" w:ascii="宋体" w:hAnsi="宋体"/>
          <w:color w:val="auto"/>
          <w:szCs w:val="21"/>
        </w:rPr>
        <w:t>（6）</w:t>
      </w:r>
      <w:r>
        <w:rPr>
          <w:rFonts w:hint="eastAsia" w:ascii="宋体" w:hAnsi="宋体"/>
          <w:b/>
          <w:color w:val="auto"/>
          <w:szCs w:val="21"/>
        </w:rPr>
        <w:t>施工现场平面布置</w:t>
      </w:r>
    </w:p>
    <w:p w14:paraId="103EFCAE">
      <w:pPr>
        <w:spacing w:line="420" w:lineRule="exact"/>
        <w:ind w:left="899" w:leftChars="428"/>
        <w:rPr>
          <w:rFonts w:ascii="宋体" w:hAnsi="宋体"/>
          <w:color w:val="auto"/>
          <w:szCs w:val="21"/>
        </w:rPr>
      </w:pPr>
      <w:r>
        <w:rPr>
          <w:rFonts w:hint="eastAsia" w:ascii="宋体" w:hAnsi="宋体"/>
          <w:color w:val="auto"/>
          <w:szCs w:val="21"/>
        </w:rPr>
        <w:t>按不同施工阶段绘制施工现场平面布置图并附文字说明，说明施工场地状况；拟建建（构）筑物的位置轮廓、尺寸、层数；加工设施、存储设施、办公和生活用房的位置和面积；布置垂直运输设施、供电设施、供水、供热设施、排水排污设施和临时施工道路；必备的安全、消防、保卫和环境保护设施；相邻的地上地下既有建（构）筑物及相关环境等；</w:t>
      </w:r>
    </w:p>
    <w:p w14:paraId="458E2DF4">
      <w:pPr>
        <w:spacing w:line="420" w:lineRule="exact"/>
        <w:ind w:left="630" w:leftChars="200" w:hanging="210" w:hangingChars="100"/>
        <w:rPr>
          <w:rFonts w:ascii="宋体" w:hAnsi="宋体"/>
          <w:color w:val="auto"/>
          <w:szCs w:val="21"/>
        </w:rPr>
      </w:pPr>
      <w:r>
        <w:rPr>
          <w:rFonts w:hint="eastAsia" w:ascii="宋体" w:hAnsi="宋体"/>
          <w:color w:val="auto"/>
          <w:szCs w:val="21"/>
        </w:rPr>
        <w:t>（7）</w:t>
      </w:r>
      <w:r>
        <w:rPr>
          <w:rFonts w:hint="eastAsia" w:ascii="宋体" w:hAnsi="宋体"/>
          <w:b/>
          <w:color w:val="auto"/>
          <w:szCs w:val="21"/>
        </w:rPr>
        <w:t>主要施工管理计划</w:t>
      </w:r>
    </w:p>
    <w:p w14:paraId="0744358C">
      <w:pPr>
        <w:spacing w:line="420" w:lineRule="exact"/>
        <w:ind w:left="945" w:leftChars="450"/>
        <w:rPr>
          <w:rFonts w:ascii="宋体" w:hAnsi="宋体"/>
          <w:color w:val="auto"/>
          <w:szCs w:val="21"/>
        </w:rPr>
      </w:pPr>
      <w:r>
        <w:rPr>
          <w:rFonts w:hint="eastAsia" w:ascii="宋体" w:hAnsi="宋体"/>
          <w:color w:val="auto"/>
          <w:szCs w:val="21"/>
        </w:rPr>
        <w:t>包括进度管理计划、质量管理计划、安全管理计划、环境管理计划、成本管理计划和其他管理计划，其中其他管理计划宜包括治安保卫管理计划、合同管理计划，组织协调管理计划、创优质工程管理计划、成品保护管理计划、质量保修管理计划、对施工现场人力资源、施工机具、材料设备等管理计划。</w:t>
      </w:r>
    </w:p>
    <w:p w14:paraId="7C9A3EA8">
      <w:pPr>
        <w:spacing w:line="420" w:lineRule="exact"/>
        <w:ind w:firstLine="420" w:firstLineChars="200"/>
        <w:rPr>
          <w:rFonts w:ascii="宋体" w:hAnsi="宋体"/>
          <w:color w:val="auto"/>
          <w:szCs w:val="21"/>
        </w:rPr>
      </w:pPr>
      <w:r>
        <w:rPr>
          <w:rFonts w:hint="eastAsia" w:ascii="宋体" w:hAnsi="宋体"/>
          <w:color w:val="auto"/>
          <w:szCs w:val="21"/>
          <w:lang w:eastAsia="zh-CN"/>
        </w:rPr>
        <w:t>2.</w:t>
      </w:r>
      <w:r>
        <w:rPr>
          <w:rFonts w:hint="eastAsia" w:ascii="宋体" w:hAnsi="宋体"/>
          <w:color w:val="auto"/>
          <w:szCs w:val="21"/>
        </w:rPr>
        <w:t>施工组织设计除采用文字表述外可附下列图表，图表及格式要求附后。下述表格应按照章节内容，严格按给定的格式附在相应的章节中。</w:t>
      </w:r>
    </w:p>
    <w:p w14:paraId="10A41518">
      <w:pPr>
        <w:spacing w:line="420" w:lineRule="exact"/>
        <w:ind w:firstLine="420" w:firstLineChars="200"/>
        <w:rPr>
          <w:rFonts w:ascii="宋体" w:hAnsi="宋体"/>
          <w:color w:val="auto"/>
          <w:szCs w:val="21"/>
        </w:rPr>
      </w:pPr>
      <w:r>
        <w:rPr>
          <w:rFonts w:hint="eastAsia" w:ascii="宋体" w:hAnsi="宋体"/>
          <w:color w:val="auto"/>
          <w:szCs w:val="21"/>
        </w:rPr>
        <w:t>附表一  拟投入本工程的主要施工设备表</w:t>
      </w:r>
    </w:p>
    <w:p w14:paraId="1FA56101">
      <w:pPr>
        <w:spacing w:line="420" w:lineRule="exact"/>
        <w:ind w:firstLine="420" w:firstLineChars="200"/>
        <w:rPr>
          <w:rFonts w:ascii="宋体" w:hAnsi="宋体"/>
          <w:color w:val="auto"/>
          <w:szCs w:val="21"/>
        </w:rPr>
      </w:pPr>
      <w:r>
        <w:rPr>
          <w:rFonts w:hint="eastAsia" w:ascii="宋体" w:hAnsi="宋体"/>
          <w:color w:val="auto"/>
          <w:szCs w:val="21"/>
        </w:rPr>
        <w:t>附表二  拟配备本工程的试验和检测仪器设备表</w:t>
      </w:r>
    </w:p>
    <w:p w14:paraId="4FBC98E1">
      <w:pPr>
        <w:spacing w:line="420" w:lineRule="exact"/>
        <w:ind w:firstLine="420" w:firstLineChars="200"/>
        <w:rPr>
          <w:rFonts w:ascii="宋体" w:hAnsi="宋体"/>
          <w:color w:val="auto"/>
          <w:szCs w:val="21"/>
        </w:rPr>
      </w:pPr>
      <w:r>
        <w:rPr>
          <w:rFonts w:hint="eastAsia" w:ascii="宋体" w:hAnsi="宋体"/>
          <w:color w:val="auto"/>
          <w:szCs w:val="21"/>
        </w:rPr>
        <w:t>附表三  劳动力计划表</w:t>
      </w:r>
    </w:p>
    <w:p w14:paraId="6BF88096">
      <w:pPr>
        <w:spacing w:line="420" w:lineRule="exact"/>
        <w:ind w:firstLine="420" w:firstLineChars="200"/>
        <w:rPr>
          <w:rFonts w:ascii="宋体" w:hAnsi="宋体"/>
          <w:color w:val="auto"/>
          <w:szCs w:val="21"/>
        </w:rPr>
      </w:pPr>
      <w:r>
        <w:rPr>
          <w:rFonts w:hint="eastAsia" w:ascii="宋体" w:hAnsi="宋体"/>
          <w:color w:val="auto"/>
          <w:szCs w:val="21"/>
        </w:rPr>
        <w:t>附表四  计划开、竣工日期和施工进度网络图</w:t>
      </w:r>
    </w:p>
    <w:p w14:paraId="2CDA5A65">
      <w:pPr>
        <w:spacing w:line="420" w:lineRule="exact"/>
        <w:ind w:firstLine="420" w:firstLineChars="200"/>
        <w:rPr>
          <w:rFonts w:ascii="宋体" w:hAnsi="宋体"/>
          <w:color w:val="auto"/>
          <w:szCs w:val="21"/>
        </w:rPr>
      </w:pPr>
      <w:r>
        <w:rPr>
          <w:rFonts w:hint="eastAsia" w:ascii="宋体" w:hAnsi="宋体"/>
          <w:color w:val="auto"/>
          <w:szCs w:val="21"/>
        </w:rPr>
        <w:t>附表五  施工总平面图</w:t>
      </w:r>
    </w:p>
    <w:p w14:paraId="15E5855F">
      <w:pPr>
        <w:spacing w:line="420" w:lineRule="exact"/>
        <w:ind w:firstLine="420" w:firstLineChars="200"/>
        <w:rPr>
          <w:rFonts w:ascii="宋体" w:hAnsi="宋体"/>
          <w:color w:val="auto"/>
          <w:szCs w:val="21"/>
        </w:rPr>
      </w:pPr>
      <w:r>
        <w:rPr>
          <w:rFonts w:hint="eastAsia" w:ascii="宋体" w:hAnsi="宋体"/>
          <w:color w:val="auto"/>
          <w:szCs w:val="21"/>
        </w:rPr>
        <w:t>附表六  临时用地表</w:t>
      </w:r>
    </w:p>
    <w:p w14:paraId="3C08890A">
      <w:pPr>
        <w:spacing w:before="120" w:beforeLines="50" w:after="240" w:afterLines="100" w:line="420" w:lineRule="exact"/>
        <w:rPr>
          <w:rFonts w:ascii="黑体" w:hAnsi="宋体" w:eastAsia="黑体"/>
          <w:color w:val="auto"/>
          <w:sz w:val="24"/>
        </w:rPr>
      </w:pPr>
    </w:p>
    <w:p w14:paraId="7ACDE274">
      <w:pPr>
        <w:spacing w:before="120" w:beforeLines="50" w:after="240" w:afterLines="100" w:line="420" w:lineRule="exact"/>
        <w:rPr>
          <w:rFonts w:ascii="黑体" w:hAnsi="宋体" w:eastAsia="黑体"/>
          <w:color w:val="auto"/>
          <w:sz w:val="24"/>
        </w:rPr>
      </w:pPr>
    </w:p>
    <w:p w14:paraId="6D1C1FB5">
      <w:pPr>
        <w:spacing w:before="120" w:beforeLines="50" w:after="240" w:afterLines="100" w:line="420" w:lineRule="exact"/>
        <w:rPr>
          <w:rFonts w:ascii="黑体" w:hAnsi="宋体" w:eastAsia="黑体"/>
          <w:color w:val="auto"/>
          <w:sz w:val="24"/>
        </w:rPr>
      </w:pPr>
    </w:p>
    <w:p w14:paraId="3C9C8B73">
      <w:pPr>
        <w:spacing w:before="120" w:beforeLines="50" w:after="240" w:afterLines="100" w:line="420" w:lineRule="exact"/>
        <w:rPr>
          <w:rFonts w:ascii="黑体" w:hAnsi="宋体" w:eastAsia="黑体"/>
          <w:color w:val="auto"/>
          <w:sz w:val="24"/>
        </w:rPr>
      </w:pPr>
    </w:p>
    <w:p w14:paraId="3778ED06">
      <w:pPr>
        <w:spacing w:before="120" w:beforeLines="50" w:after="240" w:afterLines="100" w:line="420" w:lineRule="exact"/>
        <w:rPr>
          <w:rFonts w:ascii="黑体" w:hAnsi="宋体" w:eastAsia="黑体"/>
          <w:color w:val="auto"/>
          <w:sz w:val="24"/>
        </w:rPr>
      </w:pPr>
      <w:r>
        <w:rPr>
          <w:rFonts w:ascii="黑体" w:hAnsi="宋体" w:eastAsia="黑体"/>
          <w:color w:val="auto"/>
          <w:sz w:val="24"/>
        </w:rPr>
        <w:br w:type="page"/>
      </w:r>
    </w:p>
    <w:p w14:paraId="0BFA1D85">
      <w:pPr>
        <w:pStyle w:val="27"/>
        <w:rPr>
          <w:color w:val="auto"/>
          <w:szCs w:val="24"/>
        </w:rPr>
      </w:pPr>
      <w:bookmarkStart w:id="2056" w:name="_Toc22616"/>
      <w:bookmarkStart w:id="2057" w:name="_Toc152264830"/>
      <w:r>
        <w:rPr>
          <w:rFonts w:hint="eastAsia"/>
          <w:color w:val="auto"/>
          <w:szCs w:val="24"/>
        </w:rPr>
        <w:t>附表一：拟投入本工程的主要施工设备表</w:t>
      </w:r>
      <w:bookmarkEnd w:id="2056"/>
      <w:bookmarkEnd w:id="2057"/>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4"/>
        <w:gridCol w:w="1064"/>
        <w:gridCol w:w="672"/>
        <w:gridCol w:w="1022"/>
        <w:gridCol w:w="709"/>
        <w:gridCol w:w="709"/>
        <w:gridCol w:w="1176"/>
        <w:gridCol w:w="872"/>
        <w:gridCol w:w="872"/>
        <w:gridCol w:w="765"/>
      </w:tblGrid>
      <w:tr w14:paraId="72E35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644" w:type="dxa"/>
            <w:vAlign w:val="center"/>
          </w:tcPr>
          <w:p w14:paraId="7D50F097">
            <w:pPr>
              <w:jc w:val="center"/>
              <w:rPr>
                <w:rFonts w:ascii="宋体" w:hAnsi="宋体"/>
                <w:color w:val="auto"/>
                <w:szCs w:val="21"/>
              </w:rPr>
            </w:pPr>
            <w:r>
              <w:rPr>
                <w:rFonts w:hint="eastAsia" w:ascii="宋体" w:hAnsi="宋体"/>
                <w:color w:val="auto"/>
                <w:szCs w:val="21"/>
              </w:rPr>
              <w:t>序号</w:t>
            </w:r>
          </w:p>
        </w:tc>
        <w:tc>
          <w:tcPr>
            <w:tcW w:w="1064" w:type="dxa"/>
            <w:vAlign w:val="center"/>
          </w:tcPr>
          <w:p w14:paraId="3CAD8708">
            <w:pPr>
              <w:jc w:val="center"/>
              <w:rPr>
                <w:rFonts w:ascii="宋体" w:hAnsi="宋体"/>
                <w:color w:val="auto"/>
                <w:szCs w:val="21"/>
              </w:rPr>
            </w:pPr>
            <w:r>
              <w:rPr>
                <w:rFonts w:hint="eastAsia" w:ascii="宋体" w:hAnsi="宋体"/>
                <w:color w:val="auto"/>
                <w:szCs w:val="21"/>
              </w:rPr>
              <w:t>设备名称</w:t>
            </w:r>
          </w:p>
        </w:tc>
        <w:tc>
          <w:tcPr>
            <w:tcW w:w="672" w:type="dxa"/>
            <w:vAlign w:val="center"/>
          </w:tcPr>
          <w:p w14:paraId="4D99EB30">
            <w:pPr>
              <w:jc w:val="center"/>
              <w:rPr>
                <w:rFonts w:ascii="宋体" w:hAnsi="宋体"/>
                <w:color w:val="auto"/>
                <w:szCs w:val="21"/>
              </w:rPr>
            </w:pPr>
            <w:r>
              <w:rPr>
                <w:rFonts w:hint="eastAsia" w:ascii="宋体" w:hAnsi="宋体"/>
                <w:color w:val="auto"/>
                <w:szCs w:val="21"/>
              </w:rPr>
              <w:t>型号</w:t>
            </w:r>
          </w:p>
          <w:p w14:paraId="4AF7126D">
            <w:pPr>
              <w:jc w:val="center"/>
              <w:rPr>
                <w:rFonts w:ascii="宋体" w:hAnsi="宋体"/>
                <w:color w:val="auto"/>
                <w:szCs w:val="21"/>
              </w:rPr>
            </w:pPr>
            <w:r>
              <w:rPr>
                <w:rFonts w:hint="eastAsia" w:ascii="宋体" w:hAnsi="宋体"/>
                <w:color w:val="auto"/>
                <w:szCs w:val="21"/>
              </w:rPr>
              <w:t>规格</w:t>
            </w:r>
          </w:p>
        </w:tc>
        <w:tc>
          <w:tcPr>
            <w:tcW w:w="1022" w:type="dxa"/>
            <w:vAlign w:val="center"/>
          </w:tcPr>
          <w:p w14:paraId="42B369D0">
            <w:pPr>
              <w:jc w:val="center"/>
              <w:rPr>
                <w:rFonts w:ascii="宋体" w:hAnsi="宋体"/>
                <w:color w:val="auto"/>
                <w:szCs w:val="21"/>
              </w:rPr>
            </w:pPr>
            <w:r>
              <w:rPr>
                <w:rFonts w:hint="eastAsia" w:ascii="宋体" w:hAnsi="宋体"/>
                <w:color w:val="auto"/>
                <w:szCs w:val="21"/>
              </w:rPr>
              <w:t>数  量</w:t>
            </w:r>
          </w:p>
        </w:tc>
        <w:tc>
          <w:tcPr>
            <w:tcW w:w="709" w:type="dxa"/>
            <w:vAlign w:val="center"/>
          </w:tcPr>
          <w:p w14:paraId="58C3B13D">
            <w:pPr>
              <w:jc w:val="center"/>
              <w:rPr>
                <w:rFonts w:ascii="宋体" w:hAnsi="宋体"/>
                <w:color w:val="auto"/>
                <w:szCs w:val="21"/>
              </w:rPr>
            </w:pPr>
            <w:r>
              <w:rPr>
                <w:rFonts w:hint="eastAsia" w:ascii="宋体" w:hAnsi="宋体"/>
                <w:color w:val="auto"/>
                <w:szCs w:val="21"/>
              </w:rPr>
              <w:t>国别</w:t>
            </w:r>
          </w:p>
          <w:p w14:paraId="5034301A">
            <w:pPr>
              <w:jc w:val="center"/>
              <w:rPr>
                <w:rFonts w:ascii="宋体" w:hAnsi="宋体"/>
                <w:color w:val="auto"/>
                <w:szCs w:val="21"/>
              </w:rPr>
            </w:pPr>
            <w:r>
              <w:rPr>
                <w:rFonts w:hint="eastAsia" w:ascii="宋体" w:hAnsi="宋体"/>
                <w:color w:val="auto"/>
                <w:szCs w:val="21"/>
              </w:rPr>
              <w:t>产地</w:t>
            </w:r>
          </w:p>
        </w:tc>
        <w:tc>
          <w:tcPr>
            <w:tcW w:w="709" w:type="dxa"/>
            <w:vAlign w:val="center"/>
          </w:tcPr>
          <w:p w14:paraId="3276C95A">
            <w:pPr>
              <w:jc w:val="center"/>
              <w:rPr>
                <w:rFonts w:ascii="宋体" w:hAnsi="宋体"/>
                <w:color w:val="auto"/>
                <w:szCs w:val="21"/>
              </w:rPr>
            </w:pPr>
            <w:r>
              <w:rPr>
                <w:rFonts w:hint="eastAsia" w:ascii="宋体" w:hAnsi="宋体"/>
                <w:color w:val="auto"/>
                <w:szCs w:val="21"/>
              </w:rPr>
              <w:t>制造</w:t>
            </w:r>
          </w:p>
          <w:p w14:paraId="5DE0295B">
            <w:pPr>
              <w:jc w:val="center"/>
              <w:rPr>
                <w:rFonts w:ascii="宋体" w:hAnsi="宋体"/>
                <w:color w:val="auto"/>
                <w:szCs w:val="21"/>
              </w:rPr>
            </w:pPr>
            <w:r>
              <w:rPr>
                <w:rFonts w:hint="eastAsia" w:ascii="宋体" w:hAnsi="宋体"/>
                <w:color w:val="auto"/>
                <w:szCs w:val="21"/>
              </w:rPr>
              <w:t>年份</w:t>
            </w:r>
          </w:p>
        </w:tc>
        <w:tc>
          <w:tcPr>
            <w:tcW w:w="1176" w:type="dxa"/>
            <w:vAlign w:val="center"/>
          </w:tcPr>
          <w:p w14:paraId="479F17C2">
            <w:pPr>
              <w:jc w:val="center"/>
              <w:rPr>
                <w:rFonts w:ascii="宋体" w:hAnsi="宋体"/>
                <w:color w:val="auto"/>
                <w:szCs w:val="21"/>
              </w:rPr>
            </w:pPr>
            <w:r>
              <w:rPr>
                <w:rFonts w:hint="eastAsia" w:ascii="宋体" w:hAnsi="宋体"/>
                <w:color w:val="auto"/>
                <w:szCs w:val="21"/>
              </w:rPr>
              <w:t>额定功率</w:t>
            </w:r>
          </w:p>
          <w:p w14:paraId="6903C6AA">
            <w:pPr>
              <w:jc w:val="center"/>
              <w:rPr>
                <w:rFonts w:ascii="宋体" w:hAnsi="宋体"/>
                <w:color w:val="auto"/>
                <w:szCs w:val="21"/>
              </w:rPr>
            </w:pPr>
            <w:r>
              <w:rPr>
                <w:rFonts w:hint="eastAsia" w:ascii="宋体" w:hAnsi="宋体"/>
                <w:color w:val="auto"/>
                <w:szCs w:val="21"/>
                <w:lang w:eastAsia="zh-CN"/>
              </w:rPr>
              <w:t>(</w:t>
            </w:r>
            <w:r>
              <w:rPr>
                <w:rFonts w:hint="eastAsia" w:ascii="宋体" w:hAnsi="宋体"/>
                <w:color w:val="auto"/>
                <w:szCs w:val="21"/>
              </w:rPr>
              <w:t>KW</w:t>
            </w:r>
            <w:r>
              <w:rPr>
                <w:rFonts w:hint="eastAsia" w:ascii="宋体" w:hAnsi="宋体"/>
                <w:color w:val="auto"/>
                <w:szCs w:val="21"/>
                <w:lang w:eastAsia="zh-CN"/>
              </w:rPr>
              <w:t>)</w:t>
            </w:r>
          </w:p>
        </w:tc>
        <w:tc>
          <w:tcPr>
            <w:tcW w:w="872" w:type="dxa"/>
            <w:vAlign w:val="center"/>
          </w:tcPr>
          <w:p w14:paraId="16D73960">
            <w:pPr>
              <w:jc w:val="center"/>
              <w:rPr>
                <w:rFonts w:ascii="宋体" w:hAnsi="宋体"/>
                <w:color w:val="auto"/>
                <w:szCs w:val="21"/>
              </w:rPr>
            </w:pPr>
            <w:r>
              <w:rPr>
                <w:rFonts w:hint="eastAsia" w:ascii="宋体" w:hAnsi="宋体"/>
                <w:color w:val="auto"/>
                <w:szCs w:val="21"/>
              </w:rPr>
              <w:t>生产</w:t>
            </w:r>
          </w:p>
          <w:p w14:paraId="031430E8">
            <w:pPr>
              <w:jc w:val="center"/>
              <w:rPr>
                <w:rFonts w:ascii="宋体" w:hAnsi="宋体"/>
                <w:color w:val="auto"/>
                <w:szCs w:val="21"/>
              </w:rPr>
            </w:pPr>
            <w:r>
              <w:rPr>
                <w:rFonts w:hint="eastAsia" w:ascii="宋体" w:hAnsi="宋体"/>
                <w:color w:val="auto"/>
                <w:szCs w:val="21"/>
              </w:rPr>
              <w:t>能力</w:t>
            </w:r>
          </w:p>
        </w:tc>
        <w:tc>
          <w:tcPr>
            <w:tcW w:w="872" w:type="dxa"/>
            <w:vAlign w:val="center"/>
          </w:tcPr>
          <w:p w14:paraId="288E4535">
            <w:pPr>
              <w:jc w:val="center"/>
              <w:rPr>
                <w:rFonts w:ascii="宋体" w:hAnsi="宋体"/>
                <w:color w:val="auto"/>
                <w:szCs w:val="21"/>
              </w:rPr>
            </w:pPr>
            <w:r>
              <w:rPr>
                <w:rFonts w:hint="eastAsia" w:ascii="宋体" w:hAnsi="宋体"/>
                <w:color w:val="auto"/>
                <w:szCs w:val="21"/>
              </w:rPr>
              <w:t>用于施</w:t>
            </w:r>
          </w:p>
          <w:p w14:paraId="4B60FA7B">
            <w:pPr>
              <w:jc w:val="center"/>
              <w:rPr>
                <w:rFonts w:ascii="宋体" w:hAnsi="宋体"/>
                <w:color w:val="auto"/>
                <w:szCs w:val="21"/>
              </w:rPr>
            </w:pPr>
            <w:r>
              <w:rPr>
                <w:rFonts w:hint="eastAsia" w:ascii="宋体" w:hAnsi="宋体"/>
                <w:color w:val="auto"/>
                <w:szCs w:val="21"/>
              </w:rPr>
              <w:t>工部位</w:t>
            </w:r>
          </w:p>
        </w:tc>
        <w:tc>
          <w:tcPr>
            <w:tcW w:w="765" w:type="dxa"/>
            <w:vAlign w:val="center"/>
          </w:tcPr>
          <w:p w14:paraId="77DCC890">
            <w:pPr>
              <w:jc w:val="center"/>
              <w:rPr>
                <w:rFonts w:ascii="宋体" w:hAnsi="宋体"/>
                <w:color w:val="auto"/>
                <w:szCs w:val="21"/>
              </w:rPr>
            </w:pPr>
            <w:r>
              <w:rPr>
                <w:rFonts w:hint="eastAsia" w:ascii="宋体" w:hAnsi="宋体"/>
                <w:color w:val="auto"/>
                <w:szCs w:val="21"/>
              </w:rPr>
              <w:t>备注</w:t>
            </w:r>
          </w:p>
        </w:tc>
      </w:tr>
      <w:tr w14:paraId="213C3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0735FE01">
            <w:pPr>
              <w:jc w:val="center"/>
              <w:rPr>
                <w:rFonts w:ascii="宋体" w:hAnsi="宋体"/>
                <w:color w:val="auto"/>
                <w:szCs w:val="21"/>
              </w:rPr>
            </w:pPr>
          </w:p>
        </w:tc>
        <w:tc>
          <w:tcPr>
            <w:tcW w:w="1064" w:type="dxa"/>
            <w:vAlign w:val="center"/>
          </w:tcPr>
          <w:p w14:paraId="12C9F549">
            <w:pPr>
              <w:jc w:val="center"/>
              <w:rPr>
                <w:rFonts w:ascii="宋体" w:hAnsi="宋体"/>
                <w:color w:val="auto"/>
                <w:szCs w:val="21"/>
              </w:rPr>
            </w:pPr>
          </w:p>
        </w:tc>
        <w:tc>
          <w:tcPr>
            <w:tcW w:w="672" w:type="dxa"/>
            <w:vAlign w:val="center"/>
          </w:tcPr>
          <w:p w14:paraId="04B83690">
            <w:pPr>
              <w:jc w:val="center"/>
              <w:rPr>
                <w:rFonts w:ascii="宋体" w:hAnsi="宋体"/>
                <w:color w:val="auto"/>
                <w:szCs w:val="21"/>
              </w:rPr>
            </w:pPr>
          </w:p>
        </w:tc>
        <w:tc>
          <w:tcPr>
            <w:tcW w:w="1022" w:type="dxa"/>
            <w:vAlign w:val="center"/>
          </w:tcPr>
          <w:p w14:paraId="7BAD03BF">
            <w:pPr>
              <w:jc w:val="center"/>
              <w:rPr>
                <w:rFonts w:ascii="宋体" w:hAnsi="宋体"/>
                <w:color w:val="auto"/>
                <w:szCs w:val="21"/>
              </w:rPr>
            </w:pPr>
          </w:p>
        </w:tc>
        <w:tc>
          <w:tcPr>
            <w:tcW w:w="709" w:type="dxa"/>
            <w:vAlign w:val="center"/>
          </w:tcPr>
          <w:p w14:paraId="2C46CE54">
            <w:pPr>
              <w:jc w:val="center"/>
              <w:rPr>
                <w:rFonts w:ascii="宋体" w:hAnsi="宋体"/>
                <w:color w:val="auto"/>
                <w:szCs w:val="21"/>
              </w:rPr>
            </w:pPr>
          </w:p>
        </w:tc>
        <w:tc>
          <w:tcPr>
            <w:tcW w:w="709" w:type="dxa"/>
            <w:vAlign w:val="center"/>
          </w:tcPr>
          <w:p w14:paraId="75FABCED">
            <w:pPr>
              <w:jc w:val="center"/>
              <w:rPr>
                <w:rFonts w:ascii="宋体" w:hAnsi="宋体"/>
                <w:color w:val="auto"/>
                <w:szCs w:val="21"/>
              </w:rPr>
            </w:pPr>
          </w:p>
        </w:tc>
        <w:tc>
          <w:tcPr>
            <w:tcW w:w="1176" w:type="dxa"/>
            <w:vAlign w:val="center"/>
          </w:tcPr>
          <w:p w14:paraId="0FE2D7A5">
            <w:pPr>
              <w:jc w:val="center"/>
              <w:rPr>
                <w:rFonts w:ascii="宋体" w:hAnsi="宋体"/>
                <w:color w:val="auto"/>
                <w:szCs w:val="21"/>
              </w:rPr>
            </w:pPr>
          </w:p>
        </w:tc>
        <w:tc>
          <w:tcPr>
            <w:tcW w:w="872" w:type="dxa"/>
            <w:vAlign w:val="center"/>
          </w:tcPr>
          <w:p w14:paraId="461A42E7">
            <w:pPr>
              <w:jc w:val="center"/>
              <w:rPr>
                <w:rFonts w:ascii="宋体" w:hAnsi="宋体"/>
                <w:color w:val="auto"/>
                <w:szCs w:val="21"/>
              </w:rPr>
            </w:pPr>
          </w:p>
        </w:tc>
        <w:tc>
          <w:tcPr>
            <w:tcW w:w="872" w:type="dxa"/>
            <w:vAlign w:val="center"/>
          </w:tcPr>
          <w:p w14:paraId="4F2DFDA9">
            <w:pPr>
              <w:jc w:val="center"/>
              <w:rPr>
                <w:rFonts w:ascii="宋体" w:hAnsi="宋体"/>
                <w:color w:val="auto"/>
                <w:szCs w:val="21"/>
              </w:rPr>
            </w:pPr>
          </w:p>
        </w:tc>
        <w:tc>
          <w:tcPr>
            <w:tcW w:w="765" w:type="dxa"/>
            <w:vAlign w:val="center"/>
          </w:tcPr>
          <w:p w14:paraId="05253D76">
            <w:pPr>
              <w:jc w:val="center"/>
              <w:rPr>
                <w:rFonts w:ascii="宋体" w:hAnsi="宋体"/>
                <w:color w:val="auto"/>
                <w:szCs w:val="21"/>
              </w:rPr>
            </w:pPr>
          </w:p>
        </w:tc>
      </w:tr>
      <w:tr w14:paraId="08918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739CE7C1">
            <w:pPr>
              <w:jc w:val="center"/>
              <w:rPr>
                <w:rFonts w:ascii="宋体" w:hAnsi="宋体"/>
                <w:color w:val="auto"/>
                <w:szCs w:val="21"/>
              </w:rPr>
            </w:pPr>
          </w:p>
        </w:tc>
        <w:tc>
          <w:tcPr>
            <w:tcW w:w="1064" w:type="dxa"/>
            <w:vAlign w:val="center"/>
          </w:tcPr>
          <w:p w14:paraId="6170F8B8">
            <w:pPr>
              <w:jc w:val="center"/>
              <w:rPr>
                <w:rFonts w:ascii="宋体" w:hAnsi="宋体"/>
                <w:color w:val="auto"/>
                <w:szCs w:val="21"/>
              </w:rPr>
            </w:pPr>
          </w:p>
        </w:tc>
        <w:tc>
          <w:tcPr>
            <w:tcW w:w="672" w:type="dxa"/>
            <w:vAlign w:val="center"/>
          </w:tcPr>
          <w:p w14:paraId="6BFA4EA0">
            <w:pPr>
              <w:jc w:val="center"/>
              <w:rPr>
                <w:rFonts w:ascii="宋体" w:hAnsi="宋体"/>
                <w:color w:val="auto"/>
                <w:szCs w:val="21"/>
              </w:rPr>
            </w:pPr>
          </w:p>
        </w:tc>
        <w:tc>
          <w:tcPr>
            <w:tcW w:w="1022" w:type="dxa"/>
            <w:vAlign w:val="center"/>
          </w:tcPr>
          <w:p w14:paraId="16EA4BDA">
            <w:pPr>
              <w:jc w:val="center"/>
              <w:rPr>
                <w:rFonts w:ascii="宋体" w:hAnsi="宋体"/>
                <w:color w:val="auto"/>
                <w:szCs w:val="21"/>
              </w:rPr>
            </w:pPr>
          </w:p>
        </w:tc>
        <w:tc>
          <w:tcPr>
            <w:tcW w:w="709" w:type="dxa"/>
            <w:vAlign w:val="center"/>
          </w:tcPr>
          <w:p w14:paraId="372024B8">
            <w:pPr>
              <w:jc w:val="center"/>
              <w:rPr>
                <w:rFonts w:ascii="宋体" w:hAnsi="宋体"/>
                <w:color w:val="auto"/>
                <w:szCs w:val="21"/>
              </w:rPr>
            </w:pPr>
          </w:p>
        </w:tc>
        <w:tc>
          <w:tcPr>
            <w:tcW w:w="709" w:type="dxa"/>
            <w:vAlign w:val="center"/>
          </w:tcPr>
          <w:p w14:paraId="7490E38D">
            <w:pPr>
              <w:jc w:val="center"/>
              <w:rPr>
                <w:rFonts w:ascii="宋体" w:hAnsi="宋体"/>
                <w:color w:val="auto"/>
                <w:szCs w:val="21"/>
              </w:rPr>
            </w:pPr>
          </w:p>
        </w:tc>
        <w:tc>
          <w:tcPr>
            <w:tcW w:w="1176" w:type="dxa"/>
            <w:vAlign w:val="center"/>
          </w:tcPr>
          <w:p w14:paraId="3AF38E15">
            <w:pPr>
              <w:jc w:val="center"/>
              <w:rPr>
                <w:rFonts w:ascii="宋体" w:hAnsi="宋体"/>
                <w:color w:val="auto"/>
                <w:szCs w:val="21"/>
              </w:rPr>
            </w:pPr>
          </w:p>
        </w:tc>
        <w:tc>
          <w:tcPr>
            <w:tcW w:w="872" w:type="dxa"/>
            <w:vAlign w:val="center"/>
          </w:tcPr>
          <w:p w14:paraId="6CEE458A">
            <w:pPr>
              <w:jc w:val="center"/>
              <w:rPr>
                <w:rFonts w:ascii="宋体" w:hAnsi="宋体"/>
                <w:color w:val="auto"/>
                <w:szCs w:val="21"/>
              </w:rPr>
            </w:pPr>
          </w:p>
        </w:tc>
        <w:tc>
          <w:tcPr>
            <w:tcW w:w="872" w:type="dxa"/>
            <w:vAlign w:val="center"/>
          </w:tcPr>
          <w:p w14:paraId="196A4E01">
            <w:pPr>
              <w:jc w:val="center"/>
              <w:rPr>
                <w:rFonts w:ascii="宋体" w:hAnsi="宋体"/>
                <w:color w:val="auto"/>
                <w:szCs w:val="21"/>
              </w:rPr>
            </w:pPr>
          </w:p>
        </w:tc>
        <w:tc>
          <w:tcPr>
            <w:tcW w:w="765" w:type="dxa"/>
            <w:vAlign w:val="center"/>
          </w:tcPr>
          <w:p w14:paraId="03CE43EF">
            <w:pPr>
              <w:jc w:val="center"/>
              <w:rPr>
                <w:rFonts w:ascii="宋体" w:hAnsi="宋体"/>
                <w:color w:val="auto"/>
                <w:szCs w:val="21"/>
              </w:rPr>
            </w:pPr>
          </w:p>
        </w:tc>
      </w:tr>
      <w:tr w14:paraId="56DFA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4F01923A">
            <w:pPr>
              <w:jc w:val="center"/>
              <w:rPr>
                <w:rFonts w:ascii="宋体" w:hAnsi="宋体"/>
                <w:color w:val="auto"/>
                <w:szCs w:val="21"/>
              </w:rPr>
            </w:pPr>
          </w:p>
        </w:tc>
        <w:tc>
          <w:tcPr>
            <w:tcW w:w="1064" w:type="dxa"/>
            <w:vAlign w:val="center"/>
          </w:tcPr>
          <w:p w14:paraId="651BABB9">
            <w:pPr>
              <w:jc w:val="center"/>
              <w:rPr>
                <w:rFonts w:ascii="宋体" w:hAnsi="宋体"/>
                <w:color w:val="auto"/>
                <w:szCs w:val="21"/>
              </w:rPr>
            </w:pPr>
          </w:p>
        </w:tc>
        <w:tc>
          <w:tcPr>
            <w:tcW w:w="672" w:type="dxa"/>
            <w:vAlign w:val="center"/>
          </w:tcPr>
          <w:p w14:paraId="318A162C">
            <w:pPr>
              <w:jc w:val="center"/>
              <w:rPr>
                <w:rFonts w:ascii="宋体" w:hAnsi="宋体"/>
                <w:color w:val="auto"/>
                <w:szCs w:val="21"/>
              </w:rPr>
            </w:pPr>
          </w:p>
        </w:tc>
        <w:tc>
          <w:tcPr>
            <w:tcW w:w="1022" w:type="dxa"/>
            <w:vAlign w:val="center"/>
          </w:tcPr>
          <w:p w14:paraId="3031DD85">
            <w:pPr>
              <w:jc w:val="center"/>
              <w:rPr>
                <w:rFonts w:ascii="宋体" w:hAnsi="宋体"/>
                <w:color w:val="auto"/>
                <w:szCs w:val="21"/>
              </w:rPr>
            </w:pPr>
          </w:p>
        </w:tc>
        <w:tc>
          <w:tcPr>
            <w:tcW w:w="709" w:type="dxa"/>
            <w:vAlign w:val="center"/>
          </w:tcPr>
          <w:p w14:paraId="5232B291">
            <w:pPr>
              <w:jc w:val="center"/>
              <w:rPr>
                <w:rFonts w:ascii="宋体" w:hAnsi="宋体"/>
                <w:color w:val="auto"/>
                <w:szCs w:val="21"/>
              </w:rPr>
            </w:pPr>
          </w:p>
        </w:tc>
        <w:tc>
          <w:tcPr>
            <w:tcW w:w="709" w:type="dxa"/>
            <w:vAlign w:val="center"/>
          </w:tcPr>
          <w:p w14:paraId="4D228DAF">
            <w:pPr>
              <w:jc w:val="center"/>
              <w:rPr>
                <w:rFonts w:ascii="宋体" w:hAnsi="宋体"/>
                <w:color w:val="auto"/>
                <w:szCs w:val="21"/>
              </w:rPr>
            </w:pPr>
          </w:p>
        </w:tc>
        <w:tc>
          <w:tcPr>
            <w:tcW w:w="1176" w:type="dxa"/>
            <w:vAlign w:val="center"/>
          </w:tcPr>
          <w:p w14:paraId="360AB743">
            <w:pPr>
              <w:jc w:val="center"/>
              <w:rPr>
                <w:rFonts w:ascii="宋体" w:hAnsi="宋体"/>
                <w:color w:val="auto"/>
                <w:szCs w:val="21"/>
              </w:rPr>
            </w:pPr>
          </w:p>
        </w:tc>
        <w:tc>
          <w:tcPr>
            <w:tcW w:w="872" w:type="dxa"/>
            <w:vAlign w:val="center"/>
          </w:tcPr>
          <w:p w14:paraId="59F7D983">
            <w:pPr>
              <w:jc w:val="center"/>
              <w:rPr>
                <w:rFonts w:ascii="宋体" w:hAnsi="宋体"/>
                <w:color w:val="auto"/>
                <w:szCs w:val="21"/>
              </w:rPr>
            </w:pPr>
          </w:p>
        </w:tc>
        <w:tc>
          <w:tcPr>
            <w:tcW w:w="872" w:type="dxa"/>
            <w:vAlign w:val="center"/>
          </w:tcPr>
          <w:p w14:paraId="54CC6494">
            <w:pPr>
              <w:jc w:val="center"/>
              <w:rPr>
                <w:rFonts w:ascii="宋体" w:hAnsi="宋体"/>
                <w:color w:val="auto"/>
                <w:szCs w:val="21"/>
              </w:rPr>
            </w:pPr>
          </w:p>
        </w:tc>
        <w:tc>
          <w:tcPr>
            <w:tcW w:w="765" w:type="dxa"/>
            <w:vAlign w:val="center"/>
          </w:tcPr>
          <w:p w14:paraId="1302E6A7">
            <w:pPr>
              <w:jc w:val="center"/>
              <w:rPr>
                <w:rFonts w:ascii="宋体" w:hAnsi="宋体"/>
                <w:color w:val="auto"/>
                <w:szCs w:val="21"/>
              </w:rPr>
            </w:pPr>
          </w:p>
        </w:tc>
      </w:tr>
      <w:tr w14:paraId="24106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46DE5AC8">
            <w:pPr>
              <w:jc w:val="center"/>
              <w:rPr>
                <w:rFonts w:ascii="宋体" w:hAnsi="宋体"/>
                <w:color w:val="auto"/>
                <w:szCs w:val="21"/>
              </w:rPr>
            </w:pPr>
          </w:p>
        </w:tc>
        <w:tc>
          <w:tcPr>
            <w:tcW w:w="1064" w:type="dxa"/>
            <w:vAlign w:val="center"/>
          </w:tcPr>
          <w:p w14:paraId="724B0EFA">
            <w:pPr>
              <w:jc w:val="center"/>
              <w:rPr>
                <w:rFonts w:ascii="宋体" w:hAnsi="宋体"/>
                <w:color w:val="auto"/>
                <w:szCs w:val="21"/>
              </w:rPr>
            </w:pPr>
          </w:p>
        </w:tc>
        <w:tc>
          <w:tcPr>
            <w:tcW w:w="672" w:type="dxa"/>
            <w:vAlign w:val="center"/>
          </w:tcPr>
          <w:p w14:paraId="176DCA82">
            <w:pPr>
              <w:jc w:val="center"/>
              <w:rPr>
                <w:rFonts w:ascii="宋体" w:hAnsi="宋体"/>
                <w:color w:val="auto"/>
                <w:szCs w:val="21"/>
              </w:rPr>
            </w:pPr>
          </w:p>
        </w:tc>
        <w:tc>
          <w:tcPr>
            <w:tcW w:w="1022" w:type="dxa"/>
            <w:vAlign w:val="center"/>
          </w:tcPr>
          <w:p w14:paraId="69F0E082">
            <w:pPr>
              <w:jc w:val="center"/>
              <w:rPr>
                <w:rFonts w:ascii="宋体" w:hAnsi="宋体"/>
                <w:color w:val="auto"/>
                <w:szCs w:val="21"/>
              </w:rPr>
            </w:pPr>
          </w:p>
        </w:tc>
        <w:tc>
          <w:tcPr>
            <w:tcW w:w="709" w:type="dxa"/>
            <w:vAlign w:val="center"/>
          </w:tcPr>
          <w:p w14:paraId="364B4B2D">
            <w:pPr>
              <w:jc w:val="center"/>
              <w:rPr>
                <w:rFonts w:ascii="宋体" w:hAnsi="宋体"/>
                <w:color w:val="auto"/>
                <w:szCs w:val="21"/>
              </w:rPr>
            </w:pPr>
          </w:p>
        </w:tc>
        <w:tc>
          <w:tcPr>
            <w:tcW w:w="709" w:type="dxa"/>
            <w:vAlign w:val="center"/>
          </w:tcPr>
          <w:p w14:paraId="249E4AF6">
            <w:pPr>
              <w:jc w:val="center"/>
              <w:rPr>
                <w:rFonts w:ascii="宋体" w:hAnsi="宋体"/>
                <w:color w:val="auto"/>
                <w:szCs w:val="21"/>
              </w:rPr>
            </w:pPr>
          </w:p>
        </w:tc>
        <w:tc>
          <w:tcPr>
            <w:tcW w:w="1176" w:type="dxa"/>
            <w:vAlign w:val="center"/>
          </w:tcPr>
          <w:p w14:paraId="610C299B">
            <w:pPr>
              <w:jc w:val="center"/>
              <w:rPr>
                <w:rFonts w:ascii="宋体" w:hAnsi="宋体"/>
                <w:color w:val="auto"/>
                <w:szCs w:val="21"/>
              </w:rPr>
            </w:pPr>
          </w:p>
        </w:tc>
        <w:tc>
          <w:tcPr>
            <w:tcW w:w="872" w:type="dxa"/>
            <w:vAlign w:val="center"/>
          </w:tcPr>
          <w:p w14:paraId="7EC68F82">
            <w:pPr>
              <w:jc w:val="center"/>
              <w:rPr>
                <w:rFonts w:ascii="宋体" w:hAnsi="宋体"/>
                <w:color w:val="auto"/>
                <w:szCs w:val="21"/>
              </w:rPr>
            </w:pPr>
          </w:p>
        </w:tc>
        <w:tc>
          <w:tcPr>
            <w:tcW w:w="872" w:type="dxa"/>
            <w:vAlign w:val="center"/>
          </w:tcPr>
          <w:p w14:paraId="0600A09D">
            <w:pPr>
              <w:jc w:val="center"/>
              <w:rPr>
                <w:rFonts w:ascii="宋体" w:hAnsi="宋体"/>
                <w:color w:val="auto"/>
                <w:szCs w:val="21"/>
              </w:rPr>
            </w:pPr>
          </w:p>
        </w:tc>
        <w:tc>
          <w:tcPr>
            <w:tcW w:w="765" w:type="dxa"/>
            <w:vAlign w:val="center"/>
          </w:tcPr>
          <w:p w14:paraId="4A7E3720">
            <w:pPr>
              <w:jc w:val="center"/>
              <w:rPr>
                <w:rFonts w:ascii="宋体" w:hAnsi="宋体"/>
                <w:color w:val="auto"/>
                <w:szCs w:val="21"/>
              </w:rPr>
            </w:pPr>
          </w:p>
        </w:tc>
      </w:tr>
      <w:tr w14:paraId="3848F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4CB898F7">
            <w:pPr>
              <w:jc w:val="center"/>
              <w:rPr>
                <w:rFonts w:ascii="宋体" w:hAnsi="宋体"/>
                <w:color w:val="auto"/>
                <w:szCs w:val="21"/>
              </w:rPr>
            </w:pPr>
          </w:p>
        </w:tc>
        <w:tc>
          <w:tcPr>
            <w:tcW w:w="1064" w:type="dxa"/>
            <w:vAlign w:val="center"/>
          </w:tcPr>
          <w:p w14:paraId="0C39F4BA">
            <w:pPr>
              <w:jc w:val="center"/>
              <w:rPr>
                <w:rFonts w:ascii="宋体" w:hAnsi="宋体"/>
                <w:color w:val="auto"/>
                <w:szCs w:val="21"/>
              </w:rPr>
            </w:pPr>
          </w:p>
        </w:tc>
        <w:tc>
          <w:tcPr>
            <w:tcW w:w="672" w:type="dxa"/>
            <w:vAlign w:val="center"/>
          </w:tcPr>
          <w:p w14:paraId="05BF5E23">
            <w:pPr>
              <w:jc w:val="center"/>
              <w:rPr>
                <w:rFonts w:ascii="宋体" w:hAnsi="宋体"/>
                <w:color w:val="auto"/>
                <w:szCs w:val="21"/>
              </w:rPr>
            </w:pPr>
          </w:p>
        </w:tc>
        <w:tc>
          <w:tcPr>
            <w:tcW w:w="1022" w:type="dxa"/>
            <w:vAlign w:val="center"/>
          </w:tcPr>
          <w:p w14:paraId="3AB9ED6F">
            <w:pPr>
              <w:jc w:val="center"/>
              <w:rPr>
                <w:rFonts w:ascii="宋体" w:hAnsi="宋体"/>
                <w:color w:val="auto"/>
                <w:szCs w:val="21"/>
              </w:rPr>
            </w:pPr>
          </w:p>
        </w:tc>
        <w:tc>
          <w:tcPr>
            <w:tcW w:w="709" w:type="dxa"/>
            <w:vAlign w:val="center"/>
          </w:tcPr>
          <w:p w14:paraId="2F007CF0">
            <w:pPr>
              <w:jc w:val="center"/>
              <w:rPr>
                <w:rFonts w:ascii="宋体" w:hAnsi="宋体"/>
                <w:color w:val="auto"/>
                <w:szCs w:val="21"/>
              </w:rPr>
            </w:pPr>
          </w:p>
        </w:tc>
        <w:tc>
          <w:tcPr>
            <w:tcW w:w="709" w:type="dxa"/>
            <w:vAlign w:val="center"/>
          </w:tcPr>
          <w:p w14:paraId="1CED2C5D">
            <w:pPr>
              <w:jc w:val="center"/>
              <w:rPr>
                <w:rFonts w:ascii="宋体" w:hAnsi="宋体"/>
                <w:color w:val="auto"/>
                <w:szCs w:val="21"/>
              </w:rPr>
            </w:pPr>
          </w:p>
        </w:tc>
        <w:tc>
          <w:tcPr>
            <w:tcW w:w="1176" w:type="dxa"/>
            <w:vAlign w:val="center"/>
          </w:tcPr>
          <w:p w14:paraId="7F3A279A">
            <w:pPr>
              <w:jc w:val="center"/>
              <w:rPr>
                <w:rFonts w:ascii="宋体" w:hAnsi="宋体"/>
                <w:color w:val="auto"/>
                <w:szCs w:val="21"/>
              </w:rPr>
            </w:pPr>
          </w:p>
        </w:tc>
        <w:tc>
          <w:tcPr>
            <w:tcW w:w="872" w:type="dxa"/>
            <w:vAlign w:val="center"/>
          </w:tcPr>
          <w:p w14:paraId="058CD243">
            <w:pPr>
              <w:jc w:val="center"/>
              <w:rPr>
                <w:rFonts w:ascii="宋体" w:hAnsi="宋体"/>
                <w:color w:val="auto"/>
                <w:szCs w:val="21"/>
              </w:rPr>
            </w:pPr>
          </w:p>
        </w:tc>
        <w:tc>
          <w:tcPr>
            <w:tcW w:w="872" w:type="dxa"/>
            <w:vAlign w:val="center"/>
          </w:tcPr>
          <w:p w14:paraId="73118334">
            <w:pPr>
              <w:jc w:val="center"/>
              <w:rPr>
                <w:rFonts w:ascii="宋体" w:hAnsi="宋体"/>
                <w:color w:val="auto"/>
                <w:szCs w:val="21"/>
              </w:rPr>
            </w:pPr>
          </w:p>
        </w:tc>
        <w:tc>
          <w:tcPr>
            <w:tcW w:w="765" w:type="dxa"/>
            <w:vAlign w:val="center"/>
          </w:tcPr>
          <w:p w14:paraId="7480C7E3">
            <w:pPr>
              <w:jc w:val="center"/>
              <w:rPr>
                <w:rFonts w:ascii="宋体" w:hAnsi="宋体"/>
                <w:color w:val="auto"/>
                <w:szCs w:val="21"/>
              </w:rPr>
            </w:pPr>
          </w:p>
        </w:tc>
      </w:tr>
      <w:tr w14:paraId="4BE11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6E7BF2CA">
            <w:pPr>
              <w:jc w:val="center"/>
              <w:rPr>
                <w:rFonts w:ascii="宋体" w:hAnsi="宋体"/>
                <w:color w:val="auto"/>
                <w:szCs w:val="21"/>
              </w:rPr>
            </w:pPr>
          </w:p>
        </w:tc>
        <w:tc>
          <w:tcPr>
            <w:tcW w:w="1064" w:type="dxa"/>
            <w:vAlign w:val="center"/>
          </w:tcPr>
          <w:p w14:paraId="7E3E90C2">
            <w:pPr>
              <w:jc w:val="center"/>
              <w:rPr>
                <w:rFonts w:ascii="宋体" w:hAnsi="宋体"/>
                <w:color w:val="auto"/>
                <w:szCs w:val="21"/>
              </w:rPr>
            </w:pPr>
          </w:p>
        </w:tc>
        <w:tc>
          <w:tcPr>
            <w:tcW w:w="672" w:type="dxa"/>
            <w:vAlign w:val="center"/>
          </w:tcPr>
          <w:p w14:paraId="64EC2ABA">
            <w:pPr>
              <w:jc w:val="center"/>
              <w:rPr>
                <w:rFonts w:ascii="宋体" w:hAnsi="宋体"/>
                <w:color w:val="auto"/>
                <w:szCs w:val="21"/>
              </w:rPr>
            </w:pPr>
          </w:p>
        </w:tc>
        <w:tc>
          <w:tcPr>
            <w:tcW w:w="1022" w:type="dxa"/>
            <w:vAlign w:val="center"/>
          </w:tcPr>
          <w:p w14:paraId="60CC4C0A">
            <w:pPr>
              <w:jc w:val="center"/>
              <w:rPr>
                <w:rFonts w:ascii="宋体" w:hAnsi="宋体"/>
                <w:color w:val="auto"/>
                <w:szCs w:val="21"/>
              </w:rPr>
            </w:pPr>
          </w:p>
        </w:tc>
        <w:tc>
          <w:tcPr>
            <w:tcW w:w="709" w:type="dxa"/>
            <w:vAlign w:val="center"/>
          </w:tcPr>
          <w:p w14:paraId="0849DCD0">
            <w:pPr>
              <w:jc w:val="center"/>
              <w:rPr>
                <w:rFonts w:ascii="宋体" w:hAnsi="宋体"/>
                <w:color w:val="auto"/>
                <w:szCs w:val="21"/>
              </w:rPr>
            </w:pPr>
          </w:p>
        </w:tc>
        <w:tc>
          <w:tcPr>
            <w:tcW w:w="709" w:type="dxa"/>
            <w:vAlign w:val="center"/>
          </w:tcPr>
          <w:p w14:paraId="1221C281">
            <w:pPr>
              <w:jc w:val="center"/>
              <w:rPr>
                <w:rFonts w:ascii="宋体" w:hAnsi="宋体"/>
                <w:color w:val="auto"/>
                <w:szCs w:val="21"/>
              </w:rPr>
            </w:pPr>
          </w:p>
        </w:tc>
        <w:tc>
          <w:tcPr>
            <w:tcW w:w="1176" w:type="dxa"/>
            <w:vAlign w:val="center"/>
          </w:tcPr>
          <w:p w14:paraId="4BBF8066">
            <w:pPr>
              <w:jc w:val="center"/>
              <w:rPr>
                <w:rFonts w:ascii="宋体" w:hAnsi="宋体"/>
                <w:color w:val="auto"/>
                <w:szCs w:val="21"/>
              </w:rPr>
            </w:pPr>
          </w:p>
        </w:tc>
        <w:tc>
          <w:tcPr>
            <w:tcW w:w="872" w:type="dxa"/>
            <w:vAlign w:val="center"/>
          </w:tcPr>
          <w:p w14:paraId="642A86AB">
            <w:pPr>
              <w:jc w:val="center"/>
              <w:rPr>
                <w:rFonts w:ascii="宋体" w:hAnsi="宋体"/>
                <w:color w:val="auto"/>
                <w:szCs w:val="21"/>
              </w:rPr>
            </w:pPr>
          </w:p>
        </w:tc>
        <w:tc>
          <w:tcPr>
            <w:tcW w:w="872" w:type="dxa"/>
            <w:vAlign w:val="center"/>
          </w:tcPr>
          <w:p w14:paraId="1FEA9FD1">
            <w:pPr>
              <w:jc w:val="center"/>
              <w:rPr>
                <w:rFonts w:ascii="宋体" w:hAnsi="宋体"/>
                <w:color w:val="auto"/>
                <w:szCs w:val="21"/>
              </w:rPr>
            </w:pPr>
          </w:p>
        </w:tc>
        <w:tc>
          <w:tcPr>
            <w:tcW w:w="765" w:type="dxa"/>
            <w:vAlign w:val="center"/>
          </w:tcPr>
          <w:p w14:paraId="184D8BB5">
            <w:pPr>
              <w:jc w:val="center"/>
              <w:rPr>
                <w:rFonts w:ascii="宋体" w:hAnsi="宋体"/>
                <w:color w:val="auto"/>
                <w:szCs w:val="21"/>
              </w:rPr>
            </w:pPr>
          </w:p>
        </w:tc>
      </w:tr>
      <w:tr w14:paraId="02954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304C782C">
            <w:pPr>
              <w:jc w:val="center"/>
              <w:rPr>
                <w:rFonts w:ascii="宋体" w:hAnsi="宋体"/>
                <w:color w:val="auto"/>
                <w:szCs w:val="21"/>
              </w:rPr>
            </w:pPr>
          </w:p>
        </w:tc>
        <w:tc>
          <w:tcPr>
            <w:tcW w:w="1064" w:type="dxa"/>
            <w:vAlign w:val="center"/>
          </w:tcPr>
          <w:p w14:paraId="3E6B03D7">
            <w:pPr>
              <w:jc w:val="center"/>
              <w:rPr>
                <w:rFonts w:ascii="宋体" w:hAnsi="宋体"/>
                <w:color w:val="auto"/>
                <w:szCs w:val="21"/>
              </w:rPr>
            </w:pPr>
          </w:p>
        </w:tc>
        <w:tc>
          <w:tcPr>
            <w:tcW w:w="672" w:type="dxa"/>
            <w:vAlign w:val="center"/>
          </w:tcPr>
          <w:p w14:paraId="6AE011DE">
            <w:pPr>
              <w:jc w:val="center"/>
              <w:rPr>
                <w:rFonts w:ascii="宋体" w:hAnsi="宋体"/>
                <w:color w:val="auto"/>
                <w:szCs w:val="21"/>
              </w:rPr>
            </w:pPr>
          </w:p>
        </w:tc>
        <w:tc>
          <w:tcPr>
            <w:tcW w:w="1022" w:type="dxa"/>
            <w:vAlign w:val="center"/>
          </w:tcPr>
          <w:p w14:paraId="2F8E36D8">
            <w:pPr>
              <w:jc w:val="center"/>
              <w:rPr>
                <w:rFonts w:ascii="宋体" w:hAnsi="宋体"/>
                <w:color w:val="auto"/>
                <w:szCs w:val="21"/>
              </w:rPr>
            </w:pPr>
          </w:p>
        </w:tc>
        <w:tc>
          <w:tcPr>
            <w:tcW w:w="709" w:type="dxa"/>
            <w:vAlign w:val="center"/>
          </w:tcPr>
          <w:p w14:paraId="135D0206">
            <w:pPr>
              <w:jc w:val="center"/>
              <w:rPr>
                <w:rFonts w:ascii="宋体" w:hAnsi="宋体"/>
                <w:color w:val="auto"/>
                <w:szCs w:val="21"/>
              </w:rPr>
            </w:pPr>
          </w:p>
        </w:tc>
        <w:tc>
          <w:tcPr>
            <w:tcW w:w="709" w:type="dxa"/>
            <w:vAlign w:val="center"/>
          </w:tcPr>
          <w:p w14:paraId="5CBAE8B4">
            <w:pPr>
              <w:jc w:val="center"/>
              <w:rPr>
                <w:rFonts w:ascii="宋体" w:hAnsi="宋体"/>
                <w:color w:val="auto"/>
                <w:szCs w:val="21"/>
              </w:rPr>
            </w:pPr>
          </w:p>
        </w:tc>
        <w:tc>
          <w:tcPr>
            <w:tcW w:w="1176" w:type="dxa"/>
            <w:vAlign w:val="center"/>
          </w:tcPr>
          <w:p w14:paraId="4C25AF51">
            <w:pPr>
              <w:jc w:val="center"/>
              <w:rPr>
                <w:rFonts w:ascii="宋体" w:hAnsi="宋体"/>
                <w:color w:val="auto"/>
                <w:szCs w:val="21"/>
              </w:rPr>
            </w:pPr>
          </w:p>
        </w:tc>
        <w:tc>
          <w:tcPr>
            <w:tcW w:w="872" w:type="dxa"/>
            <w:vAlign w:val="center"/>
          </w:tcPr>
          <w:p w14:paraId="6BEC9A12">
            <w:pPr>
              <w:jc w:val="center"/>
              <w:rPr>
                <w:rFonts w:ascii="宋体" w:hAnsi="宋体"/>
                <w:color w:val="auto"/>
                <w:szCs w:val="21"/>
              </w:rPr>
            </w:pPr>
          </w:p>
        </w:tc>
        <w:tc>
          <w:tcPr>
            <w:tcW w:w="872" w:type="dxa"/>
            <w:vAlign w:val="center"/>
          </w:tcPr>
          <w:p w14:paraId="48F5CC17">
            <w:pPr>
              <w:jc w:val="center"/>
              <w:rPr>
                <w:rFonts w:ascii="宋体" w:hAnsi="宋体"/>
                <w:color w:val="auto"/>
                <w:szCs w:val="21"/>
              </w:rPr>
            </w:pPr>
          </w:p>
        </w:tc>
        <w:tc>
          <w:tcPr>
            <w:tcW w:w="765" w:type="dxa"/>
            <w:vAlign w:val="center"/>
          </w:tcPr>
          <w:p w14:paraId="335AB4F2">
            <w:pPr>
              <w:jc w:val="center"/>
              <w:rPr>
                <w:rFonts w:ascii="宋体" w:hAnsi="宋体"/>
                <w:color w:val="auto"/>
                <w:szCs w:val="21"/>
              </w:rPr>
            </w:pPr>
          </w:p>
        </w:tc>
      </w:tr>
      <w:tr w14:paraId="2AC1E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71FABDEA">
            <w:pPr>
              <w:jc w:val="center"/>
              <w:rPr>
                <w:rFonts w:ascii="宋体" w:hAnsi="宋体"/>
                <w:color w:val="auto"/>
                <w:szCs w:val="21"/>
              </w:rPr>
            </w:pPr>
          </w:p>
        </w:tc>
        <w:tc>
          <w:tcPr>
            <w:tcW w:w="1064" w:type="dxa"/>
            <w:vAlign w:val="center"/>
          </w:tcPr>
          <w:p w14:paraId="4953A183">
            <w:pPr>
              <w:jc w:val="center"/>
              <w:rPr>
                <w:rFonts w:ascii="宋体" w:hAnsi="宋体"/>
                <w:color w:val="auto"/>
                <w:szCs w:val="21"/>
              </w:rPr>
            </w:pPr>
          </w:p>
        </w:tc>
        <w:tc>
          <w:tcPr>
            <w:tcW w:w="672" w:type="dxa"/>
            <w:vAlign w:val="center"/>
          </w:tcPr>
          <w:p w14:paraId="67222F37">
            <w:pPr>
              <w:jc w:val="center"/>
              <w:rPr>
                <w:rFonts w:ascii="宋体" w:hAnsi="宋体"/>
                <w:color w:val="auto"/>
                <w:szCs w:val="21"/>
              </w:rPr>
            </w:pPr>
          </w:p>
        </w:tc>
        <w:tc>
          <w:tcPr>
            <w:tcW w:w="1022" w:type="dxa"/>
            <w:vAlign w:val="center"/>
          </w:tcPr>
          <w:p w14:paraId="45D7D760">
            <w:pPr>
              <w:jc w:val="center"/>
              <w:rPr>
                <w:rFonts w:ascii="宋体" w:hAnsi="宋体"/>
                <w:color w:val="auto"/>
                <w:szCs w:val="21"/>
              </w:rPr>
            </w:pPr>
          </w:p>
        </w:tc>
        <w:tc>
          <w:tcPr>
            <w:tcW w:w="709" w:type="dxa"/>
            <w:vAlign w:val="center"/>
          </w:tcPr>
          <w:p w14:paraId="778E5B59">
            <w:pPr>
              <w:jc w:val="center"/>
              <w:rPr>
                <w:rFonts w:ascii="宋体" w:hAnsi="宋体"/>
                <w:color w:val="auto"/>
                <w:szCs w:val="21"/>
              </w:rPr>
            </w:pPr>
          </w:p>
        </w:tc>
        <w:tc>
          <w:tcPr>
            <w:tcW w:w="709" w:type="dxa"/>
            <w:vAlign w:val="center"/>
          </w:tcPr>
          <w:p w14:paraId="0B45AAF3">
            <w:pPr>
              <w:jc w:val="center"/>
              <w:rPr>
                <w:rFonts w:ascii="宋体" w:hAnsi="宋体"/>
                <w:color w:val="auto"/>
                <w:szCs w:val="21"/>
              </w:rPr>
            </w:pPr>
          </w:p>
        </w:tc>
        <w:tc>
          <w:tcPr>
            <w:tcW w:w="1176" w:type="dxa"/>
            <w:vAlign w:val="center"/>
          </w:tcPr>
          <w:p w14:paraId="24BBC399">
            <w:pPr>
              <w:jc w:val="center"/>
              <w:rPr>
                <w:rFonts w:ascii="宋体" w:hAnsi="宋体"/>
                <w:color w:val="auto"/>
                <w:szCs w:val="21"/>
              </w:rPr>
            </w:pPr>
          </w:p>
        </w:tc>
        <w:tc>
          <w:tcPr>
            <w:tcW w:w="872" w:type="dxa"/>
            <w:vAlign w:val="center"/>
          </w:tcPr>
          <w:p w14:paraId="1A412208">
            <w:pPr>
              <w:jc w:val="center"/>
              <w:rPr>
                <w:rFonts w:ascii="宋体" w:hAnsi="宋体"/>
                <w:color w:val="auto"/>
                <w:szCs w:val="21"/>
              </w:rPr>
            </w:pPr>
          </w:p>
        </w:tc>
        <w:tc>
          <w:tcPr>
            <w:tcW w:w="872" w:type="dxa"/>
            <w:vAlign w:val="center"/>
          </w:tcPr>
          <w:p w14:paraId="668B3314">
            <w:pPr>
              <w:jc w:val="center"/>
              <w:rPr>
                <w:rFonts w:ascii="宋体" w:hAnsi="宋体"/>
                <w:color w:val="auto"/>
                <w:szCs w:val="21"/>
              </w:rPr>
            </w:pPr>
          </w:p>
        </w:tc>
        <w:tc>
          <w:tcPr>
            <w:tcW w:w="765" w:type="dxa"/>
            <w:vAlign w:val="center"/>
          </w:tcPr>
          <w:p w14:paraId="2D490FD8">
            <w:pPr>
              <w:jc w:val="center"/>
              <w:rPr>
                <w:rFonts w:ascii="宋体" w:hAnsi="宋体"/>
                <w:color w:val="auto"/>
                <w:szCs w:val="21"/>
              </w:rPr>
            </w:pPr>
          </w:p>
        </w:tc>
      </w:tr>
      <w:tr w14:paraId="4A068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0BCFA040">
            <w:pPr>
              <w:jc w:val="center"/>
              <w:rPr>
                <w:rFonts w:ascii="宋体" w:hAnsi="宋体"/>
                <w:color w:val="auto"/>
                <w:szCs w:val="21"/>
              </w:rPr>
            </w:pPr>
          </w:p>
        </w:tc>
        <w:tc>
          <w:tcPr>
            <w:tcW w:w="1064" w:type="dxa"/>
            <w:vAlign w:val="center"/>
          </w:tcPr>
          <w:p w14:paraId="55CA9211">
            <w:pPr>
              <w:jc w:val="center"/>
              <w:rPr>
                <w:rFonts w:ascii="宋体" w:hAnsi="宋体"/>
                <w:color w:val="auto"/>
                <w:szCs w:val="21"/>
              </w:rPr>
            </w:pPr>
          </w:p>
        </w:tc>
        <w:tc>
          <w:tcPr>
            <w:tcW w:w="672" w:type="dxa"/>
            <w:vAlign w:val="center"/>
          </w:tcPr>
          <w:p w14:paraId="6A80C929">
            <w:pPr>
              <w:jc w:val="center"/>
              <w:rPr>
                <w:rFonts w:ascii="宋体" w:hAnsi="宋体"/>
                <w:color w:val="auto"/>
                <w:szCs w:val="21"/>
              </w:rPr>
            </w:pPr>
          </w:p>
        </w:tc>
        <w:tc>
          <w:tcPr>
            <w:tcW w:w="1022" w:type="dxa"/>
            <w:vAlign w:val="center"/>
          </w:tcPr>
          <w:p w14:paraId="798219A4">
            <w:pPr>
              <w:jc w:val="center"/>
              <w:rPr>
                <w:rFonts w:ascii="宋体" w:hAnsi="宋体"/>
                <w:color w:val="auto"/>
                <w:szCs w:val="21"/>
              </w:rPr>
            </w:pPr>
          </w:p>
        </w:tc>
        <w:tc>
          <w:tcPr>
            <w:tcW w:w="709" w:type="dxa"/>
            <w:vAlign w:val="center"/>
          </w:tcPr>
          <w:p w14:paraId="23C961B1">
            <w:pPr>
              <w:jc w:val="center"/>
              <w:rPr>
                <w:rFonts w:ascii="宋体" w:hAnsi="宋体"/>
                <w:color w:val="auto"/>
                <w:szCs w:val="21"/>
              </w:rPr>
            </w:pPr>
          </w:p>
        </w:tc>
        <w:tc>
          <w:tcPr>
            <w:tcW w:w="709" w:type="dxa"/>
            <w:vAlign w:val="center"/>
          </w:tcPr>
          <w:p w14:paraId="218644B5">
            <w:pPr>
              <w:jc w:val="center"/>
              <w:rPr>
                <w:rFonts w:ascii="宋体" w:hAnsi="宋体"/>
                <w:color w:val="auto"/>
                <w:szCs w:val="21"/>
              </w:rPr>
            </w:pPr>
          </w:p>
        </w:tc>
        <w:tc>
          <w:tcPr>
            <w:tcW w:w="1176" w:type="dxa"/>
            <w:vAlign w:val="center"/>
          </w:tcPr>
          <w:p w14:paraId="1DD46384">
            <w:pPr>
              <w:jc w:val="center"/>
              <w:rPr>
                <w:rFonts w:ascii="宋体" w:hAnsi="宋体"/>
                <w:color w:val="auto"/>
                <w:szCs w:val="21"/>
              </w:rPr>
            </w:pPr>
          </w:p>
        </w:tc>
        <w:tc>
          <w:tcPr>
            <w:tcW w:w="872" w:type="dxa"/>
            <w:vAlign w:val="center"/>
          </w:tcPr>
          <w:p w14:paraId="7254AA87">
            <w:pPr>
              <w:jc w:val="center"/>
              <w:rPr>
                <w:rFonts w:ascii="宋体" w:hAnsi="宋体"/>
                <w:color w:val="auto"/>
                <w:szCs w:val="21"/>
              </w:rPr>
            </w:pPr>
          </w:p>
        </w:tc>
        <w:tc>
          <w:tcPr>
            <w:tcW w:w="872" w:type="dxa"/>
            <w:vAlign w:val="center"/>
          </w:tcPr>
          <w:p w14:paraId="277B1D1E">
            <w:pPr>
              <w:jc w:val="center"/>
              <w:rPr>
                <w:rFonts w:ascii="宋体" w:hAnsi="宋体"/>
                <w:color w:val="auto"/>
                <w:szCs w:val="21"/>
              </w:rPr>
            </w:pPr>
          </w:p>
        </w:tc>
        <w:tc>
          <w:tcPr>
            <w:tcW w:w="765" w:type="dxa"/>
            <w:vAlign w:val="center"/>
          </w:tcPr>
          <w:p w14:paraId="49500F49">
            <w:pPr>
              <w:jc w:val="center"/>
              <w:rPr>
                <w:rFonts w:ascii="宋体" w:hAnsi="宋体"/>
                <w:color w:val="auto"/>
                <w:szCs w:val="21"/>
              </w:rPr>
            </w:pPr>
          </w:p>
        </w:tc>
      </w:tr>
      <w:tr w14:paraId="2F42E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1CEB318C">
            <w:pPr>
              <w:jc w:val="center"/>
              <w:rPr>
                <w:rFonts w:ascii="宋体" w:hAnsi="宋体"/>
                <w:color w:val="auto"/>
                <w:szCs w:val="21"/>
              </w:rPr>
            </w:pPr>
          </w:p>
        </w:tc>
        <w:tc>
          <w:tcPr>
            <w:tcW w:w="1064" w:type="dxa"/>
            <w:vAlign w:val="center"/>
          </w:tcPr>
          <w:p w14:paraId="67D2A186">
            <w:pPr>
              <w:jc w:val="center"/>
              <w:rPr>
                <w:rFonts w:ascii="宋体" w:hAnsi="宋体"/>
                <w:color w:val="auto"/>
                <w:szCs w:val="21"/>
              </w:rPr>
            </w:pPr>
          </w:p>
        </w:tc>
        <w:tc>
          <w:tcPr>
            <w:tcW w:w="672" w:type="dxa"/>
            <w:vAlign w:val="center"/>
          </w:tcPr>
          <w:p w14:paraId="2149EC87">
            <w:pPr>
              <w:jc w:val="center"/>
              <w:rPr>
                <w:rFonts w:ascii="宋体" w:hAnsi="宋体"/>
                <w:color w:val="auto"/>
                <w:szCs w:val="21"/>
              </w:rPr>
            </w:pPr>
          </w:p>
        </w:tc>
        <w:tc>
          <w:tcPr>
            <w:tcW w:w="1022" w:type="dxa"/>
            <w:vAlign w:val="center"/>
          </w:tcPr>
          <w:p w14:paraId="68F3FA37">
            <w:pPr>
              <w:jc w:val="center"/>
              <w:rPr>
                <w:rFonts w:ascii="宋体" w:hAnsi="宋体"/>
                <w:color w:val="auto"/>
                <w:szCs w:val="21"/>
              </w:rPr>
            </w:pPr>
          </w:p>
        </w:tc>
        <w:tc>
          <w:tcPr>
            <w:tcW w:w="709" w:type="dxa"/>
            <w:vAlign w:val="center"/>
          </w:tcPr>
          <w:p w14:paraId="1AB035C5">
            <w:pPr>
              <w:jc w:val="center"/>
              <w:rPr>
                <w:rFonts w:ascii="宋体" w:hAnsi="宋体"/>
                <w:color w:val="auto"/>
                <w:szCs w:val="21"/>
              </w:rPr>
            </w:pPr>
          </w:p>
        </w:tc>
        <w:tc>
          <w:tcPr>
            <w:tcW w:w="709" w:type="dxa"/>
            <w:vAlign w:val="center"/>
          </w:tcPr>
          <w:p w14:paraId="5CBFA860">
            <w:pPr>
              <w:jc w:val="center"/>
              <w:rPr>
                <w:rFonts w:ascii="宋体" w:hAnsi="宋体"/>
                <w:color w:val="auto"/>
                <w:szCs w:val="21"/>
              </w:rPr>
            </w:pPr>
          </w:p>
        </w:tc>
        <w:tc>
          <w:tcPr>
            <w:tcW w:w="1176" w:type="dxa"/>
            <w:vAlign w:val="center"/>
          </w:tcPr>
          <w:p w14:paraId="6F881219">
            <w:pPr>
              <w:jc w:val="center"/>
              <w:rPr>
                <w:rFonts w:ascii="宋体" w:hAnsi="宋体"/>
                <w:color w:val="auto"/>
                <w:szCs w:val="21"/>
              </w:rPr>
            </w:pPr>
          </w:p>
        </w:tc>
        <w:tc>
          <w:tcPr>
            <w:tcW w:w="872" w:type="dxa"/>
            <w:vAlign w:val="center"/>
          </w:tcPr>
          <w:p w14:paraId="06C1809C">
            <w:pPr>
              <w:jc w:val="center"/>
              <w:rPr>
                <w:rFonts w:ascii="宋体" w:hAnsi="宋体"/>
                <w:color w:val="auto"/>
                <w:szCs w:val="21"/>
              </w:rPr>
            </w:pPr>
          </w:p>
        </w:tc>
        <w:tc>
          <w:tcPr>
            <w:tcW w:w="872" w:type="dxa"/>
            <w:vAlign w:val="center"/>
          </w:tcPr>
          <w:p w14:paraId="44E10939">
            <w:pPr>
              <w:jc w:val="center"/>
              <w:rPr>
                <w:rFonts w:ascii="宋体" w:hAnsi="宋体"/>
                <w:color w:val="auto"/>
                <w:szCs w:val="21"/>
              </w:rPr>
            </w:pPr>
          </w:p>
        </w:tc>
        <w:tc>
          <w:tcPr>
            <w:tcW w:w="765" w:type="dxa"/>
            <w:vAlign w:val="center"/>
          </w:tcPr>
          <w:p w14:paraId="222C6893">
            <w:pPr>
              <w:jc w:val="center"/>
              <w:rPr>
                <w:rFonts w:ascii="宋体" w:hAnsi="宋体"/>
                <w:color w:val="auto"/>
                <w:szCs w:val="21"/>
              </w:rPr>
            </w:pPr>
          </w:p>
        </w:tc>
      </w:tr>
      <w:tr w14:paraId="504F8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60823D4D">
            <w:pPr>
              <w:jc w:val="center"/>
              <w:rPr>
                <w:rFonts w:ascii="宋体" w:hAnsi="宋体"/>
                <w:color w:val="auto"/>
                <w:szCs w:val="21"/>
              </w:rPr>
            </w:pPr>
          </w:p>
        </w:tc>
        <w:tc>
          <w:tcPr>
            <w:tcW w:w="1064" w:type="dxa"/>
            <w:vAlign w:val="center"/>
          </w:tcPr>
          <w:p w14:paraId="403AE1A0">
            <w:pPr>
              <w:jc w:val="center"/>
              <w:rPr>
                <w:rFonts w:ascii="宋体" w:hAnsi="宋体"/>
                <w:color w:val="auto"/>
                <w:szCs w:val="21"/>
              </w:rPr>
            </w:pPr>
          </w:p>
        </w:tc>
        <w:tc>
          <w:tcPr>
            <w:tcW w:w="672" w:type="dxa"/>
            <w:vAlign w:val="center"/>
          </w:tcPr>
          <w:p w14:paraId="76EDF62E">
            <w:pPr>
              <w:jc w:val="center"/>
              <w:rPr>
                <w:rFonts w:ascii="宋体" w:hAnsi="宋体"/>
                <w:color w:val="auto"/>
                <w:szCs w:val="21"/>
              </w:rPr>
            </w:pPr>
          </w:p>
        </w:tc>
        <w:tc>
          <w:tcPr>
            <w:tcW w:w="1022" w:type="dxa"/>
            <w:vAlign w:val="center"/>
          </w:tcPr>
          <w:p w14:paraId="7122B3C1">
            <w:pPr>
              <w:jc w:val="center"/>
              <w:rPr>
                <w:rFonts w:ascii="宋体" w:hAnsi="宋体"/>
                <w:color w:val="auto"/>
                <w:szCs w:val="21"/>
              </w:rPr>
            </w:pPr>
          </w:p>
        </w:tc>
        <w:tc>
          <w:tcPr>
            <w:tcW w:w="709" w:type="dxa"/>
            <w:vAlign w:val="center"/>
          </w:tcPr>
          <w:p w14:paraId="1BD4DBEB">
            <w:pPr>
              <w:jc w:val="center"/>
              <w:rPr>
                <w:rFonts w:ascii="宋体" w:hAnsi="宋体"/>
                <w:color w:val="auto"/>
                <w:szCs w:val="21"/>
              </w:rPr>
            </w:pPr>
          </w:p>
        </w:tc>
        <w:tc>
          <w:tcPr>
            <w:tcW w:w="709" w:type="dxa"/>
            <w:vAlign w:val="center"/>
          </w:tcPr>
          <w:p w14:paraId="3B12FE4B">
            <w:pPr>
              <w:jc w:val="center"/>
              <w:rPr>
                <w:rFonts w:ascii="宋体" w:hAnsi="宋体"/>
                <w:color w:val="auto"/>
                <w:szCs w:val="21"/>
              </w:rPr>
            </w:pPr>
          </w:p>
        </w:tc>
        <w:tc>
          <w:tcPr>
            <w:tcW w:w="1176" w:type="dxa"/>
            <w:vAlign w:val="center"/>
          </w:tcPr>
          <w:p w14:paraId="337B4114">
            <w:pPr>
              <w:jc w:val="center"/>
              <w:rPr>
                <w:rFonts w:ascii="宋体" w:hAnsi="宋体"/>
                <w:color w:val="auto"/>
                <w:szCs w:val="21"/>
              </w:rPr>
            </w:pPr>
          </w:p>
        </w:tc>
        <w:tc>
          <w:tcPr>
            <w:tcW w:w="872" w:type="dxa"/>
            <w:vAlign w:val="center"/>
          </w:tcPr>
          <w:p w14:paraId="3E5D9A7A">
            <w:pPr>
              <w:jc w:val="center"/>
              <w:rPr>
                <w:rFonts w:ascii="宋体" w:hAnsi="宋体"/>
                <w:color w:val="auto"/>
                <w:szCs w:val="21"/>
              </w:rPr>
            </w:pPr>
          </w:p>
        </w:tc>
        <w:tc>
          <w:tcPr>
            <w:tcW w:w="872" w:type="dxa"/>
            <w:vAlign w:val="center"/>
          </w:tcPr>
          <w:p w14:paraId="6925C6CC">
            <w:pPr>
              <w:jc w:val="center"/>
              <w:rPr>
                <w:rFonts w:ascii="宋体" w:hAnsi="宋体"/>
                <w:color w:val="auto"/>
                <w:szCs w:val="21"/>
              </w:rPr>
            </w:pPr>
          </w:p>
        </w:tc>
        <w:tc>
          <w:tcPr>
            <w:tcW w:w="765" w:type="dxa"/>
            <w:vAlign w:val="center"/>
          </w:tcPr>
          <w:p w14:paraId="13FBF49E">
            <w:pPr>
              <w:jc w:val="center"/>
              <w:rPr>
                <w:rFonts w:ascii="宋体" w:hAnsi="宋体"/>
                <w:color w:val="auto"/>
                <w:szCs w:val="21"/>
              </w:rPr>
            </w:pPr>
          </w:p>
        </w:tc>
      </w:tr>
      <w:tr w14:paraId="4336A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45172685">
            <w:pPr>
              <w:jc w:val="center"/>
              <w:rPr>
                <w:rFonts w:ascii="宋体" w:hAnsi="宋体"/>
                <w:color w:val="auto"/>
                <w:szCs w:val="21"/>
              </w:rPr>
            </w:pPr>
          </w:p>
        </w:tc>
        <w:tc>
          <w:tcPr>
            <w:tcW w:w="1064" w:type="dxa"/>
            <w:vAlign w:val="center"/>
          </w:tcPr>
          <w:p w14:paraId="69962F0E">
            <w:pPr>
              <w:jc w:val="center"/>
              <w:rPr>
                <w:rFonts w:ascii="宋体" w:hAnsi="宋体"/>
                <w:color w:val="auto"/>
                <w:szCs w:val="21"/>
              </w:rPr>
            </w:pPr>
          </w:p>
        </w:tc>
        <w:tc>
          <w:tcPr>
            <w:tcW w:w="672" w:type="dxa"/>
            <w:vAlign w:val="center"/>
          </w:tcPr>
          <w:p w14:paraId="5DBEE4F8">
            <w:pPr>
              <w:jc w:val="center"/>
              <w:rPr>
                <w:rFonts w:ascii="宋体" w:hAnsi="宋体"/>
                <w:color w:val="auto"/>
                <w:szCs w:val="21"/>
              </w:rPr>
            </w:pPr>
          </w:p>
        </w:tc>
        <w:tc>
          <w:tcPr>
            <w:tcW w:w="1022" w:type="dxa"/>
            <w:vAlign w:val="center"/>
          </w:tcPr>
          <w:p w14:paraId="6BD964B4">
            <w:pPr>
              <w:jc w:val="center"/>
              <w:rPr>
                <w:rFonts w:ascii="宋体" w:hAnsi="宋体"/>
                <w:color w:val="auto"/>
                <w:szCs w:val="21"/>
              </w:rPr>
            </w:pPr>
          </w:p>
        </w:tc>
        <w:tc>
          <w:tcPr>
            <w:tcW w:w="709" w:type="dxa"/>
            <w:vAlign w:val="center"/>
          </w:tcPr>
          <w:p w14:paraId="60C5E37D">
            <w:pPr>
              <w:jc w:val="center"/>
              <w:rPr>
                <w:rFonts w:ascii="宋体" w:hAnsi="宋体"/>
                <w:color w:val="auto"/>
                <w:szCs w:val="21"/>
              </w:rPr>
            </w:pPr>
          </w:p>
        </w:tc>
        <w:tc>
          <w:tcPr>
            <w:tcW w:w="709" w:type="dxa"/>
            <w:vAlign w:val="center"/>
          </w:tcPr>
          <w:p w14:paraId="49C98572">
            <w:pPr>
              <w:jc w:val="center"/>
              <w:rPr>
                <w:rFonts w:ascii="宋体" w:hAnsi="宋体"/>
                <w:color w:val="auto"/>
                <w:szCs w:val="21"/>
              </w:rPr>
            </w:pPr>
          </w:p>
        </w:tc>
        <w:tc>
          <w:tcPr>
            <w:tcW w:w="1176" w:type="dxa"/>
            <w:vAlign w:val="center"/>
          </w:tcPr>
          <w:p w14:paraId="3C617C91">
            <w:pPr>
              <w:jc w:val="center"/>
              <w:rPr>
                <w:rFonts w:ascii="宋体" w:hAnsi="宋体"/>
                <w:color w:val="auto"/>
                <w:szCs w:val="21"/>
              </w:rPr>
            </w:pPr>
          </w:p>
        </w:tc>
        <w:tc>
          <w:tcPr>
            <w:tcW w:w="872" w:type="dxa"/>
            <w:vAlign w:val="center"/>
          </w:tcPr>
          <w:p w14:paraId="7C644007">
            <w:pPr>
              <w:jc w:val="center"/>
              <w:rPr>
                <w:rFonts w:ascii="宋体" w:hAnsi="宋体"/>
                <w:color w:val="auto"/>
                <w:szCs w:val="21"/>
              </w:rPr>
            </w:pPr>
          </w:p>
        </w:tc>
        <w:tc>
          <w:tcPr>
            <w:tcW w:w="872" w:type="dxa"/>
            <w:vAlign w:val="center"/>
          </w:tcPr>
          <w:p w14:paraId="77812199">
            <w:pPr>
              <w:jc w:val="center"/>
              <w:rPr>
                <w:rFonts w:ascii="宋体" w:hAnsi="宋体"/>
                <w:color w:val="auto"/>
                <w:szCs w:val="21"/>
              </w:rPr>
            </w:pPr>
          </w:p>
        </w:tc>
        <w:tc>
          <w:tcPr>
            <w:tcW w:w="765" w:type="dxa"/>
            <w:vAlign w:val="center"/>
          </w:tcPr>
          <w:p w14:paraId="0CAA8375">
            <w:pPr>
              <w:jc w:val="center"/>
              <w:rPr>
                <w:rFonts w:ascii="宋体" w:hAnsi="宋体"/>
                <w:color w:val="auto"/>
                <w:szCs w:val="21"/>
              </w:rPr>
            </w:pPr>
          </w:p>
        </w:tc>
      </w:tr>
      <w:tr w14:paraId="6C61D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7589A214">
            <w:pPr>
              <w:jc w:val="center"/>
              <w:rPr>
                <w:rFonts w:ascii="宋体" w:hAnsi="宋体"/>
                <w:color w:val="auto"/>
                <w:szCs w:val="21"/>
              </w:rPr>
            </w:pPr>
          </w:p>
        </w:tc>
        <w:tc>
          <w:tcPr>
            <w:tcW w:w="1064" w:type="dxa"/>
            <w:vAlign w:val="center"/>
          </w:tcPr>
          <w:p w14:paraId="043E27DB">
            <w:pPr>
              <w:jc w:val="center"/>
              <w:rPr>
                <w:rFonts w:ascii="宋体" w:hAnsi="宋体"/>
                <w:color w:val="auto"/>
                <w:szCs w:val="21"/>
              </w:rPr>
            </w:pPr>
          </w:p>
        </w:tc>
        <w:tc>
          <w:tcPr>
            <w:tcW w:w="672" w:type="dxa"/>
            <w:vAlign w:val="center"/>
          </w:tcPr>
          <w:p w14:paraId="0716964C">
            <w:pPr>
              <w:jc w:val="center"/>
              <w:rPr>
                <w:rFonts w:ascii="宋体" w:hAnsi="宋体"/>
                <w:color w:val="auto"/>
                <w:szCs w:val="21"/>
              </w:rPr>
            </w:pPr>
          </w:p>
        </w:tc>
        <w:tc>
          <w:tcPr>
            <w:tcW w:w="1022" w:type="dxa"/>
            <w:vAlign w:val="center"/>
          </w:tcPr>
          <w:p w14:paraId="4ECF9539">
            <w:pPr>
              <w:jc w:val="center"/>
              <w:rPr>
                <w:rFonts w:ascii="宋体" w:hAnsi="宋体"/>
                <w:color w:val="auto"/>
                <w:szCs w:val="21"/>
              </w:rPr>
            </w:pPr>
          </w:p>
        </w:tc>
        <w:tc>
          <w:tcPr>
            <w:tcW w:w="709" w:type="dxa"/>
            <w:vAlign w:val="center"/>
          </w:tcPr>
          <w:p w14:paraId="4F5AB817">
            <w:pPr>
              <w:jc w:val="center"/>
              <w:rPr>
                <w:rFonts w:ascii="宋体" w:hAnsi="宋体"/>
                <w:color w:val="auto"/>
                <w:szCs w:val="21"/>
              </w:rPr>
            </w:pPr>
          </w:p>
        </w:tc>
        <w:tc>
          <w:tcPr>
            <w:tcW w:w="709" w:type="dxa"/>
            <w:vAlign w:val="center"/>
          </w:tcPr>
          <w:p w14:paraId="1F335F03">
            <w:pPr>
              <w:jc w:val="center"/>
              <w:rPr>
                <w:rFonts w:ascii="宋体" w:hAnsi="宋体"/>
                <w:color w:val="auto"/>
                <w:szCs w:val="21"/>
              </w:rPr>
            </w:pPr>
          </w:p>
        </w:tc>
        <w:tc>
          <w:tcPr>
            <w:tcW w:w="1176" w:type="dxa"/>
            <w:vAlign w:val="center"/>
          </w:tcPr>
          <w:p w14:paraId="7049C5B6">
            <w:pPr>
              <w:jc w:val="center"/>
              <w:rPr>
                <w:rFonts w:ascii="宋体" w:hAnsi="宋体"/>
                <w:color w:val="auto"/>
                <w:szCs w:val="21"/>
              </w:rPr>
            </w:pPr>
          </w:p>
        </w:tc>
        <w:tc>
          <w:tcPr>
            <w:tcW w:w="872" w:type="dxa"/>
            <w:vAlign w:val="center"/>
          </w:tcPr>
          <w:p w14:paraId="728E7314">
            <w:pPr>
              <w:jc w:val="center"/>
              <w:rPr>
                <w:rFonts w:ascii="宋体" w:hAnsi="宋体"/>
                <w:color w:val="auto"/>
                <w:szCs w:val="21"/>
              </w:rPr>
            </w:pPr>
          </w:p>
        </w:tc>
        <w:tc>
          <w:tcPr>
            <w:tcW w:w="872" w:type="dxa"/>
            <w:vAlign w:val="center"/>
          </w:tcPr>
          <w:p w14:paraId="396785D0">
            <w:pPr>
              <w:jc w:val="center"/>
              <w:rPr>
                <w:rFonts w:ascii="宋体" w:hAnsi="宋体"/>
                <w:color w:val="auto"/>
                <w:szCs w:val="21"/>
              </w:rPr>
            </w:pPr>
          </w:p>
        </w:tc>
        <w:tc>
          <w:tcPr>
            <w:tcW w:w="765" w:type="dxa"/>
            <w:vAlign w:val="center"/>
          </w:tcPr>
          <w:p w14:paraId="4C9CB292">
            <w:pPr>
              <w:jc w:val="center"/>
              <w:rPr>
                <w:rFonts w:ascii="宋体" w:hAnsi="宋体"/>
                <w:color w:val="auto"/>
                <w:szCs w:val="21"/>
              </w:rPr>
            </w:pPr>
          </w:p>
        </w:tc>
      </w:tr>
      <w:tr w14:paraId="3996A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001ECC3F">
            <w:pPr>
              <w:jc w:val="center"/>
              <w:rPr>
                <w:rFonts w:ascii="宋体" w:hAnsi="宋体"/>
                <w:color w:val="auto"/>
                <w:szCs w:val="21"/>
              </w:rPr>
            </w:pPr>
          </w:p>
        </w:tc>
        <w:tc>
          <w:tcPr>
            <w:tcW w:w="1064" w:type="dxa"/>
            <w:vAlign w:val="center"/>
          </w:tcPr>
          <w:p w14:paraId="563B547E">
            <w:pPr>
              <w:jc w:val="center"/>
              <w:rPr>
                <w:rFonts w:ascii="宋体" w:hAnsi="宋体"/>
                <w:color w:val="auto"/>
                <w:szCs w:val="21"/>
              </w:rPr>
            </w:pPr>
          </w:p>
        </w:tc>
        <w:tc>
          <w:tcPr>
            <w:tcW w:w="672" w:type="dxa"/>
            <w:vAlign w:val="center"/>
          </w:tcPr>
          <w:p w14:paraId="1C1CA9A6">
            <w:pPr>
              <w:jc w:val="center"/>
              <w:rPr>
                <w:rFonts w:ascii="宋体" w:hAnsi="宋体"/>
                <w:color w:val="auto"/>
                <w:szCs w:val="21"/>
              </w:rPr>
            </w:pPr>
          </w:p>
        </w:tc>
        <w:tc>
          <w:tcPr>
            <w:tcW w:w="1022" w:type="dxa"/>
            <w:vAlign w:val="center"/>
          </w:tcPr>
          <w:p w14:paraId="5E86FF63">
            <w:pPr>
              <w:jc w:val="center"/>
              <w:rPr>
                <w:rFonts w:ascii="宋体" w:hAnsi="宋体"/>
                <w:color w:val="auto"/>
                <w:szCs w:val="21"/>
              </w:rPr>
            </w:pPr>
          </w:p>
        </w:tc>
        <w:tc>
          <w:tcPr>
            <w:tcW w:w="709" w:type="dxa"/>
            <w:vAlign w:val="center"/>
          </w:tcPr>
          <w:p w14:paraId="5F908AEC">
            <w:pPr>
              <w:jc w:val="center"/>
              <w:rPr>
                <w:rFonts w:ascii="宋体" w:hAnsi="宋体"/>
                <w:color w:val="auto"/>
                <w:szCs w:val="21"/>
              </w:rPr>
            </w:pPr>
          </w:p>
        </w:tc>
        <w:tc>
          <w:tcPr>
            <w:tcW w:w="709" w:type="dxa"/>
            <w:vAlign w:val="center"/>
          </w:tcPr>
          <w:p w14:paraId="03569F02">
            <w:pPr>
              <w:jc w:val="center"/>
              <w:rPr>
                <w:rFonts w:ascii="宋体" w:hAnsi="宋体"/>
                <w:color w:val="auto"/>
                <w:szCs w:val="21"/>
              </w:rPr>
            </w:pPr>
          </w:p>
        </w:tc>
        <w:tc>
          <w:tcPr>
            <w:tcW w:w="1176" w:type="dxa"/>
            <w:vAlign w:val="center"/>
          </w:tcPr>
          <w:p w14:paraId="10AED36E">
            <w:pPr>
              <w:jc w:val="center"/>
              <w:rPr>
                <w:rFonts w:ascii="宋体" w:hAnsi="宋体"/>
                <w:color w:val="auto"/>
                <w:szCs w:val="21"/>
              </w:rPr>
            </w:pPr>
          </w:p>
        </w:tc>
        <w:tc>
          <w:tcPr>
            <w:tcW w:w="872" w:type="dxa"/>
            <w:vAlign w:val="center"/>
          </w:tcPr>
          <w:p w14:paraId="5CF392F3">
            <w:pPr>
              <w:jc w:val="center"/>
              <w:rPr>
                <w:rFonts w:ascii="宋体" w:hAnsi="宋体"/>
                <w:color w:val="auto"/>
                <w:szCs w:val="21"/>
              </w:rPr>
            </w:pPr>
          </w:p>
        </w:tc>
        <w:tc>
          <w:tcPr>
            <w:tcW w:w="872" w:type="dxa"/>
            <w:vAlign w:val="center"/>
          </w:tcPr>
          <w:p w14:paraId="4DB16F6E">
            <w:pPr>
              <w:jc w:val="center"/>
              <w:rPr>
                <w:rFonts w:ascii="宋体" w:hAnsi="宋体"/>
                <w:color w:val="auto"/>
                <w:szCs w:val="21"/>
              </w:rPr>
            </w:pPr>
          </w:p>
        </w:tc>
        <w:tc>
          <w:tcPr>
            <w:tcW w:w="765" w:type="dxa"/>
            <w:vAlign w:val="center"/>
          </w:tcPr>
          <w:p w14:paraId="2E112A88">
            <w:pPr>
              <w:jc w:val="center"/>
              <w:rPr>
                <w:rFonts w:ascii="宋体" w:hAnsi="宋体"/>
                <w:color w:val="auto"/>
                <w:szCs w:val="21"/>
              </w:rPr>
            </w:pPr>
          </w:p>
        </w:tc>
      </w:tr>
      <w:tr w14:paraId="51A1A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3E373D0B">
            <w:pPr>
              <w:jc w:val="center"/>
              <w:rPr>
                <w:rFonts w:ascii="宋体" w:hAnsi="宋体"/>
                <w:color w:val="auto"/>
                <w:szCs w:val="21"/>
              </w:rPr>
            </w:pPr>
          </w:p>
        </w:tc>
        <w:tc>
          <w:tcPr>
            <w:tcW w:w="1064" w:type="dxa"/>
            <w:vAlign w:val="center"/>
          </w:tcPr>
          <w:p w14:paraId="10251E54">
            <w:pPr>
              <w:jc w:val="center"/>
              <w:rPr>
                <w:rFonts w:ascii="宋体" w:hAnsi="宋体"/>
                <w:color w:val="auto"/>
                <w:szCs w:val="21"/>
              </w:rPr>
            </w:pPr>
          </w:p>
        </w:tc>
        <w:tc>
          <w:tcPr>
            <w:tcW w:w="672" w:type="dxa"/>
            <w:vAlign w:val="center"/>
          </w:tcPr>
          <w:p w14:paraId="1F1E2ADC">
            <w:pPr>
              <w:jc w:val="center"/>
              <w:rPr>
                <w:rFonts w:ascii="宋体" w:hAnsi="宋体"/>
                <w:color w:val="auto"/>
                <w:szCs w:val="21"/>
              </w:rPr>
            </w:pPr>
          </w:p>
        </w:tc>
        <w:tc>
          <w:tcPr>
            <w:tcW w:w="1022" w:type="dxa"/>
            <w:vAlign w:val="center"/>
          </w:tcPr>
          <w:p w14:paraId="6C8942F3">
            <w:pPr>
              <w:jc w:val="center"/>
              <w:rPr>
                <w:rFonts w:ascii="宋体" w:hAnsi="宋体"/>
                <w:color w:val="auto"/>
                <w:szCs w:val="21"/>
              </w:rPr>
            </w:pPr>
          </w:p>
        </w:tc>
        <w:tc>
          <w:tcPr>
            <w:tcW w:w="709" w:type="dxa"/>
            <w:vAlign w:val="center"/>
          </w:tcPr>
          <w:p w14:paraId="4C356253">
            <w:pPr>
              <w:jc w:val="center"/>
              <w:rPr>
                <w:rFonts w:ascii="宋体" w:hAnsi="宋体"/>
                <w:color w:val="auto"/>
                <w:szCs w:val="21"/>
              </w:rPr>
            </w:pPr>
          </w:p>
        </w:tc>
        <w:tc>
          <w:tcPr>
            <w:tcW w:w="709" w:type="dxa"/>
            <w:vAlign w:val="center"/>
          </w:tcPr>
          <w:p w14:paraId="169233E0">
            <w:pPr>
              <w:jc w:val="center"/>
              <w:rPr>
                <w:rFonts w:ascii="宋体" w:hAnsi="宋体"/>
                <w:color w:val="auto"/>
                <w:szCs w:val="21"/>
              </w:rPr>
            </w:pPr>
          </w:p>
        </w:tc>
        <w:tc>
          <w:tcPr>
            <w:tcW w:w="1176" w:type="dxa"/>
            <w:vAlign w:val="center"/>
          </w:tcPr>
          <w:p w14:paraId="0336E83E">
            <w:pPr>
              <w:jc w:val="center"/>
              <w:rPr>
                <w:rFonts w:ascii="宋体" w:hAnsi="宋体"/>
                <w:color w:val="auto"/>
                <w:szCs w:val="21"/>
              </w:rPr>
            </w:pPr>
          </w:p>
        </w:tc>
        <w:tc>
          <w:tcPr>
            <w:tcW w:w="872" w:type="dxa"/>
            <w:vAlign w:val="center"/>
          </w:tcPr>
          <w:p w14:paraId="6B3A16FE">
            <w:pPr>
              <w:jc w:val="center"/>
              <w:rPr>
                <w:rFonts w:ascii="宋体" w:hAnsi="宋体"/>
                <w:color w:val="auto"/>
                <w:szCs w:val="21"/>
              </w:rPr>
            </w:pPr>
          </w:p>
        </w:tc>
        <w:tc>
          <w:tcPr>
            <w:tcW w:w="872" w:type="dxa"/>
            <w:vAlign w:val="center"/>
          </w:tcPr>
          <w:p w14:paraId="1C20937B">
            <w:pPr>
              <w:jc w:val="center"/>
              <w:rPr>
                <w:rFonts w:ascii="宋体" w:hAnsi="宋体"/>
                <w:color w:val="auto"/>
                <w:szCs w:val="21"/>
              </w:rPr>
            </w:pPr>
          </w:p>
        </w:tc>
        <w:tc>
          <w:tcPr>
            <w:tcW w:w="765" w:type="dxa"/>
            <w:vAlign w:val="center"/>
          </w:tcPr>
          <w:p w14:paraId="51A16554">
            <w:pPr>
              <w:jc w:val="center"/>
              <w:rPr>
                <w:rFonts w:ascii="宋体" w:hAnsi="宋体"/>
                <w:color w:val="auto"/>
                <w:szCs w:val="21"/>
              </w:rPr>
            </w:pPr>
          </w:p>
        </w:tc>
      </w:tr>
      <w:tr w14:paraId="30022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0B2E03B5">
            <w:pPr>
              <w:jc w:val="center"/>
              <w:rPr>
                <w:rFonts w:ascii="宋体" w:hAnsi="宋体"/>
                <w:color w:val="auto"/>
                <w:szCs w:val="21"/>
              </w:rPr>
            </w:pPr>
          </w:p>
        </w:tc>
        <w:tc>
          <w:tcPr>
            <w:tcW w:w="1064" w:type="dxa"/>
            <w:vAlign w:val="center"/>
          </w:tcPr>
          <w:p w14:paraId="21201AB3">
            <w:pPr>
              <w:jc w:val="center"/>
              <w:rPr>
                <w:rFonts w:ascii="宋体" w:hAnsi="宋体"/>
                <w:color w:val="auto"/>
                <w:szCs w:val="21"/>
              </w:rPr>
            </w:pPr>
          </w:p>
        </w:tc>
        <w:tc>
          <w:tcPr>
            <w:tcW w:w="672" w:type="dxa"/>
            <w:vAlign w:val="center"/>
          </w:tcPr>
          <w:p w14:paraId="4FF14EF5">
            <w:pPr>
              <w:jc w:val="center"/>
              <w:rPr>
                <w:rFonts w:ascii="宋体" w:hAnsi="宋体"/>
                <w:color w:val="auto"/>
                <w:szCs w:val="21"/>
              </w:rPr>
            </w:pPr>
          </w:p>
        </w:tc>
        <w:tc>
          <w:tcPr>
            <w:tcW w:w="1022" w:type="dxa"/>
            <w:vAlign w:val="center"/>
          </w:tcPr>
          <w:p w14:paraId="2E40333D">
            <w:pPr>
              <w:jc w:val="center"/>
              <w:rPr>
                <w:rFonts w:ascii="宋体" w:hAnsi="宋体"/>
                <w:color w:val="auto"/>
                <w:szCs w:val="21"/>
              </w:rPr>
            </w:pPr>
          </w:p>
        </w:tc>
        <w:tc>
          <w:tcPr>
            <w:tcW w:w="709" w:type="dxa"/>
            <w:vAlign w:val="center"/>
          </w:tcPr>
          <w:p w14:paraId="721DF303">
            <w:pPr>
              <w:jc w:val="center"/>
              <w:rPr>
                <w:rFonts w:ascii="宋体" w:hAnsi="宋体"/>
                <w:color w:val="auto"/>
                <w:szCs w:val="21"/>
              </w:rPr>
            </w:pPr>
          </w:p>
        </w:tc>
        <w:tc>
          <w:tcPr>
            <w:tcW w:w="709" w:type="dxa"/>
            <w:vAlign w:val="center"/>
          </w:tcPr>
          <w:p w14:paraId="7D0FC91D">
            <w:pPr>
              <w:jc w:val="center"/>
              <w:rPr>
                <w:rFonts w:ascii="宋体" w:hAnsi="宋体"/>
                <w:color w:val="auto"/>
                <w:szCs w:val="21"/>
              </w:rPr>
            </w:pPr>
          </w:p>
        </w:tc>
        <w:tc>
          <w:tcPr>
            <w:tcW w:w="1176" w:type="dxa"/>
            <w:vAlign w:val="center"/>
          </w:tcPr>
          <w:p w14:paraId="1DA2B006">
            <w:pPr>
              <w:jc w:val="center"/>
              <w:rPr>
                <w:rFonts w:ascii="宋体" w:hAnsi="宋体"/>
                <w:color w:val="auto"/>
                <w:szCs w:val="21"/>
              </w:rPr>
            </w:pPr>
          </w:p>
        </w:tc>
        <w:tc>
          <w:tcPr>
            <w:tcW w:w="872" w:type="dxa"/>
            <w:vAlign w:val="center"/>
          </w:tcPr>
          <w:p w14:paraId="02F3F3A5">
            <w:pPr>
              <w:jc w:val="center"/>
              <w:rPr>
                <w:rFonts w:ascii="宋体" w:hAnsi="宋体"/>
                <w:color w:val="auto"/>
                <w:szCs w:val="21"/>
              </w:rPr>
            </w:pPr>
          </w:p>
        </w:tc>
        <w:tc>
          <w:tcPr>
            <w:tcW w:w="872" w:type="dxa"/>
            <w:vAlign w:val="center"/>
          </w:tcPr>
          <w:p w14:paraId="63D14018">
            <w:pPr>
              <w:jc w:val="center"/>
              <w:rPr>
                <w:rFonts w:ascii="宋体" w:hAnsi="宋体"/>
                <w:color w:val="auto"/>
                <w:szCs w:val="21"/>
              </w:rPr>
            </w:pPr>
          </w:p>
        </w:tc>
        <w:tc>
          <w:tcPr>
            <w:tcW w:w="765" w:type="dxa"/>
            <w:vAlign w:val="center"/>
          </w:tcPr>
          <w:p w14:paraId="34612B6A">
            <w:pPr>
              <w:jc w:val="center"/>
              <w:rPr>
                <w:rFonts w:ascii="宋体" w:hAnsi="宋体"/>
                <w:color w:val="auto"/>
                <w:szCs w:val="21"/>
              </w:rPr>
            </w:pPr>
          </w:p>
        </w:tc>
      </w:tr>
      <w:tr w14:paraId="46A74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5CE9029B">
            <w:pPr>
              <w:jc w:val="center"/>
              <w:rPr>
                <w:rFonts w:ascii="宋体" w:hAnsi="宋体"/>
                <w:color w:val="auto"/>
                <w:szCs w:val="21"/>
              </w:rPr>
            </w:pPr>
          </w:p>
        </w:tc>
        <w:tc>
          <w:tcPr>
            <w:tcW w:w="1064" w:type="dxa"/>
            <w:vAlign w:val="center"/>
          </w:tcPr>
          <w:p w14:paraId="286CBEBF">
            <w:pPr>
              <w:jc w:val="center"/>
              <w:rPr>
                <w:rFonts w:ascii="宋体" w:hAnsi="宋体"/>
                <w:color w:val="auto"/>
                <w:szCs w:val="21"/>
              </w:rPr>
            </w:pPr>
          </w:p>
        </w:tc>
        <w:tc>
          <w:tcPr>
            <w:tcW w:w="672" w:type="dxa"/>
            <w:vAlign w:val="center"/>
          </w:tcPr>
          <w:p w14:paraId="0F863A72">
            <w:pPr>
              <w:jc w:val="center"/>
              <w:rPr>
                <w:rFonts w:ascii="宋体" w:hAnsi="宋体"/>
                <w:color w:val="auto"/>
                <w:szCs w:val="21"/>
              </w:rPr>
            </w:pPr>
          </w:p>
        </w:tc>
        <w:tc>
          <w:tcPr>
            <w:tcW w:w="1022" w:type="dxa"/>
            <w:vAlign w:val="center"/>
          </w:tcPr>
          <w:p w14:paraId="1437396A">
            <w:pPr>
              <w:jc w:val="center"/>
              <w:rPr>
                <w:rFonts w:ascii="宋体" w:hAnsi="宋体"/>
                <w:color w:val="auto"/>
                <w:szCs w:val="21"/>
              </w:rPr>
            </w:pPr>
          </w:p>
        </w:tc>
        <w:tc>
          <w:tcPr>
            <w:tcW w:w="709" w:type="dxa"/>
            <w:vAlign w:val="center"/>
          </w:tcPr>
          <w:p w14:paraId="6E545E69">
            <w:pPr>
              <w:jc w:val="center"/>
              <w:rPr>
                <w:rFonts w:ascii="宋体" w:hAnsi="宋体"/>
                <w:color w:val="auto"/>
                <w:szCs w:val="21"/>
              </w:rPr>
            </w:pPr>
          </w:p>
        </w:tc>
        <w:tc>
          <w:tcPr>
            <w:tcW w:w="709" w:type="dxa"/>
            <w:vAlign w:val="center"/>
          </w:tcPr>
          <w:p w14:paraId="021FF6D8">
            <w:pPr>
              <w:jc w:val="center"/>
              <w:rPr>
                <w:rFonts w:ascii="宋体" w:hAnsi="宋体"/>
                <w:color w:val="auto"/>
                <w:szCs w:val="21"/>
              </w:rPr>
            </w:pPr>
          </w:p>
        </w:tc>
        <w:tc>
          <w:tcPr>
            <w:tcW w:w="1176" w:type="dxa"/>
            <w:vAlign w:val="center"/>
          </w:tcPr>
          <w:p w14:paraId="017F059E">
            <w:pPr>
              <w:jc w:val="center"/>
              <w:rPr>
                <w:rFonts w:ascii="宋体" w:hAnsi="宋体"/>
                <w:color w:val="auto"/>
                <w:szCs w:val="21"/>
              </w:rPr>
            </w:pPr>
          </w:p>
        </w:tc>
        <w:tc>
          <w:tcPr>
            <w:tcW w:w="872" w:type="dxa"/>
            <w:vAlign w:val="center"/>
          </w:tcPr>
          <w:p w14:paraId="7E6CC93B">
            <w:pPr>
              <w:jc w:val="center"/>
              <w:rPr>
                <w:rFonts w:ascii="宋体" w:hAnsi="宋体"/>
                <w:color w:val="auto"/>
                <w:szCs w:val="21"/>
              </w:rPr>
            </w:pPr>
          </w:p>
        </w:tc>
        <w:tc>
          <w:tcPr>
            <w:tcW w:w="872" w:type="dxa"/>
            <w:vAlign w:val="center"/>
          </w:tcPr>
          <w:p w14:paraId="7E8E49F3">
            <w:pPr>
              <w:jc w:val="center"/>
              <w:rPr>
                <w:rFonts w:ascii="宋体" w:hAnsi="宋体"/>
                <w:color w:val="auto"/>
                <w:szCs w:val="21"/>
              </w:rPr>
            </w:pPr>
          </w:p>
        </w:tc>
        <w:tc>
          <w:tcPr>
            <w:tcW w:w="765" w:type="dxa"/>
            <w:vAlign w:val="center"/>
          </w:tcPr>
          <w:p w14:paraId="7B1C633D">
            <w:pPr>
              <w:jc w:val="center"/>
              <w:rPr>
                <w:rFonts w:ascii="宋体" w:hAnsi="宋体"/>
                <w:color w:val="auto"/>
                <w:szCs w:val="21"/>
              </w:rPr>
            </w:pPr>
          </w:p>
        </w:tc>
      </w:tr>
      <w:tr w14:paraId="1B107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18802383">
            <w:pPr>
              <w:jc w:val="center"/>
              <w:rPr>
                <w:rFonts w:ascii="宋体" w:hAnsi="宋体"/>
                <w:color w:val="auto"/>
                <w:szCs w:val="21"/>
              </w:rPr>
            </w:pPr>
          </w:p>
        </w:tc>
        <w:tc>
          <w:tcPr>
            <w:tcW w:w="1064" w:type="dxa"/>
            <w:vAlign w:val="center"/>
          </w:tcPr>
          <w:p w14:paraId="1FB46A66">
            <w:pPr>
              <w:jc w:val="center"/>
              <w:rPr>
                <w:rFonts w:ascii="宋体" w:hAnsi="宋体"/>
                <w:color w:val="auto"/>
                <w:szCs w:val="21"/>
              </w:rPr>
            </w:pPr>
          </w:p>
        </w:tc>
        <w:tc>
          <w:tcPr>
            <w:tcW w:w="672" w:type="dxa"/>
            <w:vAlign w:val="center"/>
          </w:tcPr>
          <w:p w14:paraId="49860884">
            <w:pPr>
              <w:jc w:val="center"/>
              <w:rPr>
                <w:rFonts w:ascii="宋体" w:hAnsi="宋体"/>
                <w:color w:val="auto"/>
                <w:szCs w:val="21"/>
              </w:rPr>
            </w:pPr>
          </w:p>
        </w:tc>
        <w:tc>
          <w:tcPr>
            <w:tcW w:w="1022" w:type="dxa"/>
            <w:vAlign w:val="center"/>
          </w:tcPr>
          <w:p w14:paraId="2A4596C2">
            <w:pPr>
              <w:jc w:val="center"/>
              <w:rPr>
                <w:rFonts w:ascii="宋体" w:hAnsi="宋体"/>
                <w:color w:val="auto"/>
                <w:szCs w:val="21"/>
              </w:rPr>
            </w:pPr>
          </w:p>
        </w:tc>
        <w:tc>
          <w:tcPr>
            <w:tcW w:w="709" w:type="dxa"/>
            <w:vAlign w:val="center"/>
          </w:tcPr>
          <w:p w14:paraId="587E53D1">
            <w:pPr>
              <w:jc w:val="center"/>
              <w:rPr>
                <w:rFonts w:ascii="宋体" w:hAnsi="宋体"/>
                <w:color w:val="auto"/>
                <w:szCs w:val="21"/>
              </w:rPr>
            </w:pPr>
          </w:p>
        </w:tc>
        <w:tc>
          <w:tcPr>
            <w:tcW w:w="709" w:type="dxa"/>
            <w:vAlign w:val="center"/>
          </w:tcPr>
          <w:p w14:paraId="430DC7E6">
            <w:pPr>
              <w:jc w:val="center"/>
              <w:rPr>
                <w:rFonts w:ascii="宋体" w:hAnsi="宋体"/>
                <w:color w:val="auto"/>
                <w:szCs w:val="21"/>
              </w:rPr>
            </w:pPr>
          </w:p>
        </w:tc>
        <w:tc>
          <w:tcPr>
            <w:tcW w:w="1176" w:type="dxa"/>
            <w:vAlign w:val="center"/>
          </w:tcPr>
          <w:p w14:paraId="4CABEC60">
            <w:pPr>
              <w:jc w:val="center"/>
              <w:rPr>
                <w:rFonts w:ascii="宋体" w:hAnsi="宋体"/>
                <w:color w:val="auto"/>
                <w:szCs w:val="21"/>
              </w:rPr>
            </w:pPr>
          </w:p>
        </w:tc>
        <w:tc>
          <w:tcPr>
            <w:tcW w:w="872" w:type="dxa"/>
            <w:vAlign w:val="center"/>
          </w:tcPr>
          <w:p w14:paraId="2DD858DA">
            <w:pPr>
              <w:jc w:val="center"/>
              <w:rPr>
                <w:rFonts w:ascii="宋体" w:hAnsi="宋体"/>
                <w:color w:val="auto"/>
                <w:szCs w:val="21"/>
              </w:rPr>
            </w:pPr>
          </w:p>
        </w:tc>
        <w:tc>
          <w:tcPr>
            <w:tcW w:w="872" w:type="dxa"/>
            <w:vAlign w:val="center"/>
          </w:tcPr>
          <w:p w14:paraId="7FBACCE8">
            <w:pPr>
              <w:jc w:val="center"/>
              <w:rPr>
                <w:rFonts w:ascii="宋体" w:hAnsi="宋体"/>
                <w:color w:val="auto"/>
                <w:szCs w:val="21"/>
              </w:rPr>
            </w:pPr>
          </w:p>
        </w:tc>
        <w:tc>
          <w:tcPr>
            <w:tcW w:w="765" w:type="dxa"/>
            <w:vAlign w:val="center"/>
          </w:tcPr>
          <w:p w14:paraId="0A86AEEF">
            <w:pPr>
              <w:jc w:val="center"/>
              <w:rPr>
                <w:rFonts w:ascii="宋体" w:hAnsi="宋体"/>
                <w:color w:val="auto"/>
                <w:szCs w:val="21"/>
              </w:rPr>
            </w:pPr>
          </w:p>
        </w:tc>
      </w:tr>
      <w:tr w14:paraId="1CADA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2E6E9C07">
            <w:pPr>
              <w:jc w:val="center"/>
              <w:rPr>
                <w:rFonts w:ascii="宋体" w:hAnsi="宋体"/>
                <w:color w:val="auto"/>
                <w:szCs w:val="21"/>
              </w:rPr>
            </w:pPr>
          </w:p>
        </w:tc>
        <w:tc>
          <w:tcPr>
            <w:tcW w:w="1064" w:type="dxa"/>
            <w:vAlign w:val="center"/>
          </w:tcPr>
          <w:p w14:paraId="738060A0">
            <w:pPr>
              <w:jc w:val="center"/>
              <w:rPr>
                <w:rFonts w:ascii="宋体" w:hAnsi="宋体"/>
                <w:color w:val="auto"/>
                <w:szCs w:val="21"/>
              </w:rPr>
            </w:pPr>
          </w:p>
        </w:tc>
        <w:tc>
          <w:tcPr>
            <w:tcW w:w="672" w:type="dxa"/>
            <w:vAlign w:val="center"/>
          </w:tcPr>
          <w:p w14:paraId="698AC6EA">
            <w:pPr>
              <w:jc w:val="center"/>
              <w:rPr>
                <w:rFonts w:ascii="宋体" w:hAnsi="宋体"/>
                <w:color w:val="auto"/>
                <w:szCs w:val="21"/>
              </w:rPr>
            </w:pPr>
          </w:p>
        </w:tc>
        <w:tc>
          <w:tcPr>
            <w:tcW w:w="1022" w:type="dxa"/>
            <w:vAlign w:val="center"/>
          </w:tcPr>
          <w:p w14:paraId="48CCE0E8">
            <w:pPr>
              <w:jc w:val="center"/>
              <w:rPr>
                <w:rFonts w:ascii="宋体" w:hAnsi="宋体"/>
                <w:color w:val="auto"/>
                <w:szCs w:val="21"/>
              </w:rPr>
            </w:pPr>
          </w:p>
        </w:tc>
        <w:tc>
          <w:tcPr>
            <w:tcW w:w="709" w:type="dxa"/>
            <w:vAlign w:val="center"/>
          </w:tcPr>
          <w:p w14:paraId="791B43AB">
            <w:pPr>
              <w:jc w:val="center"/>
              <w:rPr>
                <w:rFonts w:ascii="宋体" w:hAnsi="宋体"/>
                <w:color w:val="auto"/>
                <w:szCs w:val="21"/>
              </w:rPr>
            </w:pPr>
          </w:p>
        </w:tc>
        <w:tc>
          <w:tcPr>
            <w:tcW w:w="709" w:type="dxa"/>
            <w:vAlign w:val="center"/>
          </w:tcPr>
          <w:p w14:paraId="41967E1F">
            <w:pPr>
              <w:jc w:val="center"/>
              <w:rPr>
                <w:rFonts w:ascii="宋体" w:hAnsi="宋体"/>
                <w:color w:val="auto"/>
                <w:szCs w:val="21"/>
              </w:rPr>
            </w:pPr>
          </w:p>
        </w:tc>
        <w:tc>
          <w:tcPr>
            <w:tcW w:w="1176" w:type="dxa"/>
            <w:vAlign w:val="center"/>
          </w:tcPr>
          <w:p w14:paraId="053941C4">
            <w:pPr>
              <w:jc w:val="center"/>
              <w:rPr>
                <w:rFonts w:ascii="宋体" w:hAnsi="宋体"/>
                <w:color w:val="auto"/>
                <w:szCs w:val="21"/>
              </w:rPr>
            </w:pPr>
          </w:p>
        </w:tc>
        <w:tc>
          <w:tcPr>
            <w:tcW w:w="872" w:type="dxa"/>
            <w:vAlign w:val="center"/>
          </w:tcPr>
          <w:p w14:paraId="6707623F">
            <w:pPr>
              <w:jc w:val="center"/>
              <w:rPr>
                <w:rFonts w:ascii="宋体" w:hAnsi="宋体"/>
                <w:color w:val="auto"/>
                <w:szCs w:val="21"/>
              </w:rPr>
            </w:pPr>
          </w:p>
        </w:tc>
        <w:tc>
          <w:tcPr>
            <w:tcW w:w="872" w:type="dxa"/>
            <w:vAlign w:val="center"/>
          </w:tcPr>
          <w:p w14:paraId="365CC3E4">
            <w:pPr>
              <w:jc w:val="center"/>
              <w:rPr>
                <w:rFonts w:ascii="宋体" w:hAnsi="宋体"/>
                <w:color w:val="auto"/>
                <w:szCs w:val="21"/>
              </w:rPr>
            </w:pPr>
          </w:p>
        </w:tc>
        <w:tc>
          <w:tcPr>
            <w:tcW w:w="765" w:type="dxa"/>
            <w:vAlign w:val="center"/>
          </w:tcPr>
          <w:p w14:paraId="44A1C940">
            <w:pPr>
              <w:jc w:val="center"/>
              <w:rPr>
                <w:rFonts w:ascii="宋体" w:hAnsi="宋体"/>
                <w:color w:val="auto"/>
                <w:szCs w:val="21"/>
              </w:rPr>
            </w:pPr>
          </w:p>
        </w:tc>
      </w:tr>
      <w:tr w14:paraId="2EB42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47CE96DC">
            <w:pPr>
              <w:jc w:val="center"/>
              <w:rPr>
                <w:rFonts w:ascii="宋体" w:hAnsi="宋体"/>
                <w:color w:val="auto"/>
                <w:szCs w:val="21"/>
              </w:rPr>
            </w:pPr>
          </w:p>
        </w:tc>
        <w:tc>
          <w:tcPr>
            <w:tcW w:w="1064" w:type="dxa"/>
            <w:vAlign w:val="center"/>
          </w:tcPr>
          <w:p w14:paraId="69FBB0DC">
            <w:pPr>
              <w:jc w:val="center"/>
              <w:rPr>
                <w:rFonts w:ascii="宋体" w:hAnsi="宋体"/>
                <w:color w:val="auto"/>
                <w:szCs w:val="21"/>
              </w:rPr>
            </w:pPr>
          </w:p>
        </w:tc>
        <w:tc>
          <w:tcPr>
            <w:tcW w:w="672" w:type="dxa"/>
            <w:vAlign w:val="center"/>
          </w:tcPr>
          <w:p w14:paraId="4342DFE3">
            <w:pPr>
              <w:jc w:val="center"/>
              <w:rPr>
                <w:rFonts w:ascii="宋体" w:hAnsi="宋体"/>
                <w:color w:val="auto"/>
                <w:szCs w:val="21"/>
              </w:rPr>
            </w:pPr>
          </w:p>
        </w:tc>
        <w:tc>
          <w:tcPr>
            <w:tcW w:w="1022" w:type="dxa"/>
            <w:vAlign w:val="center"/>
          </w:tcPr>
          <w:p w14:paraId="3D821D08">
            <w:pPr>
              <w:jc w:val="center"/>
              <w:rPr>
                <w:rFonts w:ascii="宋体" w:hAnsi="宋体"/>
                <w:color w:val="auto"/>
                <w:szCs w:val="21"/>
              </w:rPr>
            </w:pPr>
          </w:p>
        </w:tc>
        <w:tc>
          <w:tcPr>
            <w:tcW w:w="709" w:type="dxa"/>
            <w:vAlign w:val="center"/>
          </w:tcPr>
          <w:p w14:paraId="6784BD40">
            <w:pPr>
              <w:jc w:val="center"/>
              <w:rPr>
                <w:rFonts w:ascii="宋体" w:hAnsi="宋体"/>
                <w:color w:val="auto"/>
                <w:szCs w:val="21"/>
              </w:rPr>
            </w:pPr>
          </w:p>
        </w:tc>
        <w:tc>
          <w:tcPr>
            <w:tcW w:w="709" w:type="dxa"/>
            <w:vAlign w:val="center"/>
          </w:tcPr>
          <w:p w14:paraId="24CD89A8">
            <w:pPr>
              <w:jc w:val="center"/>
              <w:rPr>
                <w:rFonts w:ascii="宋体" w:hAnsi="宋体"/>
                <w:color w:val="auto"/>
                <w:szCs w:val="21"/>
              </w:rPr>
            </w:pPr>
          </w:p>
        </w:tc>
        <w:tc>
          <w:tcPr>
            <w:tcW w:w="1176" w:type="dxa"/>
            <w:vAlign w:val="center"/>
          </w:tcPr>
          <w:p w14:paraId="60462D2E">
            <w:pPr>
              <w:jc w:val="center"/>
              <w:rPr>
                <w:rFonts w:ascii="宋体" w:hAnsi="宋体"/>
                <w:color w:val="auto"/>
                <w:szCs w:val="21"/>
              </w:rPr>
            </w:pPr>
          </w:p>
        </w:tc>
        <w:tc>
          <w:tcPr>
            <w:tcW w:w="872" w:type="dxa"/>
            <w:vAlign w:val="center"/>
          </w:tcPr>
          <w:p w14:paraId="57415A40">
            <w:pPr>
              <w:jc w:val="center"/>
              <w:rPr>
                <w:rFonts w:ascii="宋体" w:hAnsi="宋体"/>
                <w:color w:val="auto"/>
                <w:szCs w:val="21"/>
              </w:rPr>
            </w:pPr>
          </w:p>
        </w:tc>
        <w:tc>
          <w:tcPr>
            <w:tcW w:w="872" w:type="dxa"/>
            <w:vAlign w:val="center"/>
          </w:tcPr>
          <w:p w14:paraId="263365A1">
            <w:pPr>
              <w:jc w:val="center"/>
              <w:rPr>
                <w:rFonts w:ascii="宋体" w:hAnsi="宋体"/>
                <w:color w:val="auto"/>
                <w:szCs w:val="21"/>
              </w:rPr>
            </w:pPr>
          </w:p>
        </w:tc>
        <w:tc>
          <w:tcPr>
            <w:tcW w:w="765" w:type="dxa"/>
            <w:vAlign w:val="center"/>
          </w:tcPr>
          <w:p w14:paraId="24EA8D2C">
            <w:pPr>
              <w:jc w:val="center"/>
              <w:rPr>
                <w:rFonts w:ascii="宋体" w:hAnsi="宋体"/>
                <w:color w:val="auto"/>
                <w:szCs w:val="21"/>
              </w:rPr>
            </w:pPr>
          </w:p>
        </w:tc>
      </w:tr>
      <w:tr w14:paraId="56F3B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21C8B0A9">
            <w:pPr>
              <w:jc w:val="center"/>
              <w:rPr>
                <w:rFonts w:ascii="宋体" w:hAnsi="宋体"/>
                <w:color w:val="auto"/>
                <w:szCs w:val="21"/>
              </w:rPr>
            </w:pPr>
          </w:p>
        </w:tc>
        <w:tc>
          <w:tcPr>
            <w:tcW w:w="1064" w:type="dxa"/>
            <w:vAlign w:val="center"/>
          </w:tcPr>
          <w:p w14:paraId="6F7F74A9">
            <w:pPr>
              <w:jc w:val="center"/>
              <w:rPr>
                <w:rFonts w:ascii="宋体" w:hAnsi="宋体"/>
                <w:color w:val="auto"/>
                <w:szCs w:val="21"/>
              </w:rPr>
            </w:pPr>
          </w:p>
        </w:tc>
        <w:tc>
          <w:tcPr>
            <w:tcW w:w="672" w:type="dxa"/>
            <w:vAlign w:val="center"/>
          </w:tcPr>
          <w:p w14:paraId="041BCC8A">
            <w:pPr>
              <w:jc w:val="center"/>
              <w:rPr>
                <w:rFonts w:ascii="宋体" w:hAnsi="宋体"/>
                <w:color w:val="auto"/>
                <w:szCs w:val="21"/>
              </w:rPr>
            </w:pPr>
          </w:p>
        </w:tc>
        <w:tc>
          <w:tcPr>
            <w:tcW w:w="1022" w:type="dxa"/>
            <w:vAlign w:val="center"/>
          </w:tcPr>
          <w:p w14:paraId="700E84D7">
            <w:pPr>
              <w:jc w:val="center"/>
              <w:rPr>
                <w:rFonts w:ascii="宋体" w:hAnsi="宋体"/>
                <w:color w:val="auto"/>
                <w:szCs w:val="21"/>
              </w:rPr>
            </w:pPr>
          </w:p>
        </w:tc>
        <w:tc>
          <w:tcPr>
            <w:tcW w:w="709" w:type="dxa"/>
            <w:vAlign w:val="center"/>
          </w:tcPr>
          <w:p w14:paraId="20B7A307">
            <w:pPr>
              <w:jc w:val="center"/>
              <w:rPr>
                <w:rFonts w:ascii="宋体" w:hAnsi="宋体"/>
                <w:color w:val="auto"/>
                <w:szCs w:val="21"/>
              </w:rPr>
            </w:pPr>
          </w:p>
        </w:tc>
        <w:tc>
          <w:tcPr>
            <w:tcW w:w="709" w:type="dxa"/>
            <w:vAlign w:val="center"/>
          </w:tcPr>
          <w:p w14:paraId="48D7877A">
            <w:pPr>
              <w:jc w:val="center"/>
              <w:rPr>
                <w:rFonts w:ascii="宋体" w:hAnsi="宋体"/>
                <w:color w:val="auto"/>
                <w:szCs w:val="21"/>
              </w:rPr>
            </w:pPr>
          </w:p>
        </w:tc>
        <w:tc>
          <w:tcPr>
            <w:tcW w:w="1176" w:type="dxa"/>
            <w:vAlign w:val="center"/>
          </w:tcPr>
          <w:p w14:paraId="42BAF1B0">
            <w:pPr>
              <w:jc w:val="center"/>
              <w:rPr>
                <w:rFonts w:ascii="宋体" w:hAnsi="宋体"/>
                <w:color w:val="auto"/>
                <w:szCs w:val="21"/>
              </w:rPr>
            </w:pPr>
          </w:p>
        </w:tc>
        <w:tc>
          <w:tcPr>
            <w:tcW w:w="872" w:type="dxa"/>
            <w:vAlign w:val="center"/>
          </w:tcPr>
          <w:p w14:paraId="5D5935B4">
            <w:pPr>
              <w:jc w:val="center"/>
              <w:rPr>
                <w:rFonts w:ascii="宋体" w:hAnsi="宋体"/>
                <w:color w:val="auto"/>
                <w:szCs w:val="21"/>
              </w:rPr>
            </w:pPr>
          </w:p>
        </w:tc>
        <w:tc>
          <w:tcPr>
            <w:tcW w:w="872" w:type="dxa"/>
            <w:vAlign w:val="center"/>
          </w:tcPr>
          <w:p w14:paraId="2F6E62BD">
            <w:pPr>
              <w:jc w:val="center"/>
              <w:rPr>
                <w:rFonts w:ascii="宋体" w:hAnsi="宋体"/>
                <w:color w:val="auto"/>
                <w:szCs w:val="21"/>
              </w:rPr>
            </w:pPr>
          </w:p>
        </w:tc>
        <w:tc>
          <w:tcPr>
            <w:tcW w:w="765" w:type="dxa"/>
            <w:vAlign w:val="center"/>
          </w:tcPr>
          <w:p w14:paraId="5A96CCD5">
            <w:pPr>
              <w:jc w:val="center"/>
              <w:rPr>
                <w:rFonts w:ascii="宋体" w:hAnsi="宋体"/>
                <w:color w:val="auto"/>
                <w:szCs w:val="21"/>
              </w:rPr>
            </w:pPr>
          </w:p>
        </w:tc>
      </w:tr>
      <w:tr w14:paraId="5B3AD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22947EB7">
            <w:pPr>
              <w:jc w:val="center"/>
              <w:rPr>
                <w:rFonts w:ascii="宋体" w:hAnsi="宋体"/>
                <w:color w:val="auto"/>
                <w:szCs w:val="21"/>
              </w:rPr>
            </w:pPr>
          </w:p>
        </w:tc>
        <w:tc>
          <w:tcPr>
            <w:tcW w:w="1064" w:type="dxa"/>
            <w:vAlign w:val="center"/>
          </w:tcPr>
          <w:p w14:paraId="2166C981">
            <w:pPr>
              <w:jc w:val="center"/>
              <w:rPr>
                <w:rFonts w:ascii="宋体" w:hAnsi="宋体"/>
                <w:color w:val="auto"/>
                <w:szCs w:val="21"/>
              </w:rPr>
            </w:pPr>
          </w:p>
        </w:tc>
        <w:tc>
          <w:tcPr>
            <w:tcW w:w="672" w:type="dxa"/>
            <w:vAlign w:val="center"/>
          </w:tcPr>
          <w:p w14:paraId="2B648054">
            <w:pPr>
              <w:jc w:val="center"/>
              <w:rPr>
                <w:rFonts w:ascii="宋体" w:hAnsi="宋体"/>
                <w:color w:val="auto"/>
                <w:szCs w:val="21"/>
              </w:rPr>
            </w:pPr>
          </w:p>
        </w:tc>
        <w:tc>
          <w:tcPr>
            <w:tcW w:w="1022" w:type="dxa"/>
            <w:vAlign w:val="center"/>
          </w:tcPr>
          <w:p w14:paraId="0712B898">
            <w:pPr>
              <w:jc w:val="center"/>
              <w:rPr>
                <w:rFonts w:ascii="宋体" w:hAnsi="宋体"/>
                <w:color w:val="auto"/>
                <w:szCs w:val="21"/>
              </w:rPr>
            </w:pPr>
          </w:p>
        </w:tc>
        <w:tc>
          <w:tcPr>
            <w:tcW w:w="709" w:type="dxa"/>
            <w:vAlign w:val="center"/>
          </w:tcPr>
          <w:p w14:paraId="45517FC1">
            <w:pPr>
              <w:jc w:val="center"/>
              <w:rPr>
                <w:rFonts w:ascii="宋体" w:hAnsi="宋体"/>
                <w:color w:val="auto"/>
                <w:szCs w:val="21"/>
              </w:rPr>
            </w:pPr>
          </w:p>
        </w:tc>
        <w:tc>
          <w:tcPr>
            <w:tcW w:w="709" w:type="dxa"/>
            <w:vAlign w:val="center"/>
          </w:tcPr>
          <w:p w14:paraId="1AB67A6F">
            <w:pPr>
              <w:jc w:val="center"/>
              <w:rPr>
                <w:rFonts w:ascii="宋体" w:hAnsi="宋体"/>
                <w:color w:val="auto"/>
                <w:szCs w:val="21"/>
              </w:rPr>
            </w:pPr>
          </w:p>
        </w:tc>
        <w:tc>
          <w:tcPr>
            <w:tcW w:w="1176" w:type="dxa"/>
            <w:vAlign w:val="center"/>
          </w:tcPr>
          <w:p w14:paraId="5B1A9CA8">
            <w:pPr>
              <w:jc w:val="center"/>
              <w:rPr>
                <w:rFonts w:ascii="宋体" w:hAnsi="宋体"/>
                <w:color w:val="auto"/>
                <w:szCs w:val="21"/>
              </w:rPr>
            </w:pPr>
          </w:p>
        </w:tc>
        <w:tc>
          <w:tcPr>
            <w:tcW w:w="872" w:type="dxa"/>
            <w:vAlign w:val="center"/>
          </w:tcPr>
          <w:p w14:paraId="074DC828">
            <w:pPr>
              <w:jc w:val="center"/>
              <w:rPr>
                <w:rFonts w:ascii="宋体" w:hAnsi="宋体"/>
                <w:color w:val="auto"/>
                <w:szCs w:val="21"/>
              </w:rPr>
            </w:pPr>
          </w:p>
        </w:tc>
        <w:tc>
          <w:tcPr>
            <w:tcW w:w="872" w:type="dxa"/>
            <w:vAlign w:val="center"/>
          </w:tcPr>
          <w:p w14:paraId="44FA0B5C">
            <w:pPr>
              <w:jc w:val="center"/>
              <w:rPr>
                <w:rFonts w:ascii="宋体" w:hAnsi="宋体"/>
                <w:color w:val="auto"/>
                <w:szCs w:val="21"/>
              </w:rPr>
            </w:pPr>
          </w:p>
        </w:tc>
        <w:tc>
          <w:tcPr>
            <w:tcW w:w="765" w:type="dxa"/>
            <w:vAlign w:val="center"/>
          </w:tcPr>
          <w:p w14:paraId="5E395734">
            <w:pPr>
              <w:jc w:val="center"/>
              <w:rPr>
                <w:rFonts w:ascii="宋体" w:hAnsi="宋体"/>
                <w:color w:val="auto"/>
                <w:szCs w:val="21"/>
              </w:rPr>
            </w:pPr>
          </w:p>
        </w:tc>
      </w:tr>
      <w:tr w14:paraId="07FE9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5AB8288F">
            <w:pPr>
              <w:jc w:val="center"/>
              <w:rPr>
                <w:rFonts w:ascii="宋体" w:hAnsi="宋体"/>
                <w:color w:val="auto"/>
                <w:szCs w:val="21"/>
              </w:rPr>
            </w:pPr>
          </w:p>
        </w:tc>
        <w:tc>
          <w:tcPr>
            <w:tcW w:w="1064" w:type="dxa"/>
            <w:vAlign w:val="center"/>
          </w:tcPr>
          <w:p w14:paraId="2873CFFF">
            <w:pPr>
              <w:jc w:val="center"/>
              <w:rPr>
                <w:rFonts w:ascii="宋体" w:hAnsi="宋体"/>
                <w:color w:val="auto"/>
                <w:szCs w:val="21"/>
              </w:rPr>
            </w:pPr>
          </w:p>
        </w:tc>
        <w:tc>
          <w:tcPr>
            <w:tcW w:w="672" w:type="dxa"/>
            <w:vAlign w:val="center"/>
          </w:tcPr>
          <w:p w14:paraId="574D9A77">
            <w:pPr>
              <w:jc w:val="center"/>
              <w:rPr>
                <w:rFonts w:ascii="宋体" w:hAnsi="宋体"/>
                <w:color w:val="auto"/>
                <w:szCs w:val="21"/>
              </w:rPr>
            </w:pPr>
          </w:p>
        </w:tc>
        <w:tc>
          <w:tcPr>
            <w:tcW w:w="1022" w:type="dxa"/>
            <w:vAlign w:val="center"/>
          </w:tcPr>
          <w:p w14:paraId="758E79E2">
            <w:pPr>
              <w:jc w:val="center"/>
              <w:rPr>
                <w:rFonts w:ascii="宋体" w:hAnsi="宋体"/>
                <w:color w:val="auto"/>
                <w:szCs w:val="21"/>
              </w:rPr>
            </w:pPr>
          </w:p>
        </w:tc>
        <w:tc>
          <w:tcPr>
            <w:tcW w:w="709" w:type="dxa"/>
            <w:vAlign w:val="center"/>
          </w:tcPr>
          <w:p w14:paraId="5AE09A82">
            <w:pPr>
              <w:jc w:val="center"/>
              <w:rPr>
                <w:rFonts w:ascii="宋体" w:hAnsi="宋体"/>
                <w:color w:val="auto"/>
                <w:szCs w:val="21"/>
              </w:rPr>
            </w:pPr>
          </w:p>
        </w:tc>
        <w:tc>
          <w:tcPr>
            <w:tcW w:w="709" w:type="dxa"/>
            <w:vAlign w:val="center"/>
          </w:tcPr>
          <w:p w14:paraId="2D878A04">
            <w:pPr>
              <w:jc w:val="center"/>
              <w:rPr>
                <w:rFonts w:ascii="宋体" w:hAnsi="宋体"/>
                <w:color w:val="auto"/>
                <w:szCs w:val="21"/>
              </w:rPr>
            </w:pPr>
          </w:p>
        </w:tc>
        <w:tc>
          <w:tcPr>
            <w:tcW w:w="1176" w:type="dxa"/>
            <w:vAlign w:val="center"/>
          </w:tcPr>
          <w:p w14:paraId="000C112C">
            <w:pPr>
              <w:jc w:val="center"/>
              <w:rPr>
                <w:rFonts w:ascii="宋体" w:hAnsi="宋体"/>
                <w:color w:val="auto"/>
                <w:szCs w:val="21"/>
              </w:rPr>
            </w:pPr>
          </w:p>
        </w:tc>
        <w:tc>
          <w:tcPr>
            <w:tcW w:w="872" w:type="dxa"/>
            <w:vAlign w:val="center"/>
          </w:tcPr>
          <w:p w14:paraId="5576B9D3">
            <w:pPr>
              <w:jc w:val="center"/>
              <w:rPr>
                <w:rFonts w:ascii="宋体" w:hAnsi="宋体"/>
                <w:color w:val="auto"/>
                <w:szCs w:val="21"/>
              </w:rPr>
            </w:pPr>
          </w:p>
        </w:tc>
        <w:tc>
          <w:tcPr>
            <w:tcW w:w="872" w:type="dxa"/>
            <w:vAlign w:val="center"/>
          </w:tcPr>
          <w:p w14:paraId="3FB86C70">
            <w:pPr>
              <w:jc w:val="center"/>
              <w:rPr>
                <w:rFonts w:ascii="宋体" w:hAnsi="宋体"/>
                <w:color w:val="auto"/>
                <w:szCs w:val="21"/>
              </w:rPr>
            </w:pPr>
          </w:p>
        </w:tc>
        <w:tc>
          <w:tcPr>
            <w:tcW w:w="765" w:type="dxa"/>
            <w:vAlign w:val="center"/>
          </w:tcPr>
          <w:p w14:paraId="77A25091">
            <w:pPr>
              <w:jc w:val="center"/>
              <w:rPr>
                <w:rFonts w:ascii="宋体" w:hAnsi="宋体"/>
                <w:color w:val="auto"/>
                <w:szCs w:val="21"/>
              </w:rPr>
            </w:pPr>
          </w:p>
        </w:tc>
      </w:tr>
    </w:tbl>
    <w:p w14:paraId="1EEEBFDF">
      <w:pPr>
        <w:spacing w:line="420" w:lineRule="exact"/>
        <w:rPr>
          <w:rFonts w:ascii="宋体" w:hAnsi="宋体"/>
          <w:color w:val="auto"/>
          <w:szCs w:val="21"/>
        </w:rPr>
      </w:pPr>
    </w:p>
    <w:p w14:paraId="1F7A2236">
      <w:pPr>
        <w:spacing w:line="420" w:lineRule="exact"/>
        <w:rPr>
          <w:rFonts w:ascii="宋体" w:hAnsi="宋体"/>
          <w:color w:val="auto"/>
          <w:szCs w:val="21"/>
        </w:rPr>
      </w:pPr>
      <w:r>
        <w:rPr>
          <w:rFonts w:ascii="宋体" w:hAnsi="宋体"/>
          <w:color w:val="auto"/>
          <w:szCs w:val="21"/>
        </w:rPr>
        <w:br w:type="page"/>
      </w:r>
    </w:p>
    <w:p w14:paraId="0BF3C8D9">
      <w:pPr>
        <w:pStyle w:val="27"/>
        <w:rPr>
          <w:rFonts w:ascii="黑体" w:hAnsi="宋体"/>
          <w:color w:val="auto"/>
          <w:szCs w:val="24"/>
        </w:rPr>
      </w:pPr>
      <w:bookmarkStart w:id="2058" w:name="_Toc152264831"/>
      <w:bookmarkStart w:id="2059" w:name="_Toc30316"/>
      <w:r>
        <w:rPr>
          <w:rFonts w:hint="eastAsia"/>
          <w:color w:val="auto"/>
          <w:szCs w:val="24"/>
        </w:rPr>
        <w:t>附表二：拟配备本工程的试验和检测仪器设备表</w:t>
      </w:r>
      <w:bookmarkEnd w:id="2058"/>
      <w:bookmarkEnd w:id="2059"/>
    </w:p>
    <w:tbl>
      <w:tblPr>
        <w:tblStyle w:val="18"/>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2"/>
        <w:gridCol w:w="1022"/>
        <w:gridCol w:w="656"/>
        <w:gridCol w:w="982"/>
        <w:gridCol w:w="690"/>
        <w:gridCol w:w="690"/>
        <w:gridCol w:w="1126"/>
        <w:gridCol w:w="1577"/>
        <w:gridCol w:w="822"/>
      </w:tblGrid>
      <w:tr w14:paraId="17840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42" w:type="dxa"/>
            <w:vAlign w:val="center"/>
          </w:tcPr>
          <w:p w14:paraId="1D91EDB9">
            <w:pPr>
              <w:jc w:val="center"/>
              <w:rPr>
                <w:rFonts w:ascii="宋体" w:hAnsi="宋体"/>
                <w:color w:val="auto"/>
                <w:szCs w:val="21"/>
              </w:rPr>
            </w:pPr>
            <w:r>
              <w:rPr>
                <w:rFonts w:hint="eastAsia" w:ascii="宋体" w:hAnsi="宋体"/>
                <w:color w:val="auto"/>
                <w:szCs w:val="21"/>
              </w:rPr>
              <w:t>序号</w:t>
            </w:r>
          </w:p>
        </w:tc>
        <w:tc>
          <w:tcPr>
            <w:tcW w:w="1022" w:type="dxa"/>
            <w:vAlign w:val="center"/>
          </w:tcPr>
          <w:p w14:paraId="378850D1">
            <w:pPr>
              <w:jc w:val="center"/>
              <w:rPr>
                <w:rFonts w:ascii="宋体" w:hAnsi="宋体"/>
                <w:color w:val="auto"/>
                <w:szCs w:val="21"/>
              </w:rPr>
            </w:pPr>
            <w:r>
              <w:rPr>
                <w:rFonts w:hint="eastAsia" w:ascii="宋体" w:hAnsi="宋体"/>
                <w:color w:val="auto"/>
                <w:szCs w:val="21"/>
              </w:rPr>
              <w:t>仪器设备名称</w:t>
            </w:r>
          </w:p>
        </w:tc>
        <w:tc>
          <w:tcPr>
            <w:tcW w:w="656" w:type="dxa"/>
            <w:vAlign w:val="center"/>
          </w:tcPr>
          <w:p w14:paraId="5B8B9D0B">
            <w:pPr>
              <w:jc w:val="center"/>
              <w:rPr>
                <w:rFonts w:ascii="宋体" w:hAnsi="宋体"/>
                <w:color w:val="auto"/>
                <w:szCs w:val="21"/>
              </w:rPr>
            </w:pPr>
            <w:r>
              <w:rPr>
                <w:rFonts w:hint="eastAsia" w:ascii="宋体" w:hAnsi="宋体"/>
                <w:color w:val="auto"/>
                <w:szCs w:val="21"/>
              </w:rPr>
              <w:t>型号</w:t>
            </w:r>
          </w:p>
          <w:p w14:paraId="27639841">
            <w:pPr>
              <w:jc w:val="center"/>
              <w:rPr>
                <w:rFonts w:ascii="宋体" w:hAnsi="宋体"/>
                <w:color w:val="auto"/>
                <w:szCs w:val="21"/>
              </w:rPr>
            </w:pPr>
            <w:r>
              <w:rPr>
                <w:rFonts w:hint="eastAsia" w:ascii="宋体" w:hAnsi="宋体"/>
                <w:color w:val="auto"/>
                <w:szCs w:val="21"/>
              </w:rPr>
              <w:t>规格</w:t>
            </w:r>
          </w:p>
        </w:tc>
        <w:tc>
          <w:tcPr>
            <w:tcW w:w="982" w:type="dxa"/>
            <w:vAlign w:val="center"/>
          </w:tcPr>
          <w:p w14:paraId="13D5354A">
            <w:pPr>
              <w:jc w:val="center"/>
              <w:rPr>
                <w:rFonts w:ascii="宋体" w:hAnsi="宋体"/>
                <w:color w:val="auto"/>
                <w:szCs w:val="21"/>
              </w:rPr>
            </w:pPr>
            <w:r>
              <w:rPr>
                <w:rFonts w:hint="eastAsia" w:ascii="宋体" w:hAnsi="宋体"/>
                <w:color w:val="auto"/>
                <w:szCs w:val="21"/>
              </w:rPr>
              <w:t>数  量</w:t>
            </w:r>
          </w:p>
        </w:tc>
        <w:tc>
          <w:tcPr>
            <w:tcW w:w="690" w:type="dxa"/>
            <w:vAlign w:val="center"/>
          </w:tcPr>
          <w:p w14:paraId="2E9C2B4D">
            <w:pPr>
              <w:jc w:val="center"/>
              <w:rPr>
                <w:rFonts w:ascii="宋体" w:hAnsi="宋体"/>
                <w:color w:val="auto"/>
                <w:szCs w:val="21"/>
              </w:rPr>
            </w:pPr>
            <w:r>
              <w:rPr>
                <w:rFonts w:hint="eastAsia" w:ascii="宋体" w:hAnsi="宋体"/>
                <w:color w:val="auto"/>
                <w:szCs w:val="21"/>
              </w:rPr>
              <w:t>国别</w:t>
            </w:r>
          </w:p>
          <w:p w14:paraId="2E57B261">
            <w:pPr>
              <w:jc w:val="center"/>
              <w:rPr>
                <w:rFonts w:ascii="宋体" w:hAnsi="宋体"/>
                <w:color w:val="auto"/>
                <w:szCs w:val="21"/>
              </w:rPr>
            </w:pPr>
            <w:r>
              <w:rPr>
                <w:rFonts w:hint="eastAsia" w:ascii="宋体" w:hAnsi="宋体"/>
                <w:color w:val="auto"/>
                <w:szCs w:val="21"/>
              </w:rPr>
              <w:t>产地</w:t>
            </w:r>
          </w:p>
        </w:tc>
        <w:tc>
          <w:tcPr>
            <w:tcW w:w="690" w:type="dxa"/>
            <w:vAlign w:val="center"/>
          </w:tcPr>
          <w:p w14:paraId="530AA13B">
            <w:pPr>
              <w:jc w:val="center"/>
              <w:rPr>
                <w:rFonts w:ascii="宋体" w:hAnsi="宋体"/>
                <w:color w:val="auto"/>
                <w:szCs w:val="21"/>
              </w:rPr>
            </w:pPr>
            <w:r>
              <w:rPr>
                <w:rFonts w:hint="eastAsia" w:ascii="宋体" w:hAnsi="宋体"/>
                <w:color w:val="auto"/>
                <w:szCs w:val="21"/>
              </w:rPr>
              <w:t>制造</w:t>
            </w:r>
          </w:p>
          <w:p w14:paraId="390691E9">
            <w:pPr>
              <w:jc w:val="center"/>
              <w:rPr>
                <w:rFonts w:ascii="宋体" w:hAnsi="宋体"/>
                <w:color w:val="auto"/>
                <w:szCs w:val="21"/>
              </w:rPr>
            </w:pPr>
            <w:r>
              <w:rPr>
                <w:rFonts w:hint="eastAsia" w:ascii="宋体" w:hAnsi="宋体"/>
                <w:color w:val="auto"/>
                <w:szCs w:val="21"/>
              </w:rPr>
              <w:t>年份</w:t>
            </w:r>
          </w:p>
        </w:tc>
        <w:tc>
          <w:tcPr>
            <w:tcW w:w="1126" w:type="dxa"/>
            <w:vAlign w:val="center"/>
          </w:tcPr>
          <w:p w14:paraId="1E5837AC">
            <w:pPr>
              <w:jc w:val="center"/>
              <w:rPr>
                <w:rFonts w:ascii="宋体" w:hAnsi="宋体"/>
                <w:color w:val="auto"/>
                <w:szCs w:val="21"/>
              </w:rPr>
            </w:pPr>
            <w:r>
              <w:rPr>
                <w:rFonts w:hint="eastAsia" w:ascii="宋体" w:hAnsi="宋体"/>
                <w:color w:val="auto"/>
                <w:szCs w:val="21"/>
              </w:rPr>
              <w:t>已使用台</w:t>
            </w:r>
          </w:p>
          <w:p w14:paraId="26361489">
            <w:pPr>
              <w:jc w:val="center"/>
              <w:rPr>
                <w:rFonts w:ascii="宋体" w:hAnsi="宋体"/>
                <w:color w:val="auto"/>
                <w:szCs w:val="21"/>
              </w:rPr>
            </w:pPr>
            <w:r>
              <w:rPr>
                <w:rFonts w:hint="eastAsia" w:ascii="宋体" w:hAnsi="宋体"/>
                <w:color w:val="auto"/>
                <w:szCs w:val="21"/>
              </w:rPr>
              <w:t>时    数</w:t>
            </w:r>
          </w:p>
        </w:tc>
        <w:tc>
          <w:tcPr>
            <w:tcW w:w="1577" w:type="dxa"/>
            <w:vAlign w:val="center"/>
          </w:tcPr>
          <w:p w14:paraId="3357ABC6">
            <w:pPr>
              <w:jc w:val="center"/>
              <w:rPr>
                <w:rFonts w:ascii="宋体" w:hAnsi="宋体"/>
                <w:color w:val="auto"/>
                <w:szCs w:val="21"/>
              </w:rPr>
            </w:pPr>
            <w:r>
              <w:rPr>
                <w:rFonts w:hint="eastAsia" w:ascii="宋体" w:hAnsi="宋体"/>
                <w:color w:val="auto"/>
                <w:szCs w:val="21"/>
              </w:rPr>
              <w:t>用  途</w:t>
            </w:r>
          </w:p>
        </w:tc>
        <w:tc>
          <w:tcPr>
            <w:tcW w:w="822" w:type="dxa"/>
            <w:vAlign w:val="center"/>
          </w:tcPr>
          <w:p w14:paraId="21AF9145">
            <w:pPr>
              <w:jc w:val="center"/>
              <w:rPr>
                <w:rFonts w:ascii="宋体" w:hAnsi="宋体"/>
                <w:color w:val="auto"/>
                <w:szCs w:val="21"/>
              </w:rPr>
            </w:pPr>
            <w:r>
              <w:rPr>
                <w:rFonts w:hint="eastAsia" w:ascii="宋体" w:hAnsi="宋体"/>
                <w:color w:val="auto"/>
                <w:szCs w:val="21"/>
              </w:rPr>
              <w:t>备注</w:t>
            </w:r>
          </w:p>
        </w:tc>
      </w:tr>
      <w:tr w14:paraId="7011D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489CB108">
            <w:pPr>
              <w:jc w:val="center"/>
              <w:rPr>
                <w:rFonts w:ascii="宋体" w:hAnsi="宋体"/>
                <w:color w:val="auto"/>
                <w:szCs w:val="21"/>
              </w:rPr>
            </w:pPr>
          </w:p>
        </w:tc>
        <w:tc>
          <w:tcPr>
            <w:tcW w:w="1022" w:type="dxa"/>
            <w:vAlign w:val="center"/>
          </w:tcPr>
          <w:p w14:paraId="60668820">
            <w:pPr>
              <w:jc w:val="center"/>
              <w:rPr>
                <w:rFonts w:ascii="宋体" w:hAnsi="宋体"/>
                <w:color w:val="auto"/>
                <w:szCs w:val="21"/>
              </w:rPr>
            </w:pPr>
          </w:p>
        </w:tc>
        <w:tc>
          <w:tcPr>
            <w:tcW w:w="656" w:type="dxa"/>
            <w:vAlign w:val="center"/>
          </w:tcPr>
          <w:p w14:paraId="06BB5F5C">
            <w:pPr>
              <w:jc w:val="center"/>
              <w:rPr>
                <w:rFonts w:ascii="宋体" w:hAnsi="宋体"/>
                <w:color w:val="auto"/>
                <w:szCs w:val="21"/>
              </w:rPr>
            </w:pPr>
          </w:p>
        </w:tc>
        <w:tc>
          <w:tcPr>
            <w:tcW w:w="982" w:type="dxa"/>
            <w:vAlign w:val="center"/>
          </w:tcPr>
          <w:p w14:paraId="704F0890">
            <w:pPr>
              <w:jc w:val="center"/>
              <w:rPr>
                <w:rFonts w:ascii="宋体" w:hAnsi="宋体"/>
                <w:color w:val="auto"/>
                <w:szCs w:val="21"/>
              </w:rPr>
            </w:pPr>
          </w:p>
        </w:tc>
        <w:tc>
          <w:tcPr>
            <w:tcW w:w="690" w:type="dxa"/>
            <w:vAlign w:val="center"/>
          </w:tcPr>
          <w:p w14:paraId="595CA207">
            <w:pPr>
              <w:jc w:val="center"/>
              <w:rPr>
                <w:rFonts w:ascii="宋体" w:hAnsi="宋体"/>
                <w:color w:val="auto"/>
                <w:szCs w:val="21"/>
              </w:rPr>
            </w:pPr>
          </w:p>
        </w:tc>
        <w:tc>
          <w:tcPr>
            <w:tcW w:w="690" w:type="dxa"/>
            <w:vAlign w:val="center"/>
          </w:tcPr>
          <w:p w14:paraId="34DBEA89">
            <w:pPr>
              <w:jc w:val="center"/>
              <w:rPr>
                <w:rFonts w:ascii="宋体" w:hAnsi="宋体"/>
                <w:color w:val="auto"/>
                <w:szCs w:val="21"/>
              </w:rPr>
            </w:pPr>
          </w:p>
        </w:tc>
        <w:tc>
          <w:tcPr>
            <w:tcW w:w="1126" w:type="dxa"/>
            <w:vAlign w:val="center"/>
          </w:tcPr>
          <w:p w14:paraId="6E57CA90">
            <w:pPr>
              <w:jc w:val="center"/>
              <w:rPr>
                <w:rFonts w:ascii="宋体" w:hAnsi="宋体"/>
                <w:color w:val="auto"/>
                <w:szCs w:val="21"/>
              </w:rPr>
            </w:pPr>
          </w:p>
        </w:tc>
        <w:tc>
          <w:tcPr>
            <w:tcW w:w="1577" w:type="dxa"/>
            <w:vAlign w:val="center"/>
          </w:tcPr>
          <w:p w14:paraId="00868E10">
            <w:pPr>
              <w:jc w:val="center"/>
              <w:rPr>
                <w:rFonts w:ascii="宋体" w:hAnsi="宋体"/>
                <w:color w:val="auto"/>
                <w:szCs w:val="21"/>
              </w:rPr>
            </w:pPr>
          </w:p>
        </w:tc>
        <w:tc>
          <w:tcPr>
            <w:tcW w:w="822" w:type="dxa"/>
            <w:vAlign w:val="center"/>
          </w:tcPr>
          <w:p w14:paraId="61378262">
            <w:pPr>
              <w:jc w:val="center"/>
              <w:rPr>
                <w:rFonts w:ascii="宋体" w:hAnsi="宋体"/>
                <w:color w:val="auto"/>
                <w:szCs w:val="21"/>
              </w:rPr>
            </w:pPr>
          </w:p>
        </w:tc>
      </w:tr>
      <w:tr w14:paraId="002B1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7F480E54">
            <w:pPr>
              <w:jc w:val="center"/>
              <w:rPr>
                <w:rFonts w:ascii="宋体" w:hAnsi="宋体"/>
                <w:color w:val="auto"/>
                <w:szCs w:val="21"/>
              </w:rPr>
            </w:pPr>
          </w:p>
        </w:tc>
        <w:tc>
          <w:tcPr>
            <w:tcW w:w="1022" w:type="dxa"/>
            <w:vAlign w:val="center"/>
          </w:tcPr>
          <w:p w14:paraId="2FFA2234">
            <w:pPr>
              <w:jc w:val="center"/>
              <w:rPr>
                <w:rFonts w:ascii="宋体" w:hAnsi="宋体"/>
                <w:color w:val="auto"/>
                <w:szCs w:val="21"/>
              </w:rPr>
            </w:pPr>
          </w:p>
        </w:tc>
        <w:tc>
          <w:tcPr>
            <w:tcW w:w="656" w:type="dxa"/>
            <w:vAlign w:val="center"/>
          </w:tcPr>
          <w:p w14:paraId="0735514D">
            <w:pPr>
              <w:jc w:val="center"/>
              <w:rPr>
                <w:rFonts w:ascii="宋体" w:hAnsi="宋体"/>
                <w:color w:val="auto"/>
                <w:szCs w:val="21"/>
              </w:rPr>
            </w:pPr>
          </w:p>
        </w:tc>
        <w:tc>
          <w:tcPr>
            <w:tcW w:w="982" w:type="dxa"/>
            <w:vAlign w:val="center"/>
          </w:tcPr>
          <w:p w14:paraId="2DA73852">
            <w:pPr>
              <w:jc w:val="center"/>
              <w:rPr>
                <w:rFonts w:ascii="宋体" w:hAnsi="宋体"/>
                <w:color w:val="auto"/>
                <w:szCs w:val="21"/>
              </w:rPr>
            </w:pPr>
          </w:p>
        </w:tc>
        <w:tc>
          <w:tcPr>
            <w:tcW w:w="690" w:type="dxa"/>
            <w:vAlign w:val="center"/>
          </w:tcPr>
          <w:p w14:paraId="53604E61">
            <w:pPr>
              <w:jc w:val="center"/>
              <w:rPr>
                <w:rFonts w:ascii="宋体" w:hAnsi="宋体"/>
                <w:color w:val="auto"/>
                <w:szCs w:val="21"/>
              </w:rPr>
            </w:pPr>
          </w:p>
        </w:tc>
        <w:tc>
          <w:tcPr>
            <w:tcW w:w="690" w:type="dxa"/>
            <w:vAlign w:val="center"/>
          </w:tcPr>
          <w:p w14:paraId="34EE18C4">
            <w:pPr>
              <w:jc w:val="center"/>
              <w:rPr>
                <w:rFonts w:ascii="宋体" w:hAnsi="宋体"/>
                <w:color w:val="auto"/>
                <w:szCs w:val="21"/>
              </w:rPr>
            </w:pPr>
          </w:p>
        </w:tc>
        <w:tc>
          <w:tcPr>
            <w:tcW w:w="1126" w:type="dxa"/>
            <w:vAlign w:val="center"/>
          </w:tcPr>
          <w:p w14:paraId="02B3153B">
            <w:pPr>
              <w:jc w:val="center"/>
              <w:rPr>
                <w:rFonts w:ascii="宋体" w:hAnsi="宋体"/>
                <w:color w:val="auto"/>
                <w:szCs w:val="21"/>
              </w:rPr>
            </w:pPr>
          </w:p>
        </w:tc>
        <w:tc>
          <w:tcPr>
            <w:tcW w:w="1577" w:type="dxa"/>
            <w:vAlign w:val="center"/>
          </w:tcPr>
          <w:p w14:paraId="1A7DBF72">
            <w:pPr>
              <w:jc w:val="center"/>
              <w:rPr>
                <w:rFonts w:ascii="宋体" w:hAnsi="宋体"/>
                <w:color w:val="auto"/>
                <w:szCs w:val="21"/>
              </w:rPr>
            </w:pPr>
          </w:p>
        </w:tc>
        <w:tc>
          <w:tcPr>
            <w:tcW w:w="822" w:type="dxa"/>
            <w:vAlign w:val="center"/>
          </w:tcPr>
          <w:p w14:paraId="02D83B7A">
            <w:pPr>
              <w:jc w:val="center"/>
              <w:rPr>
                <w:rFonts w:ascii="宋体" w:hAnsi="宋体"/>
                <w:color w:val="auto"/>
                <w:szCs w:val="21"/>
              </w:rPr>
            </w:pPr>
          </w:p>
        </w:tc>
      </w:tr>
      <w:tr w14:paraId="4D0D3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212A396F">
            <w:pPr>
              <w:jc w:val="center"/>
              <w:rPr>
                <w:rFonts w:ascii="宋体" w:hAnsi="宋体"/>
                <w:color w:val="auto"/>
                <w:szCs w:val="21"/>
              </w:rPr>
            </w:pPr>
          </w:p>
        </w:tc>
        <w:tc>
          <w:tcPr>
            <w:tcW w:w="1022" w:type="dxa"/>
            <w:vAlign w:val="center"/>
          </w:tcPr>
          <w:p w14:paraId="7A260B68">
            <w:pPr>
              <w:jc w:val="center"/>
              <w:rPr>
                <w:rFonts w:ascii="宋体" w:hAnsi="宋体"/>
                <w:color w:val="auto"/>
                <w:szCs w:val="21"/>
              </w:rPr>
            </w:pPr>
          </w:p>
        </w:tc>
        <w:tc>
          <w:tcPr>
            <w:tcW w:w="656" w:type="dxa"/>
            <w:vAlign w:val="center"/>
          </w:tcPr>
          <w:p w14:paraId="620A923D">
            <w:pPr>
              <w:jc w:val="center"/>
              <w:rPr>
                <w:rFonts w:ascii="宋体" w:hAnsi="宋体"/>
                <w:color w:val="auto"/>
                <w:szCs w:val="21"/>
              </w:rPr>
            </w:pPr>
          </w:p>
        </w:tc>
        <w:tc>
          <w:tcPr>
            <w:tcW w:w="982" w:type="dxa"/>
            <w:vAlign w:val="center"/>
          </w:tcPr>
          <w:p w14:paraId="4A231513">
            <w:pPr>
              <w:jc w:val="center"/>
              <w:rPr>
                <w:rFonts w:ascii="宋体" w:hAnsi="宋体"/>
                <w:color w:val="auto"/>
                <w:szCs w:val="21"/>
              </w:rPr>
            </w:pPr>
          </w:p>
        </w:tc>
        <w:tc>
          <w:tcPr>
            <w:tcW w:w="690" w:type="dxa"/>
            <w:vAlign w:val="center"/>
          </w:tcPr>
          <w:p w14:paraId="4C15264A">
            <w:pPr>
              <w:jc w:val="center"/>
              <w:rPr>
                <w:rFonts w:ascii="宋体" w:hAnsi="宋体"/>
                <w:color w:val="auto"/>
                <w:szCs w:val="21"/>
              </w:rPr>
            </w:pPr>
          </w:p>
        </w:tc>
        <w:tc>
          <w:tcPr>
            <w:tcW w:w="690" w:type="dxa"/>
            <w:vAlign w:val="center"/>
          </w:tcPr>
          <w:p w14:paraId="3E750CCB">
            <w:pPr>
              <w:jc w:val="center"/>
              <w:rPr>
                <w:rFonts w:ascii="宋体" w:hAnsi="宋体"/>
                <w:color w:val="auto"/>
                <w:szCs w:val="21"/>
              </w:rPr>
            </w:pPr>
          </w:p>
        </w:tc>
        <w:tc>
          <w:tcPr>
            <w:tcW w:w="1126" w:type="dxa"/>
            <w:vAlign w:val="center"/>
          </w:tcPr>
          <w:p w14:paraId="7DBB0AFD">
            <w:pPr>
              <w:jc w:val="center"/>
              <w:rPr>
                <w:rFonts w:ascii="宋体" w:hAnsi="宋体"/>
                <w:color w:val="auto"/>
                <w:szCs w:val="21"/>
              </w:rPr>
            </w:pPr>
          </w:p>
        </w:tc>
        <w:tc>
          <w:tcPr>
            <w:tcW w:w="1577" w:type="dxa"/>
            <w:vAlign w:val="center"/>
          </w:tcPr>
          <w:p w14:paraId="6805BA2B">
            <w:pPr>
              <w:jc w:val="center"/>
              <w:rPr>
                <w:rFonts w:ascii="宋体" w:hAnsi="宋体"/>
                <w:color w:val="auto"/>
                <w:szCs w:val="21"/>
              </w:rPr>
            </w:pPr>
          </w:p>
        </w:tc>
        <w:tc>
          <w:tcPr>
            <w:tcW w:w="822" w:type="dxa"/>
            <w:vAlign w:val="center"/>
          </w:tcPr>
          <w:p w14:paraId="32BC923A">
            <w:pPr>
              <w:jc w:val="center"/>
              <w:rPr>
                <w:rFonts w:ascii="宋体" w:hAnsi="宋体"/>
                <w:color w:val="auto"/>
                <w:szCs w:val="21"/>
              </w:rPr>
            </w:pPr>
          </w:p>
        </w:tc>
      </w:tr>
      <w:tr w14:paraId="36ED9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7B7858E7">
            <w:pPr>
              <w:jc w:val="center"/>
              <w:rPr>
                <w:rFonts w:ascii="宋体" w:hAnsi="宋体"/>
                <w:color w:val="auto"/>
                <w:szCs w:val="21"/>
              </w:rPr>
            </w:pPr>
          </w:p>
        </w:tc>
        <w:tc>
          <w:tcPr>
            <w:tcW w:w="1022" w:type="dxa"/>
            <w:vAlign w:val="center"/>
          </w:tcPr>
          <w:p w14:paraId="4887687E">
            <w:pPr>
              <w:jc w:val="center"/>
              <w:rPr>
                <w:rFonts w:ascii="宋体" w:hAnsi="宋体"/>
                <w:color w:val="auto"/>
                <w:szCs w:val="21"/>
              </w:rPr>
            </w:pPr>
          </w:p>
        </w:tc>
        <w:tc>
          <w:tcPr>
            <w:tcW w:w="656" w:type="dxa"/>
            <w:vAlign w:val="center"/>
          </w:tcPr>
          <w:p w14:paraId="7FAADFDE">
            <w:pPr>
              <w:jc w:val="center"/>
              <w:rPr>
                <w:rFonts w:ascii="宋体" w:hAnsi="宋体"/>
                <w:color w:val="auto"/>
                <w:szCs w:val="21"/>
              </w:rPr>
            </w:pPr>
          </w:p>
        </w:tc>
        <w:tc>
          <w:tcPr>
            <w:tcW w:w="982" w:type="dxa"/>
            <w:vAlign w:val="center"/>
          </w:tcPr>
          <w:p w14:paraId="61F266A6">
            <w:pPr>
              <w:jc w:val="center"/>
              <w:rPr>
                <w:rFonts w:ascii="宋体" w:hAnsi="宋体"/>
                <w:color w:val="auto"/>
                <w:szCs w:val="21"/>
              </w:rPr>
            </w:pPr>
          </w:p>
        </w:tc>
        <w:tc>
          <w:tcPr>
            <w:tcW w:w="690" w:type="dxa"/>
            <w:vAlign w:val="center"/>
          </w:tcPr>
          <w:p w14:paraId="2593B4E2">
            <w:pPr>
              <w:jc w:val="center"/>
              <w:rPr>
                <w:rFonts w:ascii="宋体" w:hAnsi="宋体"/>
                <w:color w:val="auto"/>
                <w:szCs w:val="21"/>
              </w:rPr>
            </w:pPr>
          </w:p>
        </w:tc>
        <w:tc>
          <w:tcPr>
            <w:tcW w:w="690" w:type="dxa"/>
            <w:vAlign w:val="center"/>
          </w:tcPr>
          <w:p w14:paraId="6A232142">
            <w:pPr>
              <w:jc w:val="center"/>
              <w:rPr>
                <w:rFonts w:ascii="宋体" w:hAnsi="宋体"/>
                <w:color w:val="auto"/>
                <w:szCs w:val="21"/>
              </w:rPr>
            </w:pPr>
          </w:p>
        </w:tc>
        <w:tc>
          <w:tcPr>
            <w:tcW w:w="1126" w:type="dxa"/>
            <w:vAlign w:val="center"/>
          </w:tcPr>
          <w:p w14:paraId="6659DDDB">
            <w:pPr>
              <w:jc w:val="center"/>
              <w:rPr>
                <w:rFonts w:ascii="宋体" w:hAnsi="宋体"/>
                <w:color w:val="auto"/>
                <w:szCs w:val="21"/>
              </w:rPr>
            </w:pPr>
          </w:p>
        </w:tc>
        <w:tc>
          <w:tcPr>
            <w:tcW w:w="1577" w:type="dxa"/>
            <w:vAlign w:val="center"/>
          </w:tcPr>
          <w:p w14:paraId="12B818AB">
            <w:pPr>
              <w:jc w:val="center"/>
              <w:rPr>
                <w:rFonts w:ascii="宋体" w:hAnsi="宋体"/>
                <w:color w:val="auto"/>
                <w:szCs w:val="21"/>
              </w:rPr>
            </w:pPr>
          </w:p>
        </w:tc>
        <w:tc>
          <w:tcPr>
            <w:tcW w:w="822" w:type="dxa"/>
            <w:vAlign w:val="center"/>
          </w:tcPr>
          <w:p w14:paraId="64768C3A">
            <w:pPr>
              <w:jc w:val="center"/>
              <w:rPr>
                <w:rFonts w:ascii="宋体" w:hAnsi="宋体"/>
                <w:color w:val="auto"/>
                <w:szCs w:val="21"/>
              </w:rPr>
            </w:pPr>
          </w:p>
        </w:tc>
      </w:tr>
      <w:tr w14:paraId="7BA1E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347217B9">
            <w:pPr>
              <w:jc w:val="center"/>
              <w:rPr>
                <w:rFonts w:ascii="宋体" w:hAnsi="宋体"/>
                <w:color w:val="auto"/>
                <w:szCs w:val="21"/>
              </w:rPr>
            </w:pPr>
          </w:p>
        </w:tc>
        <w:tc>
          <w:tcPr>
            <w:tcW w:w="1022" w:type="dxa"/>
            <w:vAlign w:val="center"/>
          </w:tcPr>
          <w:p w14:paraId="25BD822A">
            <w:pPr>
              <w:jc w:val="center"/>
              <w:rPr>
                <w:rFonts w:ascii="宋体" w:hAnsi="宋体"/>
                <w:color w:val="auto"/>
                <w:szCs w:val="21"/>
              </w:rPr>
            </w:pPr>
          </w:p>
        </w:tc>
        <w:tc>
          <w:tcPr>
            <w:tcW w:w="656" w:type="dxa"/>
            <w:vAlign w:val="center"/>
          </w:tcPr>
          <w:p w14:paraId="00916513">
            <w:pPr>
              <w:jc w:val="center"/>
              <w:rPr>
                <w:rFonts w:ascii="宋体" w:hAnsi="宋体"/>
                <w:color w:val="auto"/>
                <w:szCs w:val="21"/>
              </w:rPr>
            </w:pPr>
          </w:p>
        </w:tc>
        <w:tc>
          <w:tcPr>
            <w:tcW w:w="982" w:type="dxa"/>
            <w:vAlign w:val="center"/>
          </w:tcPr>
          <w:p w14:paraId="4819A8F7">
            <w:pPr>
              <w:jc w:val="center"/>
              <w:rPr>
                <w:rFonts w:ascii="宋体" w:hAnsi="宋体"/>
                <w:color w:val="auto"/>
                <w:szCs w:val="21"/>
              </w:rPr>
            </w:pPr>
          </w:p>
        </w:tc>
        <w:tc>
          <w:tcPr>
            <w:tcW w:w="690" w:type="dxa"/>
            <w:vAlign w:val="center"/>
          </w:tcPr>
          <w:p w14:paraId="3113A365">
            <w:pPr>
              <w:jc w:val="center"/>
              <w:rPr>
                <w:rFonts w:ascii="宋体" w:hAnsi="宋体"/>
                <w:color w:val="auto"/>
                <w:szCs w:val="21"/>
              </w:rPr>
            </w:pPr>
          </w:p>
        </w:tc>
        <w:tc>
          <w:tcPr>
            <w:tcW w:w="690" w:type="dxa"/>
            <w:vAlign w:val="center"/>
          </w:tcPr>
          <w:p w14:paraId="189FED11">
            <w:pPr>
              <w:jc w:val="center"/>
              <w:rPr>
                <w:rFonts w:ascii="宋体" w:hAnsi="宋体"/>
                <w:color w:val="auto"/>
                <w:szCs w:val="21"/>
              </w:rPr>
            </w:pPr>
          </w:p>
        </w:tc>
        <w:tc>
          <w:tcPr>
            <w:tcW w:w="1126" w:type="dxa"/>
            <w:vAlign w:val="center"/>
          </w:tcPr>
          <w:p w14:paraId="06A75EDD">
            <w:pPr>
              <w:jc w:val="center"/>
              <w:rPr>
                <w:rFonts w:ascii="宋体" w:hAnsi="宋体"/>
                <w:color w:val="auto"/>
                <w:szCs w:val="21"/>
              </w:rPr>
            </w:pPr>
          </w:p>
        </w:tc>
        <w:tc>
          <w:tcPr>
            <w:tcW w:w="1577" w:type="dxa"/>
            <w:vAlign w:val="center"/>
          </w:tcPr>
          <w:p w14:paraId="5FF4B1E1">
            <w:pPr>
              <w:jc w:val="center"/>
              <w:rPr>
                <w:rFonts w:ascii="宋体" w:hAnsi="宋体"/>
                <w:color w:val="auto"/>
                <w:szCs w:val="21"/>
              </w:rPr>
            </w:pPr>
          </w:p>
        </w:tc>
        <w:tc>
          <w:tcPr>
            <w:tcW w:w="822" w:type="dxa"/>
            <w:vAlign w:val="center"/>
          </w:tcPr>
          <w:p w14:paraId="6EC89E5E">
            <w:pPr>
              <w:jc w:val="center"/>
              <w:rPr>
                <w:rFonts w:ascii="宋体" w:hAnsi="宋体"/>
                <w:color w:val="auto"/>
                <w:szCs w:val="21"/>
              </w:rPr>
            </w:pPr>
          </w:p>
        </w:tc>
      </w:tr>
      <w:tr w14:paraId="4DFDB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1D7C11E1">
            <w:pPr>
              <w:jc w:val="center"/>
              <w:rPr>
                <w:rFonts w:ascii="宋体" w:hAnsi="宋体"/>
                <w:color w:val="auto"/>
                <w:szCs w:val="21"/>
              </w:rPr>
            </w:pPr>
          </w:p>
        </w:tc>
        <w:tc>
          <w:tcPr>
            <w:tcW w:w="1022" w:type="dxa"/>
            <w:vAlign w:val="center"/>
          </w:tcPr>
          <w:p w14:paraId="246FDD6D">
            <w:pPr>
              <w:jc w:val="center"/>
              <w:rPr>
                <w:rFonts w:ascii="宋体" w:hAnsi="宋体"/>
                <w:color w:val="auto"/>
                <w:szCs w:val="21"/>
              </w:rPr>
            </w:pPr>
          </w:p>
        </w:tc>
        <w:tc>
          <w:tcPr>
            <w:tcW w:w="656" w:type="dxa"/>
            <w:vAlign w:val="center"/>
          </w:tcPr>
          <w:p w14:paraId="71C12727">
            <w:pPr>
              <w:jc w:val="center"/>
              <w:rPr>
                <w:rFonts w:ascii="宋体" w:hAnsi="宋体"/>
                <w:color w:val="auto"/>
                <w:szCs w:val="21"/>
              </w:rPr>
            </w:pPr>
          </w:p>
        </w:tc>
        <w:tc>
          <w:tcPr>
            <w:tcW w:w="982" w:type="dxa"/>
            <w:vAlign w:val="center"/>
          </w:tcPr>
          <w:p w14:paraId="6E761C99">
            <w:pPr>
              <w:jc w:val="center"/>
              <w:rPr>
                <w:rFonts w:ascii="宋体" w:hAnsi="宋体"/>
                <w:color w:val="auto"/>
                <w:szCs w:val="21"/>
              </w:rPr>
            </w:pPr>
          </w:p>
        </w:tc>
        <w:tc>
          <w:tcPr>
            <w:tcW w:w="690" w:type="dxa"/>
            <w:vAlign w:val="center"/>
          </w:tcPr>
          <w:p w14:paraId="7E4F7995">
            <w:pPr>
              <w:jc w:val="center"/>
              <w:rPr>
                <w:rFonts w:ascii="宋体" w:hAnsi="宋体"/>
                <w:color w:val="auto"/>
                <w:szCs w:val="21"/>
              </w:rPr>
            </w:pPr>
          </w:p>
        </w:tc>
        <w:tc>
          <w:tcPr>
            <w:tcW w:w="690" w:type="dxa"/>
            <w:vAlign w:val="center"/>
          </w:tcPr>
          <w:p w14:paraId="60BCD695">
            <w:pPr>
              <w:jc w:val="center"/>
              <w:rPr>
                <w:rFonts w:ascii="宋体" w:hAnsi="宋体"/>
                <w:color w:val="auto"/>
                <w:szCs w:val="21"/>
              </w:rPr>
            </w:pPr>
          </w:p>
        </w:tc>
        <w:tc>
          <w:tcPr>
            <w:tcW w:w="1126" w:type="dxa"/>
            <w:vAlign w:val="center"/>
          </w:tcPr>
          <w:p w14:paraId="58F8A3A1">
            <w:pPr>
              <w:jc w:val="center"/>
              <w:rPr>
                <w:rFonts w:ascii="宋体" w:hAnsi="宋体"/>
                <w:color w:val="auto"/>
                <w:szCs w:val="21"/>
              </w:rPr>
            </w:pPr>
          </w:p>
        </w:tc>
        <w:tc>
          <w:tcPr>
            <w:tcW w:w="1577" w:type="dxa"/>
            <w:vAlign w:val="center"/>
          </w:tcPr>
          <w:p w14:paraId="36E0D441">
            <w:pPr>
              <w:jc w:val="center"/>
              <w:rPr>
                <w:rFonts w:ascii="宋体" w:hAnsi="宋体"/>
                <w:color w:val="auto"/>
                <w:szCs w:val="21"/>
              </w:rPr>
            </w:pPr>
          </w:p>
        </w:tc>
        <w:tc>
          <w:tcPr>
            <w:tcW w:w="822" w:type="dxa"/>
            <w:vAlign w:val="center"/>
          </w:tcPr>
          <w:p w14:paraId="1F301B9B">
            <w:pPr>
              <w:jc w:val="center"/>
              <w:rPr>
                <w:rFonts w:ascii="宋体" w:hAnsi="宋体"/>
                <w:color w:val="auto"/>
                <w:szCs w:val="21"/>
              </w:rPr>
            </w:pPr>
          </w:p>
        </w:tc>
      </w:tr>
      <w:tr w14:paraId="4B920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08E8F62D">
            <w:pPr>
              <w:jc w:val="center"/>
              <w:rPr>
                <w:rFonts w:ascii="宋体" w:hAnsi="宋体"/>
                <w:color w:val="auto"/>
                <w:szCs w:val="21"/>
              </w:rPr>
            </w:pPr>
          </w:p>
        </w:tc>
        <w:tc>
          <w:tcPr>
            <w:tcW w:w="1022" w:type="dxa"/>
            <w:vAlign w:val="center"/>
          </w:tcPr>
          <w:p w14:paraId="4DB09D29">
            <w:pPr>
              <w:jc w:val="center"/>
              <w:rPr>
                <w:rFonts w:ascii="宋体" w:hAnsi="宋体"/>
                <w:color w:val="auto"/>
                <w:szCs w:val="21"/>
              </w:rPr>
            </w:pPr>
          </w:p>
        </w:tc>
        <w:tc>
          <w:tcPr>
            <w:tcW w:w="656" w:type="dxa"/>
            <w:vAlign w:val="center"/>
          </w:tcPr>
          <w:p w14:paraId="712440B1">
            <w:pPr>
              <w:jc w:val="center"/>
              <w:rPr>
                <w:rFonts w:ascii="宋体" w:hAnsi="宋体"/>
                <w:color w:val="auto"/>
                <w:szCs w:val="21"/>
              </w:rPr>
            </w:pPr>
          </w:p>
        </w:tc>
        <w:tc>
          <w:tcPr>
            <w:tcW w:w="982" w:type="dxa"/>
            <w:vAlign w:val="center"/>
          </w:tcPr>
          <w:p w14:paraId="58FBF7E7">
            <w:pPr>
              <w:jc w:val="center"/>
              <w:rPr>
                <w:rFonts w:ascii="宋体" w:hAnsi="宋体"/>
                <w:color w:val="auto"/>
                <w:szCs w:val="21"/>
              </w:rPr>
            </w:pPr>
          </w:p>
        </w:tc>
        <w:tc>
          <w:tcPr>
            <w:tcW w:w="690" w:type="dxa"/>
            <w:vAlign w:val="center"/>
          </w:tcPr>
          <w:p w14:paraId="7D78751F">
            <w:pPr>
              <w:jc w:val="center"/>
              <w:rPr>
                <w:rFonts w:ascii="宋体" w:hAnsi="宋体"/>
                <w:color w:val="auto"/>
                <w:szCs w:val="21"/>
              </w:rPr>
            </w:pPr>
          </w:p>
        </w:tc>
        <w:tc>
          <w:tcPr>
            <w:tcW w:w="690" w:type="dxa"/>
            <w:vAlign w:val="center"/>
          </w:tcPr>
          <w:p w14:paraId="7CF5C93D">
            <w:pPr>
              <w:jc w:val="center"/>
              <w:rPr>
                <w:rFonts w:ascii="宋体" w:hAnsi="宋体"/>
                <w:color w:val="auto"/>
                <w:szCs w:val="21"/>
              </w:rPr>
            </w:pPr>
          </w:p>
        </w:tc>
        <w:tc>
          <w:tcPr>
            <w:tcW w:w="1126" w:type="dxa"/>
            <w:vAlign w:val="center"/>
          </w:tcPr>
          <w:p w14:paraId="10024726">
            <w:pPr>
              <w:jc w:val="center"/>
              <w:rPr>
                <w:rFonts w:ascii="宋体" w:hAnsi="宋体"/>
                <w:color w:val="auto"/>
                <w:szCs w:val="21"/>
              </w:rPr>
            </w:pPr>
          </w:p>
        </w:tc>
        <w:tc>
          <w:tcPr>
            <w:tcW w:w="1577" w:type="dxa"/>
            <w:vAlign w:val="center"/>
          </w:tcPr>
          <w:p w14:paraId="2D79E84D">
            <w:pPr>
              <w:jc w:val="center"/>
              <w:rPr>
                <w:rFonts w:ascii="宋体" w:hAnsi="宋体"/>
                <w:color w:val="auto"/>
                <w:szCs w:val="21"/>
              </w:rPr>
            </w:pPr>
          </w:p>
        </w:tc>
        <w:tc>
          <w:tcPr>
            <w:tcW w:w="822" w:type="dxa"/>
            <w:vAlign w:val="center"/>
          </w:tcPr>
          <w:p w14:paraId="7E039A59">
            <w:pPr>
              <w:jc w:val="center"/>
              <w:rPr>
                <w:rFonts w:ascii="宋体" w:hAnsi="宋体"/>
                <w:color w:val="auto"/>
                <w:szCs w:val="21"/>
              </w:rPr>
            </w:pPr>
          </w:p>
        </w:tc>
      </w:tr>
      <w:tr w14:paraId="07384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7039019B">
            <w:pPr>
              <w:jc w:val="center"/>
              <w:rPr>
                <w:rFonts w:ascii="宋体" w:hAnsi="宋体"/>
                <w:color w:val="auto"/>
                <w:szCs w:val="21"/>
              </w:rPr>
            </w:pPr>
          </w:p>
        </w:tc>
        <w:tc>
          <w:tcPr>
            <w:tcW w:w="1022" w:type="dxa"/>
            <w:vAlign w:val="center"/>
          </w:tcPr>
          <w:p w14:paraId="5C9401CF">
            <w:pPr>
              <w:jc w:val="center"/>
              <w:rPr>
                <w:rFonts w:ascii="宋体" w:hAnsi="宋体"/>
                <w:color w:val="auto"/>
                <w:szCs w:val="21"/>
              </w:rPr>
            </w:pPr>
          </w:p>
        </w:tc>
        <w:tc>
          <w:tcPr>
            <w:tcW w:w="656" w:type="dxa"/>
            <w:vAlign w:val="center"/>
          </w:tcPr>
          <w:p w14:paraId="1727CF45">
            <w:pPr>
              <w:jc w:val="center"/>
              <w:rPr>
                <w:rFonts w:ascii="宋体" w:hAnsi="宋体"/>
                <w:color w:val="auto"/>
                <w:szCs w:val="21"/>
              </w:rPr>
            </w:pPr>
          </w:p>
        </w:tc>
        <w:tc>
          <w:tcPr>
            <w:tcW w:w="982" w:type="dxa"/>
            <w:vAlign w:val="center"/>
          </w:tcPr>
          <w:p w14:paraId="4367D364">
            <w:pPr>
              <w:jc w:val="center"/>
              <w:rPr>
                <w:rFonts w:ascii="宋体" w:hAnsi="宋体"/>
                <w:color w:val="auto"/>
                <w:szCs w:val="21"/>
              </w:rPr>
            </w:pPr>
          </w:p>
        </w:tc>
        <w:tc>
          <w:tcPr>
            <w:tcW w:w="690" w:type="dxa"/>
            <w:vAlign w:val="center"/>
          </w:tcPr>
          <w:p w14:paraId="26A9E9E7">
            <w:pPr>
              <w:jc w:val="center"/>
              <w:rPr>
                <w:rFonts w:ascii="宋体" w:hAnsi="宋体"/>
                <w:color w:val="auto"/>
                <w:szCs w:val="21"/>
              </w:rPr>
            </w:pPr>
          </w:p>
        </w:tc>
        <w:tc>
          <w:tcPr>
            <w:tcW w:w="690" w:type="dxa"/>
            <w:vAlign w:val="center"/>
          </w:tcPr>
          <w:p w14:paraId="2790C5B9">
            <w:pPr>
              <w:jc w:val="center"/>
              <w:rPr>
                <w:rFonts w:ascii="宋体" w:hAnsi="宋体"/>
                <w:color w:val="auto"/>
                <w:szCs w:val="21"/>
              </w:rPr>
            </w:pPr>
          </w:p>
        </w:tc>
        <w:tc>
          <w:tcPr>
            <w:tcW w:w="1126" w:type="dxa"/>
            <w:vAlign w:val="center"/>
          </w:tcPr>
          <w:p w14:paraId="0E810E18">
            <w:pPr>
              <w:jc w:val="center"/>
              <w:rPr>
                <w:rFonts w:ascii="宋体" w:hAnsi="宋体"/>
                <w:color w:val="auto"/>
                <w:szCs w:val="21"/>
              </w:rPr>
            </w:pPr>
          </w:p>
        </w:tc>
        <w:tc>
          <w:tcPr>
            <w:tcW w:w="1577" w:type="dxa"/>
            <w:vAlign w:val="center"/>
          </w:tcPr>
          <w:p w14:paraId="1ECCC2E5">
            <w:pPr>
              <w:jc w:val="center"/>
              <w:rPr>
                <w:rFonts w:ascii="宋体" w:hAnsi="宋体"/>
                <w:color w:val="auto"/>
                <w:szCs w:val="21"/>
              </w:rPr>
            </w:pPr>
          </w:p>
        </w:tc>
        <w:tc>
          <w:tcPr>
            <w:tcW w:w="822" w:type="dxa"/>
            <w:vAlign w:val="center"/>
          </w:tcPr>
          <w:p w14:paraId="7C056CF5">
            <w:pPr>
              <w:jc w:val="center"/>
              <w:rPr>
                <w:rFonts w:ascii="宋体" w:hAnsi="宋体"/>
                <w:color w:val="auto"/>
                <w:szCs w:val="21"/>
              </w:rPr>
            </w:pPr>
          </w:p>
        </w:tc>
      </w:tr>
      <w:tr w14:paraId="59DCF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31C43987">
            <w:pPr>
              <w:jc w:val="center"/>
              <w:rPr>
                <w:rFonts w:ascii="宋体" w:hAnsi="宋体"/>
                <w:color w:val="auto"/>
                <w:szCs w:val="21"/>
              </w:rPr>
            </w:pPr>
          </w:p>
        </w:tc>
        <w:tc>
          <w:tcPr>
            <w:tcW w:w="1022" w:type="dxa"/>
            <w:vAlign w:val="center"/>
          </w:tcPr>
          <w:p w14:paraId="1A79A9E2">
            <w:pPr>
              <w:jc w:val="center"/>
              <w:rPr>
                <w:rFonts w:ascii="宋体" w:hAnsi="宋体"/>
                <w:color w:val="auto"/>
                <w:szCs w:val="21"/>
              </w:rPr>
            </w:pPr>
          </w:p>
        </w:tc>
        <w:tc>
          <w:tcPr>
            <w:tcW w:w="656" w:type="dxa"/>
            <w:vAlign w:val="center"/>
          </w:tcPr>
          <w:p w14:paraId="3E231AE0">
            <w:pPr>
              <w:jc w:val="center"/>
              <w:rPr>
                <w:rFonts w:ascii="宋体" w:hAnsi="宋体"/>
                <w:color w:val="auto"/>
                <w:szCs w:val="21"/>
              </w:rPr>
            </w:pPr>
          </w:p>
        </w:tc>
        <w:tc>
          <w:tcPr>
            <w:tcW w:w="982" w:type="dxa"/>
            <w:vAlign w:val="center"/>
          </w:tcPr>
          <w:p w14:paraId="39CA09B5">
            <w:pPr>
              <w:jc w:val="center"/>
              <w:rPr>
                <w:rFonts w:ascii="宋体" w:hAnsi="宋体"/>
                <w:color w:val="auto"/>
                <w:szCs w:val="21"/>
              </w:rPr>
            </w:pPr>
          </w:p>
        </w:tc>
        <w:tc>
          <w:tcPr>
            <w:tcW w:w="690" w:type="dxa"/>
            <w:vAlign w:val="center"/>
          </w:tcPr>
          <w:p w14:paraId="2B99F5B7">
            <w:pPr>
              <w:jc w:val="center"/>
              <w:rPr>
                <w:rFonts w:ascii="宋体" w:hAnsi="宋体"/>
                <w:color w:val="auto"/>
                <w:szCs w:val="21"/>
              </w:rPr>
            </w:pPr>
          </w:p>
        </w:tc>
        <w:tc>
          <w:tcPr>
            <w:tcW w:w="690" w:type="dxa"/>
            <w:vAlign w:val="center"/>
          </w:tcPr>
          <w:p w14:paraId="7046BA26">
            <w:pPr>
              <w:jc w:val="center"/>
              <w:rPr>
                <w:rFonts w:ascii="宋体" w:hAnsi="宋体"/>
                <w:color w:val="auto"/>
                <w:szCs w:val="21"/>
              </w:rPr>
            </w:pPr>
          </w:p>
        </w:tc>
        <w:tc>
          <w:tcPr>
            <w:tcW w:w="1126" w:type="dxa"/>
            <w:vAlign w:val="center"/>
          </w:tcPr>
          <w:p w14:paraId="05E76A74">
            <w:pPr>
              <w:jc w:val="center"/>
              <w:rPr>
                <w:rFonts w:ascii="宋体" w:hAnsi="宋体"/>
                <w:color w:val="auto"/>
                <w:szCs w:val="21"/>
              </w:rPr>
            </w:pPr>
          </w:p>
        </w:tc>
        <w:tc>
          <w:tcPr>
            <w:tcW w:w="1577" w:type="dxa"/>
            <w:vAlign w:val="center"/>
          </w:tcPr>
          <w:p w14:paraId="14E7F3F4">
            <w:pPr>
              <w:jc w:val="center"/>
              <w:rPr>
                <w:rFonts w:ascii="宋体" w:hAnsi="宋体"/>
                <w:color w:val="auto"/>
                <w:szCs w:val="21"/>
              </w:rPr>
            </w:pPr>
          </w:p>
        </w:tc>
        <w:tc>
          <w:tcPr>
            <w:tcW w:w="822" w:type="dxa"/>
            <w:vAlign w:val="center"/>
          </w:tcPr>
          <w:p w14:paraId="206F988E">
            <w:pPr>
              <w:jc w:val="center"/>
              <w:rPr>
                <w:rFonts w:ascii="宋体" w:hAnsi="宋体"/>
                <w:color w:val="auto"/>
                <w:szCs w:val="21"/>
              </w:rPr>
            </w:pPr>
          </w:p>
        </w:tc>
      </w:tr>
      <w:tr w14:paraId="6DA92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6BF13172">
            <w:pPr>
              <w:jc w:val="center"/>
              <w:rPr>
                <w:rFonts w:ascii="宋体" w:hAnsi="宋体"/>
                <w:color w:val="auto"/>
                <w:szCs w:val="21"/>
              </w:rPr>
            </w:pPr>
          </w:p>
        </w:tc>
        <w:tc>
          <w:tcPr>
            <w:tcW w:w="1022" w:type="dxa"/>
            <w:vAlign w:val="center"/>
          </w:tcPr>
          <w:p w14:paraId="72A98A3A">
            <w:pPr>
              <w:jc w:val="center"/>
              <w:rPr>
                <w:rFonts w:ascii="宋体" w:hAnsi="宋体"/>
                <w:color w:val="auto"/>
                <w:szCs w:val="21"/>
              </w:rPr>
            </w:pPr>
          </w:p>
        </w:tc>
        <w:tc>
          <w:tcPr>
            <w:tcW w:w="656" w:type="dxa"/>
            <w:vAlign w:val="center"/>
          </w:tcPr>
          <w:p w14:paraId="214325E9">
            <w:pPr>
              <w:jc w:val="center"/>
              <w:rPr>
                <w:rFonts w:ascii="宋体" w:hAnsi="宋体"/>
                <w:color w:val="auto"/>
                <w:szCs w:val="21"/>
              </w:rPr>
            </w:pPr>
          </w:p>
        </w:tc>
        <w:tc>
          <w:tcPr>
            <w:tcW w:w="982" w:type="dxa"/>
            <w:vAlign w:val="center"/>
          </w:tcPr>
          <w:p w14:paraId="3BE066F5">
            <w:pPr>
              <w:jc w:val="center"/>
              <w:rPr>
                <w:rFonts w:ascii="宋体" w:hAnsi="宋体"/>
                <w:color w:val="auto"/>
                <w:szCs w:val="21"/>
              </w:rPr>
            </w:pPr>
          </w:p>
        </w:tc>
        <w:tc>
          <w:tcPr>
            <w:tcW w:w="690" w:type="dxa"/>
            <w:vAlign w:val="center"/>
          </w:tcPr>
          <w:p w14:paraId="10035055">
            <w:pPr>
              <w:jc w:val="center"/>
              <w:rPr>
                <w:rFonts w:ascii="宋体" w:hAnsi="宋体"/>
                <w:color w:val="auto"/>
                <w:szCs w:val="21"/>
              </w:rPr>
            </w:pPr>
          </w:p>
        </w:tc>
        <w:tc>
          <w:tcPr>
            <w:tcW w:w="690" w:type="dxa"/>
            <w:vAlign w:val="center"/>
          </w:tcPr>
          <w:p w14:paraId="045B390E">
            <w:pPr>
              <w:jc w:val="center"/>
              <w:rPr>
                <w:rFonts w:ascii="宋体" w:hAnsi="宋体"/>
                <w:color w:val="auto"/>
                <w:szCs w:val="21"/>
              </w:rPr>
            </w:pPr>
          </w:p>
        </w:tc>
        <w:tc>
          <w:tcPr>
            <w:tcW w:w="1126" w:type="dxa"/>
            <w:vAlign w:val="center"/>
          </w:tcPr>
          <w:p w14:paraId="1CB57F98">
            <w:pPr>
              <w:jc w:val="center"/>
              <w:rPr>
                <w:rFonts w:ascii="宋体" w:hAnsi="宋体"/>
                <w:color w:val="auto"/>
                <w:szCs w:val="21"/>
              </w:rPr>
            </w:pPr>
          </w:p>
        </w:tc>
        <w:tc>
          <w:tcPr>
            <w:tcW w:w="1577" w:type="dxa"/>
            <w:vAlign w:val="center"/>
          </w:tcPr>
          <w:p w14:paraId="54574280">
            <w:pPr>
              <w:jc w:val="center"/>
              <w:rPr>
                <w:rFonts w:ascii="宋体" w:hAnsi="宋体"/>
                <w:color w:val="auto"/>
                <w:szCs w:val="21"/>
              </w:rPr>
            </w:pPr>
          </w:p>
        </w:tc>
        <w:tc>
          <w:tcPr>
            <w:tcW w:w="822" w:type="dxa"/>
            <w:vAlign w:val="center"/>
          </w:tcPr>
          <w:p w14:paraId="4346A6F7">
            <w:pPr>
              <w:jc w:val="center"/>
              <w:rPr>
                <w:rFonts w:ascii="宋体" w:hAnsi="宋体"/>
                <w:color w:val="auto"/>
                <w:szCs w:val="21"/>
              </w:rPr>
            </w:pPr>
          </w:p>
        </w:tc>
      </w:tr>
      <w:tr w14:paraId="4E8CA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6EC3AAFE">
            <w:pPr>
              <w:jc w:val="center"/>
              <w:rPr>
                <w:rFonts w:ascii="宋体" w:hAnsi="宋体"/>
                <w:color w:val="auto"/>
                <w:szCs w:val="21"/>
              </w:rPr>
            </w:pPr>
          </w:p>
        </w:tc>
        <w:tc>
          <w:tcPr>
            <w:tcW w:w="1022" w:type="dxa"/>
            <w:vAlign w:val="center"/>
          </w:tcPr>
          <w:p w14:paraId="1A607A5F">
            <w:pPr>
              <w:jc w:val="center"/>
              <w:rPr>
                <w:rFonts w:ascii="宋体" w:hAnsi="宋体"/>
                <w:color w:val="auto"/>
                <w:szCs w:val="21"/>
              </w:rPr>
            </w:pPr>
          </w:p>
        </w:tc>
        <w:tc>
          <w:tcPr>
            <w:tcW w:w="656" w:type="dxa"/>
            <w:vAlign w:val="center"/>
          </w:tcPr>
          <w:p w14:paraId="5C84791D">
            <w:pPr>
              <w:jc w:val="center"/>
              <w:rPr>
                <w:rFonts w:ascii="宋体" w:hAnsi="宋体"/>
                <w:color w:val="auto"/>
                <w:szCs w:val="21"/>
              </w:rPr>
            </w:pPr>
          </w:p>
        </w:tc>
        <w:tc>
          <w:tcPr>
            <w:tcW w:w="982" w:type="dxa"/>
            <w:vAlign w:val="center"/>
          </w:tcPr>
          <w:p w14:paraId="4BEE2DD0">
            <w:pPr>
              <w:jc w:val="center"/>
              <w:rPr>
                <w:rFonts w:ascii="宋体" w:hAnsi="宋体"/>
                <w:color w:val="auto"/>
                <w:szCs w:val="21"/>
              </w:rPr>
            </w:pPr>
          </w:p>
        </w:tc>
        <w:tc>
          <w:tcPr>
            <w:tcW w:w="690" w:type="dxa"/>
            <w:vAlign w:val="center"/>
          </w:tcPr>
          <w:p w14:paraId="624E0104">
            <w:pPr>
              <w:jc w:val="center"/>
              <w:rPr>
                <w:rFonts w:ascii="宋体" w:hAnsi="宋体"/>
                <w:color w:val="auto"/>
                <w:szCs w:val="21"/>
              </w:rPr>
            </w:pPr>
          </w:p>
        </w:tc>
        <w:tc>
          <w:tcPr>
            <w:tcW w:w="690" w:type="dxa"/>
            <w:vAlign w:val="center"/>
          </w:tcPr>
          <w:p w14:paraId="732045FD">
            <w:pPr>
              <w:jc w:val="center"/>
              <w:rPr>
                <w:rFonts w:ascii="宋体" w:hAnsi="宋体"/>
                <w:color w:val="auto"/>
                <w:szCs w:val="21"/>
              </w:rPr>
            </w:pPr>
          </w:p>
        </w:tc>
        <w:tc>
          <w:tcPr>
            <w:tcW w:w="1126" w:type="dxa"/>
            <w:vAlign w:val="center"/>
          </w:tcPr>
          <w:p w14:paraId="5BDAABD2">
            <w:pPr>
              <w:jc w:val="center"/>
              <w:rPr>
                <w:rFonts w:ascii="宋体" w:hAnsi="宋体"/>
                <w:color w:val="auto"/>
                <w:szCs w:val="21"/>
              </w:rPr>
            </w:pPr>
          </w:p>
        </w:tc>
        <w:tc>
          <w:tcPr>
            <w:tcW w:w="1577" w:type="dxa"/>
            <w:vAlign w:val="center"/>
          </w:tcPr>
          <w:p w14:paraId="5F531101">
            <w:pPr>
              <w:jc w:val="center"/>
              <w:rPr>
                <w:rFonts w:ascii="宋体" w:hAnsi="宋体"/>
                <w:color w:val="auto"/>
                <w:szCs w:val="21"/>
              </w:rPr>
            </w:pPr>
          </w:p>
        </w:tc>
        <w:tc>
          <w:tcPr>
            <w:tcW w:w="822" w:type="dxa"/>
            <w:vAlign w:val="center"/>
          </w:tcPr>
          <w:p w14:paraId="5D4669EA">
            <w:pPr>
              <w:jc w:val="center"/>
              <w:rPr>
                <w:rFonts w:ascii="宋体" w:hAnsi="宋体"/>
                <w:color w:val="auto"/>
                <w:szCs w:val="21"/>
              </w:rPr>
            </w:pPr>
          </w:p>
        </w:tc>
      </w:tr>
      <w:tr w14:paraId="70806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774DBF9B">
            <w:pPr>
              <w:jc w:val="center"/>
              <w:rPr>
                <w:rFonts w:ascii="宋体" w:hAnsi="宋体"/>
                <w:color w:val="auto"/>
                <w:szCs w:val="21"/>
              </w:rPr>
            </w:pPr>
          </w:p>
        </w:tc>
        <w:tc>
          <w:tcPr>
            <w:tcW w:w="1022" w:type="dxa"/>
            <w:vAlign w:val="center"/>
          </w:tcPr>
          <w:p w14:paraId="02D480BB">
            <w:pPr>
              <w:jc w:val="center"/>
              <w:rPr>
                <w:rFonts w:ascii="宋体" w:hAnsi="宋体"/>
                <w:color w:val="auto"/>
                <w:szCs w:val="21"/>
              </w:rPr>
            </w:pPr>
          </w:p>
        </w:tc>
        <w:tc>
          <w:tcPr>
            <w:tcW w:w="656" w:type="dxa"/>
            <w:vAlign w:val="center"/>
          </w:tcPr>
          <w:p w14:paraId="0DE0A87C">
            <w:pPr>
              <w:jc w:val="center"/>
              <w:rPr>
                <w:rFonts w:ascii="宋体" w:hAnsi="宋体"/>
                <w:color w:val="auto"/>
                <w:szCs w:val="21"/>
              </w:rPr>
            </w:pPr>
          </w:p>
        </w:tc>
        <w:tc>
          <w:tcPr>
            <w:tcW w:w="982" w:type="dxa"/>
            <w:vAlign w:val="center"/>
          </w:tcPr>
          <w:p w14:paraId="2FE1179A">
            <w:pPr>
              <w:jc w:val="center"/>
              <w:rPr>
                <w:rFonts w:ascii="宋体" w:hAnsi="宋体"/>
                <w:color w:val="auto"/>
                <w:szCs w:val="21"/>
              </w:rPr>
            </w:pPr>
          </w:p>
        </w:tc>
        <w:tc>
          <w:tcPr>
            <w:tcW w:w="690" w:type="dxa"/>
            <w:vAlign w:val="center"/>
          </w:tcPr>
          <w:p w14:paraId="4A6A0178">
            <w:pPr>
              <w:jc w:val="center"/>
              <w:rPr>
                <w:rFonts w:ascii="宋体" w:hAnsi="宋体"/>
                <w:color w:val="auto"/>
                <w:szCs w:val="21"/>
              </w:rPr>
            </w:pPr>
          </w:p>
        </w:tc>
        <w:tc>
          <w:tcPr>
            <w:tcW w:w="690" w:type="dxa"/>
            <w:vAlign w:val="center"/>
          </w:tcPr>
          <w:p w14:paraId="01DB6232">
            <w:pPr>
              <w:jc w:val="center"/>
              <w:rPr>
                <w:rFonts w:ascii="宋体" w:hAnsi="宋体"/>
                <w:color w:val="auto"/>
                <w:szCs w:val="21"/>
              </w:rPr>
            </w:pPr>
          </w:p>
        </w:tc>
        <w:tc>
          <w:tcPr>
            <w:tcW w:w="1126" w:type="dxa"/>
            <w:vAlign w:val="center"/>
          </w:tcPr>
          <w:p w14:paraId="07233849">
            <w:pPr>
              <w:jc w:val="center"/>
              <w:rPr>
                <w:rFonts w:ascii="宋体" w:hAnsi="宋体"/>
                <w:color w:val="auto"/>
                <w:szCs w:val="21"/>
              </w:rPr>
            </w:pPr>
          </w:p>
        </w:tc>
        <w:tc>
          <w:tcPr>
            <w:tcW w:w="1577" w:type="dxa"/>
            <w:vAlign w:val="center"/>
          </w:tcPr>
          <w:p w14:paraId="67084696">
            <w:pPr>
              <w:jc w:val="center"/>
              <w:rPr>
                <w:rFonts w:ascii="宋体" w:hAnsi="宋体"/>
                <w:color w:val="auto"/>
                <w:szCs w:val="21"/>
              </w:rPr>
            </w:pPr>
          </w:p>
        </w:tc>
        <w:tc>
          <w:tcPr>
            <w:tcW w:w="822" w:type="dxa"/>
            <w:vAlign w:val="center"/>
          </w:tcPr>
          <w:p w14:paraId="62CC2C99">
            <w:pPr>
              <w:jc w:val="center"/>
              <w:rPr>
                <w:rFonts w:ascii="宋体" w:hAnsi="宋体"/>
                <w:color w:val="auto"/>
                <w:szCs w:val="21"/>
              </w:rPr>
            </w:pPr>
          </w:p>
        </w:tc>
      </w:tr>
      <w:tr w14:paraId="2136D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3C320B04">
            <w:pPr>
              <w:jc w:val="center"/>
              <w:rPr>
                <w:rFonts w:ascii="宋体" w:hAnsi="宋体"/>
                <w:color w:val="auto"/>
                <w:szCs w:val="21"/>
              </w:rPr>
            </w:pPr>
          </w:p>
        </w:tc>
        <w:tc>
          <w:tcPr>
            <w:tcW w:w="1022" w:type="dxa"/>
            <w:vAlign w:val="center"/>
          </w:tcPr>
          <w:p w14:paraId="78A5438E">
            <w:pPr>
              <w:jc w:val="center"/>
              <w:rPr>
                <w:rFonts w:ascii="宋体" w:hAnsi="宋体"/>
                <w:color w:val="auto"/>
                <w:szCs w:val="21"/>
              </w:rPr>
            </w:pPr>
          </w:p>
        </w:tc>
        <w:tc>
          <w:tcPr>
            <w:tcW w:w="656" w:type="dxa"/>
            <w:vAlign w:val="center"/>
          </w:tcPr>
          <w:p w14:paraId="7CED2E3B">
            <w:pPr>
              <w:jc w:val="center"/>
              <w:rPr>
                <w:rFonts w:ascii="宋体" w:hAnsi="宋体"/>
                <w:color w:val="auto"/>
                <w:szCs w:val="21"/>
              </w:rPr>
            </w:pPr>
          </w:p>
        </w:tc>
        <w:tc>
          <w:tcPr>
            <w:tcW w:w="982" w:type="dxa"/>
            <w:vAlign w:val="center"/>
          </w:tcPr>
          <w:p w14:paraId="4F22DD12">
            <w:pPr>
              <w:jc w:val="center"/>
              <w:rPr>
                <w:rFonts w:ascii="宋体" w:hAnsi="宋体"/>
                <w:color w:val="auto"/>
                <w:szCs w:val="21"/>
              </w:rPr>
            </w:pPr>
          </w:p>
        </w:tc>
        <w:tc>
          <w:tcPr>
            <w:tcW w:w="690" w:type="dxa"/>
            <w:vAlign w:val="center"/>
          </w:tcPr>
          <w:p w14:paraId="48FBC268">
            <w:pPr>
              <w:jc w:val="center"/>
              <w:rPr>
                <w:rFonts w:ascii="宋体" w:hAnsi="宋体"/>
                <w:color w:val="auto"/>
                <w:szCs w:val="21"/>
              </w:rPr>
            </w:pPr>
          </w:p>
        </w:tc>
        <w:tc>
          <w:tcPr>
            <w:tcW w:w="690" w:type="dxa"/>
            <w:vAlign w:val="center"/>
          </w:tcPr>
          <w:p w14:paraId="08A2CC6F">
            <w:pPr>
              <w:jc w:val="center"/>
              <w:rPr>
                <w:rFonts w:ascii="宋体" w:hAnsi="宋体"/>
                <w:color w:val="auto"/>
                <w:szCs w:val="21"/>
              </w:rPr>
            </w:pPr>
          </w:p>
        </w:tc>
        <w:tc>
          <w:tcPr>
            <w:tcW w:w="1126" w:type="dxa"/>
            <w:vAlign w:val="center"/>
          </w:tcPr>
          <w:p w14:paraId="133E1CD5">
            <w:pPr>
              <w:jc w:val="center"/>
              <w:rPr>
                <w:rFonts w:ascii="宋体" w:hAnsi="宋体"/>
                <w:color w:val="auto"/>
                <w:szCs w:val="21"/>
              </w:rPr>
            </w:pPr>
          </w:p>
        </w:tc>
        <w:tc>
          <w:tcPr>
            <w:tcW w:w="1577" w:type="dxa"/>
            <w:vAlign w:val="center"/>
          </w:tcPr>
          <w:p w14:paraId="71CD5865">
            <w:pPr>
              <w:jc w:val="center"/>
              <w:rPr>
                <w:rFonts w:ascii="宋体" w:hAnsi="宋体"/>
                <w:color w:val="auto"/>
                <w:szCs w:val="21"/>
              </w:rPr>
            </w:pPr>
          </w:p>
        </w:tc>
        <w:tc>
          <w:tcPr>
            <w:tcW w:w="822" w:type="dxa"/>
            <w:vAlign w:val="center"/>
          </w:tcPr>
          <w:p w14:paraId="5D99E351">
            <w:pPr>
              <w:jc w:val="center"/>
              <w:rPr>
                <w:rFonts w:ascii="宋体" w:hAnsi="宋体"/>
                <w:color w:val="auto"/>
                <w:szCs w:val="21"/>
              </w:rPr>
            </w:pPr>
          </w:p>
        </w:tc>
      </w:tr>
      <w:tr w14:paraId="16B0E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1EB97D3D">
            <w:pPr>
              <w:jc w:val="center"/>
              <w:rPr>
                <w:rFonts w:ascii="宋体" w:hAnsi="宋体"/>
                <w:color w:val="auto"/>
                <w:szCs w:val="21"/>
              </w:rPr>
            </w:pPr>
          </w:p>
        </w:tc>
        <w:tc>
          <w:tcPr>
            <w:tcW w:w="1022" w:type="dxa"/>
            <w:vAlign w:val="center"/>
          </w:tcPr>
          <w:p w14:paraId="04861D12">
            <w:pPr>
              <w:jc w:val="center"/>
              <w:rPr>
                <w:rFonts w:ascii="宋体" w:hAnsi="宋体"/>
                <w:color w:val="auto"/>
                <w:szCs w:val="21"/>
              </w:rPr>
            </w:pPr>
          </w:p>
        </w:tc>
        <w:tc>
          <w:tcPr>
            <w:tcW w:w="656" w:type="dxa"/>
            <w:vAlign w:val="center"/>
          </w:tcPr>
          <w:p w14:paraId="719FEB9F">
            <w:pPr>
              <w:jc w:val="center"/>
              <w:rPr>
                <w:rFonts w:ascii="宋体" w:hAnsi="宋体"/>
                <w:color w:val="auto"/>
                <w:szCs w:val="21"/>
              </w:rPr>
            </w:pPr>
          </w:p>
        </w:tc>
        <w:tc>
          <w:tcPr>
            <w:tcW w:w="982" w:type="dxa"/>
            <w:vAlign w:val="center"/>
          </w:tcPr>
          <w:p w14:paraId="0BBB225E">
            <w:pPr>
              <w:jc w:val="center"/>
              <w:rPr>
                <w:rFonts w:ascii="宋体" w:hAnsi="宋体"/>
                <w:color w:val="auto"/>
                <w:szCs w:val="21"/>
              </w:rPr>
            </w:pPr>
          </w:p>
        </w:tc>
        <w:tc>
          <w:tcPr>
            <w:tcW w:w="690" w:type="dxa"/>
            <w:vAlign w:val="center"/>
          </w:tcPr>
          <w:p w14:paraId="1F686C45">
            <w:pPr>
              <w:jc w:val="center"/>
              <w:rPr>
                <w:rFonts w:ascii="宋体" w:hAnsi="宋体"/>
                <w:color w:val="auto"/>
                <w:szCs w:val="21"/>
              </w:rPr>
            </w:pPr>
          </w:p>
        </w:tc>
        <w:tc>
          <w:tcPr>
            <w:tcW w:w="690" w:type="dxa"/>
            <w:vAlign w:val="center"/>
          </w:tcPr>
          <w:p w14:paraId="4F01F840">
            <w:pPr>
              <w:jc w:val="center"/>
              <w:rPr>
                <w:rFonts w:ascii="宋体" w:hAnsi="宋体"/>
                <w:color w:val="auto"/>
                <w:szCs w:val="21"/>
              </w:rPr>
            </w:pPr>
          </w:p>
        </w:tc>
        <w:tc>
          <w:tcPr>
            <w:tcW w:w="1126" w:type="dxa"/>
            <w:vAlign w:val="center"/>
          </w:tcPr>
          <w:p w14:paraId="1E4DD772">
            <w:pPr>
              <w:jc w:val="center"/>
              <w:rPr>
                <w:rFonts w:ascii="宋体" w:hAnsi="宋体"/>
                <w:color w:val="auto"/>
                <w:szCs w:val="21"/>
              </w:rPr>
            </w:pPr>
          </w:p>
        </w:tc>
        <w:tc>
          <w:tcPr>
            <w:tcW w:w="1577" w:type="dxa"/>
            <w:vAlign w:val="center"/>
          </w:tcPr>
          <w:p w14:paraId="3A3E23FD">
            <w:pPr>
              <w:jc w:val="center"/>
              <w:rPr>
                <w:rFonts w:ascii="宋体" w:hAnsi="宋体"/>
                <w:color w:val="auto"/>
                <w:szCs w:val="21"/>
              </w:rPr>
            </w:pPr>
          </w:p>
        </w:tc>
        <w:tc>
          <w:tcPr>
            <w:tcW w:w="822" w:type="dxa"/>
            <w:vAlign w:val="center"/>
          </w:tcPr>
          <w:p w14:paraId="44285B43">
            <w:pPr>
              <w:jc w:val="center"/>
              <w:rPr>
                <w:rFonts w:ascii="宋体" w:hAnsi="宋体"/>
                <w:color w:val="auto"/>
                <w:szCs w:val="21"/>
              </w:rPr>
            </w:pPr>
          </w:p>
        </w:tc>
      </w:tr>
      <w:tr w14:paraId="76A45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79945771">
            <w:pPr>
              <w:jc w:val="center"/>
              <w:rPr>
                <w:rFonts w:ascii="宋体" w:hAnsi="宋体"/>
                <w:color w:val="auto"/>
                <w:szCs w:val="21"/>
              </w:rPr>
            </w:pPr>
          </w:p>
        </w:tc>
        <w:tc>
          <w:tcPr>
            <w:tcW w:w="1022" w:type="dxa"/>
            <w:vAlign w:val="center"/>
          </w:tcPr>
          <w:p w14:paraId="58773D03">
            <w:pPr>
              <w:jc w:val="center"/>
              <w:rPr>
                <w:rFonts w:ascii="宋体" w:hAnsi="宋体"/>
                <w:color w:val="auto"/>
                <w:szCs w:val="21"/>
              </w:rPr>
            </w:pPr>
          </w:p>
        </w:tc>
        <w:tc>
          <w:tcPr>
            <w:tcW w:w="656" w:type="dxa"/>
            <w:vAlign w:val="center"/>
          </w:tcPr>
          <w:p w14:paraId="6BD2E86B">
            <w:pPr>
              <w:jc w:val="center"/>
              <w:rPr>
                <w:rFonts w:ascii="宋体" w:hAnsi="宋体"/>
                <w:color w:val="auto"/>
                <w:szCs w:val="21"/>
              </w:rPr>
            </w:pPr>
          </w:p>
        </w:tc>
        <w:tc>
          <w:tcPr>
            <w:tcW w:w="982" w:type="dxa"/>
            <w:vAlign w:val="center"/>
          </w:tcPr>
          <w:p w14:paraId="11F0E3AF">
            <w:pPr>
              <w:jc w:val="center"/>
              <w:rPr>
                <w:rFonts w:ascii="宋体" w:hAnsi="宋体"/>
                <w:color w:val="auto"/>
                <w:szCs w:val="21"/>
              </w:rPr>
            </w:pPr>
          </w:p>
        </w:tc>
        <w:tc>
          <w:tcPr>
            <w:tcW w:w="690" w:type="dxa"/>
            <w:vAlign w:val="center"/>
          </w:tcPr>
          <w:p w14:paraId="2086494E">
            <w:pPr>
              <w:jc w:val="center"/>
              <w:rPr>
                <w:rFonts w:ascii="宋体" w:hAnsi="宋体"/>
                <w:color w:val="auto"/>
                <w:szCs w:val="21"/>
              </w:rPr>
            </w:pPr>
          </w:p>
        </w:tc>
        <w:tc>
          <w:tcPr>
            <w:tcW w:w="690" w:type="dxa"/>
            <w:vAlign w:val="center"/>
          </w:tcPr>
          <w:p w14:paraId="17D98E9C">
            <w:pPr>
              <w:jc w:val="center"/>
              <w:rPr>
                <w:rFonts w:ascii="宋体" w:hAnsi="宋体"/>
                <w:color w:val="auto"/>
                <w:szCs w:val="21"/>
              </w:rPr>
            </w:pPr>
          </w:p>
        </w:tc>
        <w:tc>
          <w:tcPr>
            <w:tcW w:w="1126" w:type="dxa"/>
            <w:vAlign w:val="center"/>
          </w:tcPr>
          <w:p w14:paraId="64AE2885">
            <w:pPr>
              <w:jc w:val="center"/>
              <w:rPr>
                <w:rFonts w:ascii="宋体" w:hAnsi="宋体"/>
                <w:color w:val="auto"/>
                <w:szCs w:val="21"/>
              </w:rPr>
            </w:pPr>
          </w:p>
        </w:tc>
        <w:tc>
          <w:tcPr>
            <w:tcW w:w="1577" w:type="dxa"/>
            <w:vAlign w:val="center"/>
          </w:tcPr>
          <w:p w14:paraId="589D378F">
            <w:pPr>
              <w:jc w:val="center"/>
              <w:rPr>
                <w:rFonts w:ascii="宋体" w:hAnsi="宋体"/>
                <w:color w:val="auto"/>
                <w:szCs w:val="21"/>
              </w:rPr>
            </w:pPr>
          </w:p>
        </w:tc>
        <w:tc>
          <w:tcPr>
            <w:tcW w:w="822" w:type="dxa"/>
            <w:vAlign w:val="center"/>
          </w:tcPr>
          <w:p w14:paraId="616DED2D">
            <w:pPr>
              <w:jc w:val="center"/>
              <w:rPr>
                <w:rFonts w:ascii="宋体" w:hAnsi="宋体"/>
                <w:color w:val="auto"/>
                <w:szCs w:val="21"/>
              </w:rPr>
            </w:pPr>
          </w:p>
        </w:tc>
      </w:tr>
      <w:tr w14:paraId="3983A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0EF4D1A8">
            <w:pPr>
              <w:jc w:val="center"/>
              <w:rPr>
                <w:rFonts w:ascii="宋体" w:hAnsi="宋体"/>
                <w:color w:val="auto"/>
                <w:szCs w:val="21"/>
              </w:rPr>
            </w:pPr>
          </w:p>
        </w:tc>
        <w:tc>
          <w:tcPr>
            <w:tcW w:w="1022" w:type="dxa"/>
            <w:vAlign w:val="center"/>
          </w:tcPr>
          <w:p w14:paraId="2D236BA3">
            <w:pPr>
              <w:jc w:val="center"/>
              <w:rPr>
                <w:rFonts w:ascii="宋体" w:hAnsi="宋体"/>
                <w:color w:val="auto"/>
                <w:szCs w:val="21"/>
              </w:rPr>
            </w:pPr>
          </w:p>
        </w:tc>
        <w:tc>
          <w:tcPr>
            <w:tcW w:w="656" w:type="dxa"/>
            <w:vAlign w:val="center"/>
          </w:tcPr>
          <w:p w14:paraId="18386619">
            <w:pPr>
              <w:jc w:val="center"/>
              <w:rPr>
                <w:rFonts w:ascii="宋体" w:hAnsi="宋体"/>
                <w:color w:val="auto"/>
                <w:szCs w:val="21"/>
              </w:rPr>
            </w:pPr>
          </w:p>
        </w:tc>
        <w:tc>
          <w:tcPr>
            <w:tcW w:w="982" w:type="dxa"/>
            <w:vAlign w:val="center"/>
          </w:tcPr>
          <w:p w14:paraId="618DCDE5">
            <w:pPr>
              <w:jc w:val="center"/>
              <w:rPr>
                <w:rFonts w:ascii="宋体" w:hAnsi="宋体"/>
                <w:color w:val="auto"/>
                <w:szCs w:val="21"/>
              </w:rPr>
            </w:pPr>
          </w:p>
        </w:tc>
        <w:tc>
          <w:tcPr>
            <w:tcW w:w="690" w:type="dxa"/>
            <w:vAlign w:val="center"/>
          </w:tcPr>
          <w:p w14:paraId="66D82C7A">
            <w:pPr>
              <w:jc w:val="center"/>
              <w:rPr>
                <w:rFonts w:ascii="宋体" w:hAnsi="宋体"/>
                <w:color w:val="auto"/>
                <w:szCs w:val="21"/>
              </w:rPr>
            </w:pPr>
          </w:p>
        </w:tc>
        <w:tc>
          <w:tcPr>
            <w:tcW w:w="690" w:type="dxa"/>
            <w:vAlign w:val="center"/>
          </w:tcPr>
          <w:p w14:paraId="4B2EF410">
            <w:pPr>
              <w:jc w:val="center"/>
              <w:rPr>
                <w:rFonts w:ascii="宋体" w:hAnsi="宋体"/>
                <w:color w:val="auto"/>
                <w:szCs w:val="21"/>
              </w:rPr>
            </w:pPr>
          </w:p>
        </w:tc>
        <w:tc>
          <w:tcPr>
            <w:tcW w:w="1126" w:type="dxa"/>
            <w:vAlign w:val="center"/>
          </w:tcPr>
          <w:p w14:paraId="54E08067">
            <w:pPr>
              <w:jc w:val="center"/>
              <w:rPr>
                <w:rFonts w:ascii="宋体" w:hAnsi="宋体"/>
                <w:color w:val="auto"/>
                <w:szCs w:val="21"/>
              </w:rPr>
            </w:pPr>
          </w:p>
        </w:tc>
        <w:tc>
          <w:tcPr>
            <w:tcW w:w="1577" w:type="dxa"/>
            <w:vAlign w:val="center"/>
          </w:tcPr>
          <w:p w14:paraId="552EEDA9">
            <w:pPr>
              <w:jc w:val="center"/>
              <w:rPr>
                <w:rFonts w:ascii="宋体" w:hAnsi="宋体"/>
                <w:color w:val="auto"/>
                <w:szCs w:val="21"/>
              </w:rPr>
            </w:pPr>
          </w:p>
        </w:tc>
        <w:tc>
          <w:tcPr>
            <w:tcW w:w="822" w:type="dxa"/>
            <w:vAlign w:val="center"/>
          </w:tcPr>
          <w:p w14:paraId="2496B82E">
            <w:pPr>
              <w:jc w:val="center"/>
              <w:rPr>
                <w:rFonts w:ascii="宋体" w:hAnsi="宋体"/>
                <w:color w:val="auto"/>
                <w:szCs w:val="21"/>
              </w:rPr>
            </w:pPr>
          </w:p>
        </w:tc>
      </w:tr>
      <w:tr w14:paraId="1BD36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0CCFF043">
            <w:pPr>
              <w:jc w:val="center"/>
              <w:rPr>
                <w:rFonts w:ascii="宋体" w:hAnsi="宋体"/>
                <w:color w:val="auto"/>
                <w:szCs w:val="21"/>
              </w:rPr>
            </w:pPr>
          </w:p>
        </w:tc>
        <w:tc>
          <w:tcPr>
            <w:tcW w:w="1022" w:type="dxa"/>
            <w:vAlign w:val="center"/>
          </w:tcPr>
          <w:p w14:paraId="65F10BF2">
            <w:pPr>
              <w:jc w:val="center"/>
              <w:rPr>
                <w:rFonts w:ascii="宋体" w:hAnsi="宋体"/>
                <w:color w:val="auto"/>
                <w:szCs w:val="21"/>
              </w:rPr>
            </w:pPr>
          </w:p>
        </w:tc>
        <w:tc>
          <w:tcPr>
            <w:tcW w:w="656" w:type="dxa"/>
            <w:vAlign w:val="center"/>
          </w:tcPr>
          <w:p w14:paraId="54B09788">
            <w:pPr>
              <w:jc w:val="center"/>
              <w:rPr>
                <w:rFonts w:ascii="宋体" w:hAnsi="宋体"/>
                <w:color w:val="auto"/>
                <w:szCs w:val="21"/>
              </w:rPr>
            </w:pPr>
          </w:p>
        </w:tc>
        <w:tc>
          <w:tcPr>
            <w:tcW w:w="982" w:type="dxa"/>
            <w:vAlign w:val="center"/>
          </w:tcPr>
          <w:p w14:paraId="09D34BDF">
            <w:pPr>
              <w:jc w:val="center"/>
              <w:rPr>
                <w:rFonts w:ascii="宋体" w:hAnsi="宋体"/>
                <w:color w:val="auto"/>
                <w:szCs w:val="21"/>
              </w:rPr>
            </w:pPr>
          </w:p>
        </w:tc>
        <w:tc>
          <w:tcPr>
            <w:tcW w:w="690" w:type="dxa"/>
            <w:vAlign w:val="center"/>
          </w:tcPr>
          <w:p w14:paraId="5EE058AA">
            <w:pPr>
              <w:jc w:val="center"/>
              <w:rPr>
                <w:rFonts w:ascii="宋体" w:hAnsi="宋体"/>
                <w:color w:val="auto"/>
                <w:szCs w:val="21"/>
              </w:rPr>
            </w:pPr>
          </w:p>
        </w:tc>
        <w:tc>
          <w:tcPr>
            <w:tcW w:w="690" w:type="dxa"/>
            <w:vAlign w:val="center"/>
          </w:tcPr>
          <w:p w14:paraId="47FD2D83">
            <w:pPr>
              <w:jc w:val="center"/>
              <w:rPr>
                <w:rFonts w:ascii="宋体" w:hAnsi="宋体"/>
                <w:color w:val="auto"/>
                <w:szCs w:val="21"/>
              </w:rPr>
            </w:pPr>
          </w:p>
        </w:tc>
        <w:tc>
          <w:tcPr>
            <w:tcW w:w="1126" w:type="dxa"/>
            <w:vAlign w:val="center"/>
          </w:tcPr>
          <w:p w14:paraId="743804F7">
            <w:pPr>
              <w:jc w:val="center"/>
              <w:rPr>
                <w:rFonts w:ascii="宋体" w:hAnsi="宋体"/>
                <w:color w:val="auto"/>
                <w:szCs w:val="21"/>
              </w:rPr>
            </w:pPr>
          </w:p>
        </w:tc>
        <w:tc>
          <w:tcPr>
            <w:tcW w:w="1577" w:type="dxa"/>
            <w:vAlign w:val="center"/>
          </w:tcPr>
          <w:p w14:paraId="54FF3D19">
            <w:pPr>
              <w:jc w:val="center"/>
              <w:rPr>
                <w:rFonts w:ascii="宋体" w:hAnsi="宋体"/>
                <w:color w:val="auto"/>
                <w:szCs w:val="21"/>
              </w:rPr>
            </w:pPr>
          </w:p>
        </w:tc>
        <w:tc>
          <w:tcPr>
            <w:tcW w:w="822" w:type="dxa"/>
            <w:vAlign w:val="center"/>
          </w:tcPr>
          <w:p w14:paraId="41981300">
            <w:pPr>
              <w:jc w:val="center"/>
              <w:rPr>
                <w:rFonts w:ascii="宋体" w:hAnsi="宋体"/>
                <w:color w:val="auto"/>
                <w:szCs w:val="21"/>
              </w:rPr>
            </w:pPr>
          </w:p>
        </w:tc>
      </w:tr>
      <w:tr w14:paraId="28AA7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4A1B32B2">
            <w:pPr>
              <w:jc w:val="center"/>
              <w:rPr>
                <w:rFonts w:ascii="宋体" w:hAnsi="宋体"/>
                <w:color w:val="auto"/>
                <w:szCs w:val="21"/>
              </w:rPr>
            </w:pPr>
          </w:p>
        </w:tc>
        <w:tc>
          <w:tcPr>
            <w:tcW w:w="1022" w:type="dxa"/>
            <w:vAlign w:val="center"/>
          </w:tcPr>
          <w:p w14:paraId="6438E42E">
            <w:pPr>
              <w:jc w:val="center"/>
              <w:rPr>
                <w:rFonts w:ascii="宋体" w:hAnsi="宋体"/>
                <w:color w:val="auto"/>
                <w:szCs w:val="21"/>
              </w:rPr>
            </w:pPr>
          </w:p>
        </w:tc>
        <w:tc>
          <w:tcPr>
            <w:tcW w:w="656" w:type="dxa"/>
            <w:vAlign w:val="center"/>
          </w:tcPr>
          <w:p w14:paraId="54EB25DB">
            <w:pPr>
              <w:jc w:val="center"/>
              <w:rPr>
                <w:rFonts w:ascii="宋体" w:hAnsi="宋体"/>
                <w:color w:val="auto"/>
                <w:szCs w:val="21"/>
              </w:rPr>
            </w:pPr>
          </w:p>
        </w:tc>
        <w:tc>
          <w:tcPr>
            <w:tcW w:w="982" w:type="dxa"/>
            <w:vAlign w:val="center"/>
          </w:tcPr>
          <w:p w14:paraId="37DBDDD8">
            <w:pPr>
              <w:jc w:val="center"/>
              <w:rPr>
                <w:rFonts w:ascii="宋体" w:hAnsi="宋体"/>
                <w:color w:val="auto"/>
                <w:szCs w:val="21"/>
              </w:rPr>
            </w:pPr>
          </w:p>
        </w:tc>
        <w:tc>
          <w:tcPr>
            <w:tcW w:w="690" w:type="dxa"/>
            <w:vAlign w:val="center"/>
          </w:tcPr>
          <w:p w14:paraId="67F43740">
            <w:pPr>
              <w:jc w:val="center"/>
              <w:rPr>
                <w:rFonts w:ascii="宋体" w:hAnsi="宋体"/>
                <w:color w:val="auto"/>
                <w:szCs w:val="21"/>
              </w:rPr>
            </w:pPr>
          </w:p>
        </w:tc>
        <w:tc>
          <w:tcPr>
            <w:tcW w:w="690" w:type="dxa"/>
            <w:vAlign w:val="center"/>
          </w:tcPr>
          <w:p w14:paraId="167CB70B">
            <w:pPr>
              <w:jc w:val="center"/>
              <w:rPr>
                <w:rFonts w:ascii="宋体" w:hAnsi="宋体"/>
                <w:color w:val="auto"/>
                <w:szCs w:val="21"/>
              </w:rPr>
            </w:pPr>
          </w:p>
        </w:tc>
        <w:tc>
          <w:tcPr>
            <w:tcW w:w="1126" w:type="dxa"/>
            <w:vAlign w:val="center"/>
          </w:tcPr>
          <w:p w14:paraId="1F2BBFD7">
            <w:pPr>
              <w:jc w:val="center"/>
              <w:rPr>
                <w:rFonts w:ascii="宋体" w:hAnsi="宋体"/>
                <w:color w:val="auto"/>
                <w:szCs w:val="21"/>
              </w:rPr>
            </w:pPr>
          </w:p>
        </w:tc>
        <w:tc>
          <w:tcPr>
            <w:tcW w:w="1577" w:type="dxa"/>
            <w:vAlign w:val="center"/>
          </w:tcPr>
          <w:p w14:paraId="67CD49CC">
            <w:pPr>
              <w:jc w:val="center"/>
              <w:rPr>
                <w:rFonts w:ascii="宋体" w:hAnsi="宋体"/>
                <w:color w:val="auto"/>
                <w:szCs w:val="21"/>
              </w:rPr>
            </w:pPr>
          </w:p>
        </w:tc>
        <w:tc>
          <w:tcPr>
            <w:tcW w:w="822" w:type="dxa"/>
            <w:vAlign w:val="center"/>
          </w:tcPr>
          <w:p w14:paraId="05C2E0A6">
            <w:pPr>
              <w:jc w:val="center"/>
              <w:rPr>
                <w:rFonts w:ascii="宋体" w:hAnsi="宋体"/>
                <w:color w:val="auto"/>
                <w:szCs w:val="21"/>
              </w:rPr>
            </w:pPr>
          </w:p>
        </w:tc>
      </w:tr>
      <w:tr w14:paraId="073AB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153745E4">
            <w:pPr>
              <w:jc w:val="center"/>
              <w:rPr>
                <w:rFonts w:ascii="宋体" w:hAnsi="宋体"/>
                <w:color w:val="auto"/>
                <w:szCs w:val="21"/>
              </w:rPr>
            </w:pPr>
          </w:p>
        </w:tc>
        <w:tc>
          <w:tcPr>
            <w:tcW w:w="1022" w:type="dxa"/>
            <w:vAlign w:val="center"/>
          </w:tcPr>
          <w:p w14:paraId="6A3AE6F3">
            <w:pPr>
              <w:jc w:val="center"/>
              <w:rPr>
                <w:rFonts w:ascii="宋体" w:hAnsi="宋体"/>
                <w:color w:val="auto"/>
                <w:szCs w:val="21"/>
              </w:rPr>
            </w:pPr>
          </w:p>
        </w:tc>
        <w:tc>
          <w:tcPr>
            <w:tcW w:w="656" w:type="dxa"/>
            <w:vAlign w:val="center"/>
          </w:tcPr>
          <w:p w14:paraId="0B4CFB52">
            <w:pPr>
              <w:jc w:val="center"/>
              <w:rPr>
                <w:rFonts w:ascii="宋体" w:hAnsi="宋体"/>
                <w:color w:val="auto"/>
                <w:szCs w:val="21"/>
              </w:rPr>
            </w:pPr>
          </w:p>
        </w:tc>
        <w:tc>
          <w:tcPr>
            <w:tcW w:w="982" w:type="dxa"/>
            <w:vAlign w:val="center"/>
          </w:tcPr>
          <w:p w14:paraId="070EC05A">
            <w:pPr>
              <w:jc w:val="center"/>
              <w:rPr>
                <w:rFonts w:ascii="宋体" w:hAnsi="宋体"/>
                <w:color w:val="auto"/>
                <w:szCs w:val="21"/>
              </w:rPr>
            </w:pPr>
          </w:p>
        </w:tc>
        <w:tc>
          <w:tcPr>
            <w:tcW w:w="690" w:type="dxa"/>
            <w:vAlign w:val="center"/>
          </w:tcPr>
          <w:p w14:paraId="03B8ED30">
            <w:pPr>
              <w:jc w:val="center"/>
              <w:rPr>
                <w:rFonts w:ascii="宋体" w:hAnsi="宋体"/>
                <w:color w:val="auto"/>
                <w:szCs w:val="21"/>
              </w:rPr>
            </w:pPr>
          </w:p>
        </w:tc>
        <w:tc>
          <w:tcPr>
            <w:tcW w:w="690" w:type="dxa"/>
            <w:vAlign w:val="center"/>
          </w:tcPr>
          <w:p w14:paraId="461532AB">
            <w:pPr>
              <w:jc w:val="center"/>
              <w:rPr>
                <w:rFonts w:ascii="宋体" w:hAnsi="宋体"/>
                <w:color w:val="auto"/>
                <w:szCs w:val="21"/>
              </w:rPr>
            </w:pPr>
          </w:p>
        </w:tc>
        <w:tc>
          <w:tcPr>
            <w:tcW w:w="1126" w:type="dxa"/>
            <w:vAlign w:val="center"/>
          </w:tcPr>
          <w:p w14:paraId="3F8BF5DF">
            <w:pPr>
              <w:jc w:val="center"/>
              <w:rPr>
                <w:rFonts w:ascii="宋体" w:hAnsi="宋体"/>
                <w:color w:val="auto"/>
                <w:szCs w:val="21"/>
              </w:rPr>
            </w:pPr>
          </w:p>
        </w:tc>
        <w:tc>
          <w:tcPr>
            <w:tcW w:w="1577" w:type="dxa"/>
            <w:vAlign w:val="center"/>
          </w:tcPr>
          <w:p w14:paraId="79716310">
            <w:pPr>
              <w:jc w:val="center"/>
              <w:rPr>
                <w:rFonts w:ascii="宋体" w:hAnsi="宋体"/>
                <w:color w:val="auto"/>
                <w:szCs w:val="21"/>
              </w:rPr>
            </w:pPr>
          </w:p>
        </w:tc>
        <w:tc>
          <w:tcPr>
            <w:tcW w:w="822" w:type="dxa"/>
            <w:vAlign w:val="center"/>
          </w:tcPr>
          <w:p w14:paraId="30AA6859">
            <w:pPr>
              <w:jc w:val="center"/>
              <w:rPr>
                <w:rFonts w:ascii="宋体" w:hAnsi="宋体"/>
                <w:color w:val="auto"/>
                <w:szCs w:val="21"/>
              </w:rPr>
            </w:pPr>
          </w:p>
        </w:tc>
      </w:tr>
      <w:tr w14:paraId="7B6B4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745C1716">
            <w:pPr>
              <w:jc w:val="center"/>
              <w:rPr>
                <w:rFonts w:ascii="宋体" w:hAnsi="宋体"/>
                <w:color w:val="auto"/>
                <w:szCs w:val="21"/>
              </w:rPr>
            </w:pPr>
          </w:p>
        </w:tc>
        <w:tc>
          <w:tcPr>
            <w:tcW w:w="1022" w:type="dxa"/>
            <w:vAlign w:val="center"/>
          </w:tcPr>
          <w:p w14:paraId="66359760">
            <w:pPr>
              <w:jc w:val="center"/>
              <w:rPr>
                <w:rFonts w:ascii="宋体" w:hAnsi="宋体"/>
                <w:color w:val="auto"/>
                <w:szCs w:val="21"/>
              </w:rPr>
            </w:pPr>
          </w:p>
        </w:tc>
        <w:tc>
          <w:tcPr>
            <w:tcW w:w="656" w:type="dxa"/>
            <w:vAlign w:val="center"/>
          </w:tcPr>
          <w:p w14:paraId="56733385">
            <w:pPr>
              <w:jc w:val="center"/>
              <w:rPr>
                <w:rFonts w:ascii="宋体" w:hAnsi="宋体"/>
                <w:color w:val="auto"/>
                <w:szCs w:val="21"/>
              </w:rPr>
            </w:pPr>
          </w:p>
        </w:tc>
        <w:tc>
          <w:tcPr>
            <w:tcW w:w="982" w:type="dxa"/>
            <w:vAlign w:val="center"/>
          </w:tcPr>
          <w:p w14:paraId="1974BE7B">
            <w:pPr>
              <w:jc w:val="center"/>
              <w:rPr>
                <w:rFonts w:ascii="宋体" w:hAnsi="宋体"/>
                <w:color w:val="auto"/>
                <w:szCs w:val="21"/>
              </w:rPr>
            </w:pPr>
          </w:p>
        </w:tc>
        <w:tc>
          <w:tcPr>
            <w:tcW w:w="690" w:type="dxa"/>
            <w:vAlign w:val="center"/>
          </w:tcPr>
          <w:p w14:paraId="6E1640C7">
            <w:pPr>
              <w:jc w:val="center"/>
              <w:rPr>
                <w:rFonts w:ascii="宋体" w:hAnsi="宋体"/>
                <w:color w:val="auto"/>
                <w:szCs w:val="21"/>
              </w:rPr>
            </w:pPr>
          </w:p>
        </w:tc>
        <w:tc>
          <w:tcPr>
            <w:tcW w:w="690" w:type="dxa"/>
            <w:vAlign w:val="center"/>
          </w:tcPr>
          <w:p w14:paraId="716CFA16">
            <w:pPr>
              <w:jc w:val="center"/>
              <w:rPr>
                <w:rFonts w:ascii="宋体" w:hAnsi="宋体"/>
                <w:color w:val="auto"/>
                <w:szCs w:val="21"/>
              </w:rPr>
            </w:pPr>
          </w:p>
        </w:tc>
        <w:tc>
          <w:tcPr>
            <w:tcW w:w="1126" w:type="dxa"/>
            <w:vAlign w:val="center"/>
          </w:tcPr>
          <w:p w14:paraId="18BF1721">
            <w:pPr>
              <w:jc w:val="center"/>
              <w:rPr>
                <w:rFonts w:ascii="宋体" w:hAnsi="宋体"/>
                <w:color w:val="auto"/>
                <w:szCs w:val="21"/>
              </w:rPr>
            </w:pPr>
          </w:p>
        </w:tc>
        <w:tc>
          <w:tcPr>
            <w:tcW w:w="1577" w:type="dxa"/>
            <w:vAlign w:val="center"/>
          </w:tcPr>
          <w:p w14:paraId="7B25F0D3">
            <w:pPr>
              <w:jc w:val="center"/>
              <w:rPr>
                <w:rFonts w:ascii="宋体" w:hAnsi="宋体"/>
                <w:color w:val="auto"/>
                <w:szCs w:val="21"/>
              </w:rPr>
            </w:pPr>
          </w:p>
        </w:tc>
        <w:tc>
          <w:tcPr>
            <w:tcW w:w="822" w:type="dxa"/>
            <w:vAlign w:val="center"/>
          </w:tcPr>
          <w:p w14:paraId="1AC9A4E0">
            <w:pPr>
              <w:jc w:val="center"/>
              <w:rPr>
                <w:rFonts w:ascii="宋体" w:hAnsi="宋体"/>
                <w:color w:val="auto"/>
                <w:szCs w:val="21"/>
              </w:rPr>
            </w:pPr>
          </w:p>
        </w:tc>
      </w:tr>
      <w:tr w14:paraId="2F3B7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64D8A242">
            <w:pPr>
              <w:jc w:val="center"/>
              <w:rPr>
                <w:rFonts w:ascii="宋体" w:hAnsi="宋体"/>
                <w:color w:val="auto"/>
                <w:szCs w:val="21"/>
              </w:rPr>
            </w:pPr>
          </w:p>
        </w:tc>
        <w:tc>
          <w:tcPr>
            <w:tcW w:w="1022" w:type="dxa"/>
            <w:vAlign w:val="center"/>
          </w:tcPr>
          <w:p w14:paraId="33BCDEF2">
            <w:pPr>
              <w:jc w:val="center"/>
              <w:rPr>
                <w:rFonts w:ascii="宋体" w:hAnsi="宋体"/>
                <w:color w:val="auto"/>
                <w:szCs w:val="21"/>
              </w:rPr>
            </w:pPr>
          </w:p>
        </w:tc>
        <w:tc>
          <w:tcPr>
            <w:tcW w:w="656" w:type="dxa"/>
            <w:vAlign w:val="center"/>
          </w:tcPr>
          <w:p w14:paraId="05D557B8">
            <w:pPr>
              <w:jc w:val="center"/>
              <w:rPr>
                <w:rFonts w:ascii="宋体" w:hAnsi="宋体"/>
                <w:color w:val="auto"/>
                <w:szCs w:val="21"/>
              </w:rPr>
            </w:pPr>
          </w:p>
        </w:tc>
        <w:tc>
          <w:tcPr>
            <w:tcW w:w="982" w:type="dxa"/>
            <w:vAlign w:val="center"/>
          </w:tcPr>
          <w:p w14:paraId="2F130FD4">
            <w:pPr>
              <w:jc w:val="center"/>
              <w:rPr>
                <w:rFonts w:ascii="宋体" w:hAnsi="宋体"/>
                <w:color w:val="auto"/>
                <w:szCs w:val="21"/>
              </w:rPr>
            </w:pPr>
          </w:p>
        </w:tc>
        <w:tc>
          <w:tcPr>
            <w:tcW w:w="690" w:type="dxa"/>
            <w:vAlign w:val="center"/>
          </w:tcPr>
          <w:p w14:paraId="4BD6C627">
            <w:pPr>
              <w:jc w:val="center"/>
              <w:rPr>
                <w:rFonts w:ascii="宋体" w:hAnsi="宋体"/>
                <w:color w:val="auto"/>
                <w:szCs w:val="21"/>
              </w:rPr>
            </w:pPr>
          </w:p>
        </w:tc>
        <w:tc>
          <w:tcPr>
            <w:tcW w:w="690" w:type="dxa"/>
            <w:vAlign w:val="center"/>
          </w:tcPr>
          <w:p w14:paraId="78C773EB">
            <w:pPr>
              <w:jc w:val="center"/>
              <w:rPr>
                <w:rFonts w:ascii="宋体" w:hAnsi="宋体"/>
                <w:color w:val="auto"/>
                <w:szCs w:val="21"/>
              </w:rPr>
            </w:pPr>
          </w:p>
        </w:tc>
        <w:tc>
          <w:tcPr>
            <w:tcW w:w="1126" w:type="dxa"/>
            <w:vAlign w:val="center"/>
          </w:tcPr>
          <w:p w14:paraId="01567BF0">
            <w:pPr>
              <w:jc w:val="center"/>
              <w:rPr>
                <w:rFonts w:ascii="宋体" w:hAnsi="宋体"/>
                <w:color w:val="auto"/>
                <w:szCs w:val="21"/>
              </w:rPr>
            </w:pPr>
          </w:p>
        </w:tc>
        <w:tc>
          <w:tcPr>
            <w:tcW w:w="1577" w:type="dxa"/>
            <w:vAlign w:val="center"/>
          </w:tcPr>
          <w:p w14:paraId="732BF25B">
            <w:pPr>
              <w:jc w:val="center"/>
              <w:rPr>
                <w:rFonts w:ascii="宋体" w:hAnsi="宋体"/>
                <w:color w:val="auto"/>
                <w:szCs w:val="21"/>
              </w:rPr>
            </w:pPr>
          </w:p>
        </w:tc>
        <w:tc>
          <w:tcPr>
            <w:tcW w:w="822" w:type="dxa"/>
            <w:vAlign w:val="center"/>
          </w:tcPr>
          <w:p w14:paraId="757BE25C">
            <w:pPr>
              <w:jc w:val="center"/>
              <w:rPr>
                <w:rFonts w:ascii="宋体" w:hAnsi="宋体"/>
                <w:color w:val="auto"/>
                <w:szCs w:val="21"/>
              </w:rPr>
            </w:pPr>
          </w:p>
        </w:tc>
      </w:tr>
      <w:tr w14:paraId="34164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164564DE">
            <w:pPr>
              <w:jc w:val="center"/>
              <w:rPr>
                <w:rFonts w:ascii="宋体" w:hAnsi="宋体"/>
                <w:color w:val="auto"/>
                <w:szCs w:val="21"/>
              </w:rPr>
            </w:pPr>
          </w:p>
        </w:tc>
        <w:tc>
          <w:tcPr>
            <w:tcW w:w="1022" w:type="dxa"/>
            <w:vAlign w:val="center"/>
          </w:tcPr>
          <w:p w14:paraId="53A24ABF">
            <w:pPr>
              <w:jc w:val="center"/>
              <w:rPr>
                <w:rFonts w:ascii="宋体" w:hAnsi="宋体"/>
                <w:color w:val="auto"/>
                <w:szCs w:val="21"/>
              </w:rPr>
            </w:pPr>
          </w:p>
        </w:tc>
        <w:tc>
          <w:tcPr>
            <w:tcW w:w="656" w:type="dxa"/>
            <w:vAlign w:val="center"/>
          </w:tcPr>
          <w:p w14:paraId="3A701D58">
            <w:pPr>
              <w:jc w:val="center"/>
              <w:rPr>
                <w:rFonts w:ascii="宋体" w:hAnsi="宋体"/>
                <w:color w:val="auto"/>
                <w:szCs w:val="21"/>
              </w:rPr>
            </w:pPr>
          </w:p>
        </w:tc>
        <w:tc>
          <w:tcPr>
            <w:tcW w:w="982" w:type="dxa"/>
            <w:vAlign w:val="center"/>
          </w:tcPr>
          <w:p w14:paraId="60A50388">
            <w:pPr>
              <w:jc w:val="center"/>
              <w:rPr>
                <w:rFonts w:ascii="宋体" w:hAnsi="宋体"/>
                <w:color w:val="auto"/>
                <w:szCs w:val="21"/>
              </w:rPr>
            </w:pPr>
          </w:p>
        </w:tc>
        <w:tc>
          <w:tcPr>
            <w:tcW w:w="690" w:type="dxa"/>
            <w:vAlign w:val="center"/>
          </w:tcPr>
          <w:p w14:paraId="08C5708F">
            <w:pPr>
              <w:jc w:val="center"/>
              <w:rPr>
                <w:rFonts w:ascii="宋体" w:hAnsi="宋体"/>
                <w:color w:val="auto"/>
                <w:szCs w:val="21"/>
              </w:rPr>
            </w:pPr>
          </w:p>
        </w:tc>
        <w:tc>
          <w:tcPr>
            <w:tcW w:w="690" w:type="dxa"/>
            <w:vAlign w:val="center"/>
          </w:tcPr>
          <w:p w14:paraId="7AED259C">
            <w:pPr>
              <w:jc w:val="center"/>
              <w:rPr>
                <w:rFonts w:ascii="宋体" w:hAnsi="宋体"/>
                <w:color w:val="auto"/>
                <w:szCs w:val="21"/>
              </w:rPr>
            </w:pPr>
          </w:p>
        </w:tc>
        <w:tc>
          <w:tcPr>
            <w:tcW w:w="1126" w:type="dxa"/>
            <w:vAlign w:val="center"/>
          </w:tcPr>
          <w:p w14:paraId="4B5F4FEE">
            <w:pPr>
              <w:jc w:val="center"/>
              <w:rPr>
                <w:rFonts w:ascii="宋体" w:hAnsi="宋体"/>
                <w:color w:val="auto"/>
                <w:szCs w:val="21"/>
              </w:rPr>
            </w:pPr>
          </w:p>
        </w:tc>
        <w:tc>
          <w:tcPr>
            <w:tcW w:w="1577" w:type="dxa"/>
            <w:vAlign w:val="center"/>
          </w:tcPr>
          <w:p w14:paraId="4F5AF92F">
            <w:pPr>
              <w:jc w:val="center"/>
              <w:rPr>
                <w:rFonts w:ascii="宋体" w:hAnsi="宋体"/>
                <w:color w:val="auto"/>
                <w:szCs w:val="21"/>
              </w:rPr>
            </w:pPr>
          </w:p>
        </w:tc>
        <w:tc>
          <w:tcPr>
            <w:tcW w:w="822" w:type="dxa"/>
            <w:vAlign w:val="center"/>
          </w:tcPr>
          <w:p w14:paraId="30B35913">
            <w:pPr>
              <w:jc w:val="center"/>
              <w:rPr>
                <w:rFonts w:ascii="宋体" w:hAnsi="宋体"/>
                <w:color w:val="auto"/>
                <w:szCs w:val="21"/>
              </w:rPr>
            </w:pPr>
          </w:p>
        </w:tc>
      </w:tr>
      <w:tr w14:paraId="54933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76DDA015">
            <w:pPr>
              <w:jc w:val="center"/>
              <w:rPr>
                <w:rFonts w:ascii="宋体" w:hAnsi="宋体"/>
                <w:color w:val="auto"/>
                <w:szCs w:val="21"/>
              </w:rPr>
            </w:pPr>
          </w:p>
        </w:tc>
        <w:tc>
          <w:tcPr>
            <w:tcW w:w="1022" w:type="dxa"/>
            <w:vAlign w:val="center"/>
          </w:tcPr>
          <w:p w14:paraId="1347BDB2">
            <w:pPr>
              <w:jc w:val="center"/>
              <w:rPr>
                <w:rFonts w:ascii="宋体" w:hAnsi="宋体"/>
                <w:color w:val="auto"/>
                <w:szCs w:val="21"/>
              </w:rPr>
            </w:pPr>
          </w:p>
        </w:tc>
        <w:tc>
          <w:tcPr>
            <w:tcW w:w="656" w:type="dxa"/>
            <w:vAlign w:val="center"/>
          </w:tcPr>
          <w:p w14:paraId="3E5E983D">
            <w:pPr>
              <w:jc w:val="center"/>
              <w:rPr>
                <w:rFonts w:ascii="宋体" w:hAnsi="宋体"/>
                <w:color w:val="auto"/>
                <w:szCs w:val="21"/>
              </w:rPr>
            </w:pPr>
          </w:p>
        </w:tc>
        <w:tc>
          <w:tcPr>
            <w:tcW w:w="982" w:type="dxa"/>
            <w:vAlign w:val="center"/>
          </w:tcPr>
          <w:p w14:paraId="3F520D0C">
            <w:pPr>
              <w:jc w:val="center"/>
              <w:rPr>
                <w:rFonts w:ascii="宋体" w:hAnsi="宋体"/>
                <w:color w:val="auto"/>
                <w:szCs w:val="21"/>
              </w:rPr>
            </w:pPr>
          </w:p>
        </w:tc>
        <w:tc>
          <w:tcPr>
            <w:tcW w:w="690" w:type="dxa"/>
            <w:vAlign w:val="center"/>
          </w:tcPr>
          <w:p w14:paraId="761CF502">
            <w:pPr>
              <w:jc w:val="center"/>
              <w:rPr>
                <w:rFonts w:ascii="宋体" w:hAnsi="宋体"/>
                <w:color w:val="auto"/>
                <w:szCs w:val="21"/>
              </w:rPr>
            </w:pPr>
          </w:p>
        </w:tc>
        <w:tc>
          <w:tcPr>
            <w:tcW w:w="690" w:type="dxa"/>
            <w:vAlign w:val="center"/>
          </w:tcPr>
          <w:p w14:paraId="59F54C7F">
            <w:pPr>
              <w:jc w:val="center"/>
              <w:rPr>
                <w:rFonts w:ascii="宋体" w:hAnsi="宋体"/>
                <w:color w:val="auto"/>
                <w:szCs w:val="21"/>
              </w:rPr>
            </w:pPr>
          </w:p>
        </w:tc>
        <w:tc>
          <w:tcPr>
            <w:tcW w:w="1126" w:type="dxa"/>
            <w:vAlign w:val="center"/>
          </w:tcPr>
          <w:p w14:paraId="68A5A541">
            <w:pPr>
              <w:jc w:val="center"/>
              <w:rPr>
                <w:rFonts w:ascii="宋体" w:hAnsi="宋体"/>
                <w:color w:val="auto"/>
                <w:szCs w:val="21"/>
              </w:rPr>
            </w:pPr>
          </w:p>
        </w:tc>
        <w:tc>
          <w:tcPr>
            <w:tcW w:w="1577" w:type="dxa"/>
            <w:vAlign w:val="center"/>
          </w:tcPr>
          <w:p w14:paraId="0DEFFC02">
            <w:pPr>
              <w:jc w:val="center"/>
              <w:rPr>
                <w:rFonts w:ascii="宋体" w:hAnsi="宋体"/>
                <w:color w:val="auto"/>
                <w:szCs w:val="21"/>
              </w:rPr>
            </w:pPr>
          </w:p>
        </w:tc>
        <w:tc>
          <w:tcPr>
            <w:tcW w:w="822" w:type="dxa"/>
            <w:vAlign w:val="center"/>
          </w:tcPr>
          <w:p w14:paraId="677DE84E">
            <w:pPr>
              <w:jc w:val="center"/>
              <w:rPr>
                <w:rFonts w:ascii="宋体" w:hAnsi="宋体"/>
                <w:color w:val="auto"/>
                <w:szCs w:val="21"/>
              </w:rPr>
            </w:pPr>
          </w:p>
        </w:tc>
      </w:tr>
    </w:tbl>
    <w:p w14:paraId="111375EA">
      <w:pPr>
        <w:spacing w:line="420" w:lineRule="exact"/>
        <w:rPr>
          <w:rFonts w:ascii="宋体" w:hAnsi="宋体"/>
          <w:color w:val="auto"/>
          <w:szCs w:val="21"/>
        </w:rPr>
      </w:pPr>
    </w:p>
    <w:p w14:paraId="77734EC5">
      <w:pPr>
        <w:spacing w:line="420" w:lineRule="exact"/>
        <w:rPr>
          <w:rFonts w:ascii="宋体" w:hAnsi="宋体"/>
          <w:color w:val="auto"/>
          <w:szCs w:val="21"/>
        </w:rPr>
      </w:pPr>
    </w:p>
    <w:p w14:paraId="326C9187">
      <w:pPr>
        <w:spacing w:line="420" w:lineRule="exact"/>
        <w:rPr>
          <w:rFonts w:ascii="宋体" w:hAnsi="宋体"/>
          <w:color w:val="auto"/>
          <w:szCs w:val="21"/>
        </w:rPr>
      </w:pPr>
      <w:r>
        <w:rPr>
          <w:rFonts w:ascii="宋体" w:hAnsi="宋体"/>
          <w:color w:val="auto"/>
          <w:szCs w:val="21"/>
        </w:rPr>
        <w:br w:type="page"/>
      </w:r>
    </w:p>
    <w:p w14:paraId="0F63EF87">
      <w:pPr>
        <w:pStyle w:val="27"/>
        <w:rPr>
          <w:rFonts w:ascii="黑体" w:hAnsi="宋体"/>
          <w:color w:val="auto"/>
        </w:rPr>
      </w:pPr>
      <w:bookmarkStart w:id="2060" w:name="_Toc152264832"/>
      <w:bookmarkStart w:id="2061" w:name="_Toc29388"/>
      <w:r>
        <w:rPr>
          <w:rFonts w:hint="eastAsia"/>
          <w:color w:val="auto"/>
          <w:szCs w:val="24"/>
        </w:rPr>
        <w:t>附表三：劳动力计划表</w:t>
      </w:r>
      <w:bookmarkEnd w:id="2060"/>
      <w:bookmarkEnd w:id="2061"/>
    </w:p>
    <w:p w14:paraId="46C7A12D">
      <w:pPr>
        <w:wordWrap w:val="0"/>
        <w:spacing w:line="420" w:lineRule="exact"/>
        <w:ind w:right="420"/>
        <w:jc w:val="right"/>
        <w:rPr>
          <w:rFonts w:ascii="黑体" w:hAnsi="宋体" w:eastAsia="黑体"/>
          <w:color w:val="auto"/>
          <w:szCs w:val="21"/>
        </w:rPr>
      </w:pPr>
      <w:r>
        <w:rPr>
          <w:rFonts w:hint="eastAsia" w:ascii="黑体" w:hAnsi="宋体" w:eastAsia="黑体"/>
          <w:color w:val="auto"/>
          <w:szCs w:val="21"/>
        </w:rPr>
        <w:t xml:space="preserve">单位：人   </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1401"/>
        <w:gridCol w:w="1051"/>
        <w:gridCol w:w="1051"/>
        <w:gridCol w:w="1051"/>
        <w:gridCol w:w="1051"/>
        <w:gridCol w:w="1052"/>
        <w:gridCol w:w="1052"/>
      </w:tblGrid>
      <w:tr w14:paraId="46008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09" w:type="dxa"/>
            <w:vAlign w:val="center"/>
          </w:tcPr>
          <w:p w14:paraId="4A910434">
            <w:pPr>
              <w:jc w:val="center"/>
              <w:rPr>
                <w:rFonts w:ascii="宋体" w:hAnsi="宋体"/>
                <w:color w:val="auto"/>
                <w:szCs w:val="21"/>
              </w:rPr>
            </w:pPr>
            <w:r>
              <w:rPr>
                <w:rFonts w:hint="eastAsia" w:ascii="宋体" w:hAnsi="宋体"/>
                <w:color w:val="auto"/>
                <w:szCs w:val="21"/>
              </w:rPr>
              <w:t>工种</w:t>
            </w:r>
          </w:p>
        </w:tc>
        <w:tc>
          <w:tcPr>
            <w:tcW w:w="7796" w:type="dxa"/>
            <w:gridSpan w:val="7"/>
            <w:vAlign w:val="center"/>
          </w:tcPr>
          <w:p w14:paraId="43FE66C3">
            <w:pPr>
              <w:jc w:val="center"/>
              <w:rPr>
                <w:rFonts w:ascii="宋体" w:hAnsi="宋体"/>
                <w:color w:val="auto"/>
                <w:szCs w:val="21"/>
              </w:rPr>
            </w:pPr>
            <w:r>
              <w:rPr>
                <w:rFonts w:hint="eastAsia" w:ascii="宋体" w:hAnsi="宋体"/>
                <w:color w:val="auto"/>
                <w:szCs w:val="21"/>
              </w:rPr>
              <w:t>按工程施工阶段投入劳动力情况</w:t>
            </w:r>
          </w:p>
        </w:tc>
      </w:tr>
      <w:tr w14:paraId="26F6C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2F8F1E15">
            <w:pPr>
              <w:jc w:val="center"/>
              <w:rPr>
                <w:rFonts w:ascii="宋体" w:hAnsi="宋体"/>
                <w:color w:val="auto"/>
                <w:szCs w:val="21"/>
              </w:rPr>
            </w:pPr>
          </w:p>
        </w:tc>
        <w:tc>
          <w:tcPr>
            <w:tcW w:w="1418" w:type="dxa"/>
            <w:vAlign w:val="center"/>
          </w:tcPr>
          <w:p w14:paraId="7F1770A9">
            <w:pPr>
              <w:jc w:val="center"/>
              <w:rPr>
                <w:rFonts w:ascii="宋体" w:hAnsi="宋体"/>
                <w:color w:val="auto"/>
                <w:szCs w:val="21"/>
              </w:rPr>
            </w:pPr>
          </w:p>
        </w:tc>
        <w:tc>
          <w:tcPr>
            <w:tcW w:w="1063" w:type="dxa"/>
            <w:vAlign w:val="center"/>
          </w:tcPr>
          <w:p w14:paraId="49A81950">
            <w:pPr>
              <w:jc w:val="center"/>
              <w:rPr>
                <w:rFonts w:ascii="宋体" w:hAnsi="宋体"/>
                <w:color w:val="auto"/>
                <w:szCs w:val="21"/>
              </w:rPr>
            </w:pPr>
          </w:p>
        </w:tc>
        <w:tc>
          <w:tcPr>
            <w:tcW w:w="1063" w:type="dxa"/>
            <w:vAlign w:val="center"/>
          </w:tcPr>
          <w:p w14:paraId="7861C6FB">
            <w:pPr>
              <w:jc w:val="center"/>
              <w:rPr>
                <w:rFonts w:ascii="宋体" w:hAnsi="宋体"/>
                <w:color w:val="auto"/>
                <w:szCs w:val="21"/>
              </w:rPr>
            </w:pPr>
          </w:p>
        </w:tc>
        <w:tc>
          <w:tcPr>
            <w:tcW w:w="1063" w:type="dxa"/>
            <w:vAlign w:val="center"/>
          </w:tcPr>
          <w:p w14:paraId="734540F5">
            <w:pPr>
              <w:jc w:val="center"/>
              <w:rPr>
                <w:rFonts w:ascii="宋体" w:hAnsi="宋体"/>
                <w:color w:val="auto"/>
                <w:szCs w:val="21"/>
              </w:rPr>
            </w:pPr>
          </w:p>
        </w:tc>
        <w:tc>
          <w:tcPr>
            <w:tcW w:w="1063" w:type="dxa"/>
            <w:vAlign w:val="center"/>
          </w:tcPr>
          <w:p w14:paraId="62144ADE">
            <w:pPr>
              <w:jc w:val="center"/>
              <w:rPr>
                <w:rFonts w:ascii="宋体" w:hAnsi="宋体"/>
                <w:color w:val="auto"/>
                <w:szCs w:val="21"/>
              </w:rPr>
            </w:pPr>
          </w:p>
        </w:tc>
        <w:tc>
          <w:tcPr>
            <w:tcW w:w="1063" w:type="dxa"/>
            <w:vAlign w:val="center"/>
          </w:tcPr>
          <w:p w14:paraId="10DA8E46">
            <w:pPr>
              <w:jc w:val="center"/>
              <w:rPr>
                <w:rFonts w:ascii="宋体" w:hAnsi="宋体"/>
                <w:color w:val="auto"/>
                <w:szCs w:val="21"/>
              </w:rPr>
            </w:pPr>
          </w:p>
        </w:tc>
        <w:tc>
          <w:tcPr>
            <w:tcW w:w="1063" w:type="dxa"/>
            <w:vAlign w:val="center"/>
          </w:tcPr>
          <w:p w14:paraId="6272DD6F">
            <w:pPr>
              <w:jc w:val="center"/>
              <w:rPr>
                <w:rFonts w:ascii="宋体" w:hAnsi="宋体"/>
                <w:color w:val="auto"/>
                <w:szCs w:val="21"/>
              </w:rPr>
            </w:pPr>
          </w:p>
        </w:tc>
      </w:tr>
      <w:tr w14:paraId="6C8C4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039A040B">
            <w:pPr>
              <w:jc w:val="center"/>
              <w:rPr>
                <w:rFonts w:ascii="宋体" w:hAnsi="宋体"/>
                <w:color w:val="auto"/>
                <w:szCs w:val="21"/>
              </w:rPr>
            </w:pPr>
          </w:p>
        </w:tc>
        <w:tc>
          <w:tcPr>
            <w:tcW w:w="1418" w:type="dxa"/>
            <w:vAlign w:val="center"/>
          </w:tcPr>
          <w:p w14:paraId="6A8EFCFE">
            <w:pPr>
              <w:jc w:val="center"/>
              <w:rPr>
                <w:rFonts w:ascii="宋体" w:hAnsi="宋体"/>
                <w:color w:val="auto"/>
                <w:szCs w:val="21"/>
              </w:rPr>
            </w:pPr>
          </w:p>
        </w:tc>
        <w:tc>
          <w:tcPr>
            <w:tcW w:w="1063" w:type="dxa"/>
            <w:vAlign w:val="center"/>
          </w:tcPr>
          <w:p w14:paraId="746E58C4">
            <w:pPr>
              <w:jc w:val="center"/>
              <w:rPr>
                <w:rFonts w:ascii="宋体" w:hAnsi="宋体"/>
                <w:color w:val="auto"/>
                <w:szCs w:val="21"/>
              </w:rPr>
            </w:pPr>
          </w:p>
        </w:tc>
        <w:tc>
          <w:tcPr>
            <w:tcW w:w="1063" w:type="dxa"/>
            <w:vAlign w:val="center"/>
          </w:tcPr>
          <w:p w14:paraId="36D307C0">
            <w:pPr>
              <w:jc w:val="center"/>
              <w:rPr>
                <w:rFonts w:ascii="宋体" w:hAnsi="宋体"/>
                <w:color w:val="auto"/>
                <w:szCs w:val="21"/>
              </w:rPr>
            </w:pPr>
          </w:p>
        </w:tc>
        <w:tc>
          <w:tcPr>
            <w:tcW w:w="1063" w:type="dxa"/>
            <w:vAlign w:val="center"/>
          </w:tcPr>
          <w:p w14:paraId="7507E3DD">
            <w:pPr>
              <w:jc w:val="center"/>
              <w:rPr>
                <w:rFonts w:ascii="宋体" w:hAnsi="宋体"/>
                <w:color w:val="auto"/>
                <w:szCs w:val="21"/>
              </w:rPr>
            </w:pPr>
          </w:p>
        </w:tc>
        <w:tc>
          <w:tcPr>
            <w:tcW w:w="1063" w:type="dxa"/>
            <w:vAlign w:val="center"/>
          </w:tcPr>
          <w:p w14:paraId="761B1FFD">
            <w:pPr>
              <w:jc w:val="center"/>
              <w:rPr>
                <w:rFonts w:ascii="宋体" w:hAnsi="宋体"/>
                <w:color w:val="auto"/>
                <w:szCs w:val="21"/>
              </w:rPr>
            </w:pPr>
          </w:p>
        </w:tc>
        <w:tc>
          <w:tcPr>
            <w:tcW w:w="1063" w:type="dxa"/>
            <w:vAlign w:val="center"/>
          </w:tcPr>
          <w:p w14:paraId="74EE3188">
            <w:pPr>
              <w:jc w:val="center"/>
              <w:rPr>
                <w:rFonts w:ascii="宋体" w:hAnsi="宋体"/>
                <w:color w:val="auto"/>
                <w:szCs w:val="21"/>
              </w:rPr>
            </w:pPr>
          </w:p>
        </w:tc>
        <w:tc>
          <w:tcPr>
            <w:tcW w:w="1063" w:type="dxa"/>
            <w:vAlign w:val="center"/>
          </w:tcPr>
          <w:p w14:paraId="7E62E1BB">
            <w:pPr>
              <w:jc w:val="center"/>
              <w:rPr>
                <w:rFonts w:ascii="宋体" w:hAnsi="宋体"/>
                <w:color w:val="auto"/>
                <w:szCs w:val="21"/>
              </w:rPr>
            </w:pPr>
          </w:p>
        </w:tc>
      </w:tr>
      <w:tr w14:paraId="44C52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0DEC92BF">
            <w:pPr>
              <w:jc w:val="center"/>
              <w:rPr>
                <w:rFonts w:ascii="宋体" w:hAnsi="宋体"/>
                <w:color w:val="auto"/>
                <w:szCs w:val="21"/>
              </w:rPr>
            </w:pPr>
          </w:p>
        </w:tc>
        <w:tc>
          <w:tcPr>
            <w:tcW w:w="1418" w:type="dxa"/>
            <w:vAlign w:val="center"/>
          </w:tcPr>
          <w:p w14:paraId="1A2BCF4C">
            <w:pPr>
              <w:jc w:val="center"/>
              <w:rPr>
                <w:rFonts w:ascii="宋体" w:hAnsi="宋体"/>
                <w:color w:val="auto"/>
                <w:szCs w:val="21"/>
              </w:rPr>
            </w:pPr>
          </w:p>
        </w:tc>
        <w:tc>
          <w:tcPr>
            <w:tcW w:w="1063" w:type="dxa"/>
            <w:vAlign w:val="center"/>
          </w:tcPr>
          <w:p w14:paraId="2F81522E">
            <w:pPr>
              <w:jc w:val="center"/>
              <w:rPr>
                <w:rFonts w:ascii="宋体" w:hAnsi="宋体"/>
                <w:color w:val="auto"/>
                <w:szCs w:val="21"/>
              </w:rPr>
            </w:pPr>
          </w:p>
        </w:tc>
        <w:tc>
          <w:tcPr>
            <w:tcW w:w="1063" w:type="dxa"/>
            <w:vAlign w:val="center"/>
          </w:tcPr>
          <w:p w14:paraId="6167CB1C">
            <w:pPr>
              <w:jc w:val="center"/>
              <w:rPr>
                <w:rFonts w:ascii="宋体" w:hAnsi="宋体"/>
                <w:color w:val="auto"/>
                <w:szCs w:val="21"/>
              </w:rPr>
            </w:pPr>
          </w:p>
        </w:tc>
        <w:tc>
          <w:tcPr>
            <w:tcW w:w="1063" w:type="dxa"/>
            <w:vAlign w:val="center"/>
          </w:tcPr>
          <w:p w14:paraId="66278C3A">
            <w:pPr>
              <w:jc w:val="center"/>
              <w:rPr>
                <w:rFonts w:ascii="宋体" w:hAnsi="宋体"/>
                <w:color w:val="auto"/>
                <w:szCs w:val="21"/>
              </w:rPr>
            </w:pPr>
          </w:p>
        </w:tc>
        <w:tc>
          <w:tcPr>
            <w:tcW w:w="1063" w:type="dxa"/>
            <w:vAlign w:val="center"/>
          </w:tcPr>
          <w:p w14:paraId="31FDC75D">
            <w:pPr>
              <w:jc w:val="center"/>
              <w:rPr>
                <w:rFonts w:ascii="宋体" w:hAnsi="宋体"/>
                <w:color w:val="auto"/>
                <w:szCs w:val="21"/>
              </w:rPr>
            </w:pPr>
          </w:p>
        </w:tc>
        <w:tc>
          <w:tcPr>
            <w:tcW w:w="1063" w:type="dxa"/>
            <w:vAlign w:val="center"/>
          </w:tcPr>
          <w:p w14:paraId="1E9F7561">
            <w:pPr>
              <w:jc w:val="center"/>
              <w:rPr>
                <w:rFonts w:ascii="宋体" w:hAnsi="宋体"/>
                <w:color w:val="auto"/>
                <w:szCs w:val="21"/>
              </w:rPr>
            </w:pPr>
          </w:p>
        </w:tc>
        <w:tc>
          <w:tcPr>
            <w:tcW w:w="1063" w:type="dxa"/>
            <w:vAlign w:val="center"/>
          </w:tcPr>
          <w:p w14:paraId="063CB7F3">
            <w:pPr>
              <w:jc w:val="center"/>
              <w:rPr>
                <w:rFonts w:ascii="宋体" w:hAnsi="宋体"/>
                <w:color w:val="auto"/>
                <w:szCs w:val="21"/>
              </w:rPr>
            </w:pPr>
          </w:p>
        </w:tc>
      </w:tr>
      <w:tr w14:paraId="27B1E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2F62AA1D">
            <w:pPr>
              <w:jc w:val="center"/>
              <w:rPr>
                <w:rFonts w:ascii="宋体" w:hAnsi="宋体"/>
                <w:color w:val="auto"/>
                <w:szCs w:val="21"/>
              </w:rPr>
            </w:pPr>
          </w:p>
        </w:tc>
        <w:tc>
          <w:tcPr>
            <w:tcW w:w="1418" w:type="dxa"/>
            <w:vAlign w:val="center"/>
          </w:tcPr>
          <w:p w14:paraId="3A3475F8">
            <w:pPr>
              <w:jc w:val="center"/>
              <w:rPr>
                <w:rFonts w:ascii="宋体" w:hAnsi="宋体"/>
                <w:color w:val="auto"/>
                <w:szCs w:val="21"/>
              </w:rPr>
            </w:pPr>
          </w:p>
        </w:tc>
        <w:tc>
          <w:tcPr>
            <w:tcW w:w="1063" w:type="dxa"/>
            <w:vAlign w:val="center"/>
          </w:tcPr>
          <w:p w14:paraId="04EE8FF4">
            <w:pPr>
              <w:jc w:val="center"/>
              <w:rPr>
                <w:rFonts w:ascii="宋体" w:hAnsi="宋体"/>
                <w:color w:val="auto"/>
                <w:szCs w:val="21"/>
              </w:rPr>
            </w:pPr>
          </w:p>
        </w:tc>
        <w:tc>
          <w:tcPr>
            <w:tcW w:w="1063" w:type="dxa"/>
            <w:vAlign w:val="center"/>
          </w:tcPr>
          <w:p w14:paraId="2DBA4A4A">
            <w:pPr>
              <w:jc w:val="center"/>
              <w:rPr>
                <w:rFonts w:ascii="宋体" w:hAnsi="宋体"/>
                <w:color w:val="auto"/>
                <w:szCs w:val="21"/>
              </w:rPr>
            </w:pPr>
          </w:p>
        </w:tc>
        <w:tc>
          <w:tcPr>
            <w:tcW w:w="1063" w:type="dxa"/>
            <w:vAlign w:val="center"/>
          </w:tcPr>
          <w:p w14:paraId="36E6D253">
            <w:pPr>
              <w:jc w:val="center"/>
              <w:rPr>
                <w:rFonts w:ascii="宋体" w:hAnsi="宋体"/>
                <w:color w:val="auto"/>
                <w:szCs w:val="21"/>
              </w:rPr>
            </w:pPr>
          </w:p>
        </w:tc>
        <w:tc>
          <w:tcPr>
            <w:tcW w:w="1063" w:type="dxa"/>
            <w:vAlign w:val="center"/>
          </w:tcPr>
          <w:p w14:paraId="42FCBEF5">
            <w:pPr>
              <w:jc w:val="center"/>
              <w:rPr>
                <w:rFonts w:ascii="宋体" w:hAnsi="宋体"/>
                <w:color w:val="auto"/>
                <w:szCs w:val="21"/>
              </w:rPr>
            </w:pPr>
          </w:p>
        </w:tc>
        <w:tc>
          <w:tcPr>
            <w:tcW w:w="1063" w:type="dxa"/>
            <w:vAlign w:val="center"/>
          </w:tcPr>
          <w:p w14:paraId="15478693">
            <w:pPr>
              <w:jc w:val="center"/>
              <w:rPr>
                <w:rFonts w:ascii="宋体" w:hAnsi="宋体"/>
                <w:color w:val="auto"/>
                <w:szCs w:val="21"/>
              </w:rPr>
            </w:pPr>
          </w:p>
        </w:tc>
        <w:tc>
          <w:tcPr>
            <w:tcW w:w="1063" w:type="dxa"/>
            <w:vAlign w:val="center"/>
          </w:tcPr>
          <w:p w14:paraId="448C840B">
            <w:pPr>
              <w:jc w:val="center"/>
              <w:rPr>
                <w:rFonts w:ascii="宋体" w:hAnsi="宋体"/>
                <w:color w:val="auto"/>
                <w:szCs w:val="21"/>
              </w:rPr>
            </w:pPr>
          </w:p>
        </w:tc>
      </w:tr>
      <w:tr w14:paraId="336E9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2DF156FE">
            <w:pPr>
              <w:jc w:val="center"/>
              <w:rPr>
                <w:rFonts w:ascii="宋体" w:hAnsi="宋体"/>
                <w:color w:val="auto"/>
                <w:szCs w:val="21"/>
              </w:rPr>
            </w:pPr>
          </w:p>
        </w:tc>
        <w:tc>
          <w:tcPr>
            <w:tcW w:w="1418" w:type="dxa"/>
            <w:vAlign w:val="center"/>
          </w:tcPr>
          <w:p w14:paraId="215AF1D9">
            <w:pPr>
              <w:jc w:val="center"/>
              <w:rPr>
                <w:rFonts w:ascii="宋体" w:hAnsi="宋体"/>
                <w:color w:val="auto"/>
                <w:szCs w:val="21"/>
              </w:rPr>
            </w:pPr>
          </w:p>
        </w:tc>
        <w:tc>
          <w:tcPr>
            <w:tcW w:w="1063" w:type="dxa"/>
            <w:vAlign w:val="center"/>
          </w:tcPr>
          <w:p w14:paraId="1A1ACEF7">
            <w:pPr>
              <w:jc w:val="center"/>
              <w:rPr>
                <w:rFonts w:ascii="宋体" w:hAnsi="宋体"/>
                <w:color w:val="auto"/>
                <w:szCs w:val="21"/>
              </w:rPr>
            </w:pPr>
          </w:p>
        </w:tc>
        <w:tc>
          <w:tcPr>
            <w:tcW w:w="1063" w:type="dxa"/>
            <w:vAlign w:val="center"/>
          </w:tcPr>
          <w:p w14:paraId="2F126E42">
            <w:pPr>
              <w:jc w:val="center"/>
              <w:rPr>
                <w:rFonts w:ascii="宋体" w:hAnsi="宋体"/>
                <w:color w:val="auto"/>
                <w:szCs w:val="21"/>
              </w:rPr>
            </w:pPr>
          </w:p>
        </w:tc>
        <w:tc>
          <w:tcPr>
            <w:tcW w:w="1063" w:type="dxa"/>
            <w:vAlign w:val="center"/>
          </w:tcPr>
          <w:p w14:paraId="21E0ACF3">
            <w:pPr>
              <w:jc w:val="center"/>
              <w:rPr>
                <w:rFonts w:ascii="宋体" w:hAnsi="宋体"/>
                <w:color w:val="auto"/>
                <w:szCs w:val="21"/>
              </w:rPr>
            </w:pPr>
          </w:p>
        </w:tc>
        <w:tc>
          <w:tcPr>
            <w:tcW w:w="1063" w:type="dxa"/>
            <w:vAlign w:val="center"/>
          </w:tcPr>
          <w:p w14:paraId="31A53542">
            <w:pPr>
              <w:jc w:val="center"/>
              <w:rPr>
                <w:rFonts w:ascii="宋体" w:hAnsi="宋体"/>
                <w:color w:val="auto"/>
                <w:szCs w:val="21"/>
              </w:rPr>
            </w:pPr>
          </w:p>
        </w:tc>
        <w:tc>
          <w:tcPr>
            <w:tcW w:w="1063" w:type="dxa"/>
            <w:vAlign w:val="center"/>
          </w:tcPr>
          <w:p w14:paraId="05F202E6">
            <w:pPr>
              <w:jc w:val="center"/>
              <w:rPr>
                <w:rFonts w:ascii="宋体" w:hAnsi="宋体"/>
                <w:color w:val="auto"/>
                <w:szCs w:val="21"/>
              </w:rPr>
            </w:pPr>
          </w:p>
        </w:tc>
        <w:tc>
          <w:tcPr>
            <w:tcW w:w="1063" w:type="dxa"/>
            <w:vAlign w:val="center"/>
          </w:tcPr>
          <w:p w14:paraId="4AE8C010">
            <w:pPr>
              <w:jc w:val="center"/>
              <w:rPr>
                <w:rFonts w:ascii="宋体" w:hAnsi="宋体"/>
                <w:color w:val="auto"/>
                <w:szCs w:val="21"/>
              </w:rPr>
            </w:pPr>
          </w:p>
        </w:tc>
      </w:tr>
      <w:tr w14:paraId="556D6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24DBBF63">
            <w:pPr>
              <w:jc w:val="center"/>
              <w:rPr>
                <w:rFonts w:ascii="宋体" w:hAnsi="宋体"/>
                <w:color w:val="auto"/>
                <w:szCs w:val="21"/>
              </w:rPr>
            </w:pPr>
          </w:p>
        </w:tc>
        <w:tc>
          <w:tcPr>
            <w:tcW w:w="1418" w:type="dxa"/>
            <w:vAlign w:val="center"/>
          </w:tcPr>
          <w:p w14:paraId="409D7DFF">
            <w:pPr>
              <w:jc w:val="center"/>
              <w:rPr>
                <w:rFonts w:ascii="宋体" w:hAnsi="宋体"/>
                <w:color w:val="auto"/>
                <w:szCs w:val="21"/>
              </w:rPr>
            </w:pPr>
          </w:p>
        </w:tc>
        <w:tc>
          <w:tcPr>
            <w:tcW w:w="1063" w:type="dxa"/>
            <w:vAlign w:val="center"/>
          </w:tcPr>
          <w:p w14:paraId="531497A4">
            <w:pPr>
              <w:jc w:val="center"/>
              <w:rPr>
                <w:rFonts w:ascii="宋体" w:hAnsi="宋体"/>
                <w:color w:val="auto"/>
                <w:szCs w:val="21"/>
              </w:rPr>
            </w:pPr>
          </w:p>
        </w:tc>
        <w:tc>
          <w:tcPr>
            <w:tcW w:w="1063" w:type="dxa"/>
            <w:vAlign w:val="center"/>
          </w:tcPr>
          <w:p w14:paraId="0E5CA381">
            <w:pPr>
              <w:jc w:val="center"/>
              <w:rPr>
                <w:rFonts w:ascii="宋体" w:hAnsi="宋体"/>
                <w:color w:val="auto"/>
                <w:szCs w:val="21"/>
              </w:rPr>
            </w:pPr>
          </w:p>
        </w:tc>
        <w:tc>
          <w:tcPr>
            <w:tcW w:w="1063" w:type="dxa"/>
            <w:vAlign w:val="center"/>
          </w:tcPr>
          <w:p w14:paraId="5300BE49">
            <w:pPr>
              <w:jc w:val="center"/>
              <w:rPr>
                <w:rFonts w:ascii="宋体" w:hAnsi="宋体"/>
                <w:color w:val="auto"/>
                <w:szCs w:val="21"/>
              </w:rPr>
            </w:pPr>
          </w:p>
        </w:tc>
        <w:tc>
          <w:tcPr>
            <w:tcW w:w="1063" w:type="dxa"/>
            <w:vAlign w:val="center"/>
          </w:tcPr>
          <w:p w14:paraId="21394C55">
            <w:pPr>
              <w:jc w:val="center"/>
              <w:rPr>
                <w:rFonts w:ascii="宋体" w:hAnsi="宋体"/>
                <w:color w:val="auto"/>
                <w:szCs w:val="21"/>
              </w:rPr>
            </w:pPr>
          </w:p>
        </w:tc>
        <w:tc>
          <w:tcPr>
            <w:tcW w:w="1063" w:type="dxa"/>
            <w:vAlign w:val="center"/>
          </w:tcPr>
          <w:p w14:paraId="0814F47F">
            <w:pPr>
              <w:jc w:val="center"/>
              <w:rPr>
                <w:rFonts w:ascii="宋体" w:hAnsi="宋体"/>
                <w:color w:val="auto"/>
                <w:szCs w:val="21"/>
              </w:rPr>
            </w:pPr>
          </w:p>
        </w:tc>
        <w:tc>
          <w:tcPr>
            <w:tcW w:w="1063" w:type="dxa"/>
            <w:vAlign w:val="center"/>
          </w:tcPr>
          <w:p w14:paraId="5FF2A206">
            <w:pPr>
              <w:jc w:val="center"/>
              <w:rPr>
                <w:rFonts w:ascii="宋体" w:hAnsi="宋体"/>
                <w:color w:val="auto"/>
                <w:szCs w:val="21"/>
              </w:rPr>
            </w:pPr>
          </w:p>
        </w:tc>
      </w:tr>
      <w:tr w14:paraId="59673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7047CA02">
            <w:pPr>
              <w:jc w:val="center"/>
              <w:rPr>
                <w:rFonts w:ascii="宋体" w:hAnsi="宋体"/>
                <w:color w:val="auto"/>
                <w:szCs w:val="21"/>
              </w:rPr>
            </w:pPr>
          </w:p>
        </w:tc>
        <w:tc>
          <w:tcPr>
            <w:tcW w:w="1418" w:type="dxa"/>
            <w:vAlign w:val="center"/>
          </w:tcPr>
          <w:p w14:paraId="40173DBE">
            <w:pPr>
              <w:jc w:val="center"/>
              <w:rPr>
                <w:rFonts w:ascii="宋体" w:hAnsi="宋体"/>
                <w:color w:val="auto"/>
                <w:szCs w:val="21"/>
              </w:rPr>
            </w:pPr>
          </w:p>
        </w:tc>
        <w:tc>
          <w:tcPr>
            <w:tcW w:w="1063" w:type="dxa"/>
            <w:vAlign w:val="center"/>
          </w:tcPr>
          <w:p w14:paraId="6CE82A78">
            <w:pPr>
              <w:jc w:val="center"/>
              <w:rPr>
                <w:rFonts w:ascii="宋体" w:hAnsi="宋体"/>
                <w:color w:val="auto"/>
                <w:szCs w:val="21"/>
              </w:rPr>
            </w:pPr>
          </w:p>
        </w:tc>
        <w:tc>
          <w:tcPr>
            <w:tcW w:w="1063" w:type="dxa"/>
            <w:vAlign w:val="center"/>
          </w:tcPr>
          <w:p w14:paraId="449E0989">
            <w:pPr>
              <w:jc w:val="center"/>
              <w:rPr>
                <w:rFonts w:ascii="宋体" w:hAnsi="宋体"/>
                <w:color w:val="auto"/>
                <w:szCs w:val="21"/>
              </w:rPr>
            </w:pPr>
          </w:p>
        </w:tc>
        <w:tc>
          <w:tcPr>
            <w:tcW w:w="1063" w:type="dxa"/>
            <w:vAlign w:val="center"/>
          </w:tcPr>
          <w:p w14:paraId="474C9A59">
            <w:pPr>
              <w:jc w:val="center"/>
              <w:rPr>
                <w:rFonts w:ascii="宋体" w:hAnsi="宋体"/>
                <w:color w:val="auto"/>
                <w:szCs w:val="21"/>
              </w:rPr>
            </w:pPr>
          </w:p>
        </w:tc>
        <w:tc>
          <w:tcPr>
            <w:tcW w:w="1063" w:type="dxa"/>
            <w:vAlign w:val="center"/>
          </w:tcPr>
          <w:p w14:paraId="4E481F0D">
            <w:pPr>
              <w:jc w:val="center"/>
              <w:rPr>
                <w:rFonts w:ascii="宋体" w:hAnsi="宋体"/>
                <w:color w:val="auto"/>
                <w:szCs w:val="21"/>
              </w:rPr>
            </w:pPr>
          </w:p>
        </w:tc>
        <w:tc>
          <w:tcPr>
            <w:tcW w:w="1063" w:type="dxa"/>
            <w:vAlign w:val="center"/>
          </w:tcPr>
          <w:p w14:paraId="6C2935E9">
            <w:pPr>
              <w:jc w:val="center"/>
              <w:rPr>
                <w:rFonts w:ascii="宋体" w:hAnsi="宋体"/>
                <w:color w:val="auto"/>
                <w:szCs w:val="21"/>
              </w:rPr>
            </w:pPr>
          </w:p>
        </w:tc>
        <w:tc>
          <w:tcPr>
            <w:tcW w:w="1063" w:type="dxa"/>
            <w:vAlign w:val="center"/>
          </w:tcPr>
          <w:p w14:paraId="7F915EB0">
            <w:pPr>
              <w:jc w:val="center"/>
              <w:rPr>
                <w:rFonts w:ascii="宋体" w:hAnsi="宋体"/>
                <w:color w:val="auto"/>
                <w:szCs w:val="21"/>
              </w:rPr>
            </w:pPr>
          </w:p>
        </w:tc>
      </w:tr>
      <w:tr w14:paraId="3D99B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A951663">
            <w:pPr>
              <w:jc w:val="center"/>
              <w:rPr>
                <w:rFonts w:ascii="宋体" w:hAnsi="宋体"/>
                <w:color w:val="auto"/>
                <w:szCs w:val="21"/>
              </w:rPr>
            </w:pPr>
          </w:p>
        </w:tc>
        <w:tc>
          <w:tcPr>
            <w:tcW w:w="1418" w:type="dxa"/>
            <w:vAlign w:val="center"/>
          </w:tcPr>
          <w:p w14:paraId="63558FDF">
            <w:pPr>
              <w:jc w:val="center"/>
              <w:rPr>
                <w:rFonts w:ascii="宋体" w:hAnsi="宋体"/>
                <w:color w:val="auto"/>
                <w:szCs w:val="21"/>
              </w:rPr>
            </w:pPr>
          </w:p>
        </w:tc>
        <w:tc>
          <w:tcPr>
            <w:tcW w:w="1063" w:type="dxa"/>
            <w:vAlign w:val="center"/>
          </w:tcPr>
          <w:p w14:paraId="5B93C80D">
            <w:pPr>
              <w:jc w:val="center"/>
              <w:rPr>
                <w:rFonts w:ascii="宋体" w:hAnsi="宋体"/>
                <w:color w:val="auto"/>
                <w:szCs w:val="21"/>
              </w:rPr>
            </w:pPr>
          </w:p>
        </w:tc>
        <w:tc>
          <w:tcPr>
            <w:tcW w:w="1063" w:type="dxa"/>
            <w:vAlign w:val="center"/>
          </w:tcPr>
          <w:p w14:paraId="3FACF600">
            <w:pPr>
              <w:jc w:val="center"/>
              <w:rPr>
                <w:rFonts w:ascii="宋体" w:hAnsi="宋体"/>
                <w:color w:val="auto"/>
                <w:szCs w:val="21"/>
              </w:rPr>
            </w:pPr>
          </w:p>
        </w:tc>
        <w:tc>
          <w:tcPr>
            <w:tcW w:w="1063" w:type="dxa"/>
            <w:vAlign w:val="center"/>
          </w:tcPr>
          <w:p w14:paraId="245758F6">
            <w:pPr>
              <w:jc w:val="center"/>
              <w:rPr>
                <w:rFonts w:ascii="宋体" w:hAnsi="宋体"/>
                <w:color w:val="auto"/>
                <w:szCs w:val="21"/>
              </w:rPr>
            </w:pPr>
          </w:p>
        </w:tc>
        <w:tc>
          <w:tcPr>
            <w:tcW w:w="1063" w:type="dxa"/>
            <w:vAlign w:val="center"/>
          </w:tcPr>
          <w:p w14:paraId="15215F99">
            <w:pPr>
              <w:jc w:val="center"/>
              <w:rPr>
                <w:rFonts w:ascii="宋体" w:hAnsi="宋体"/>
                <w:color w:val="auto"/>
                <w:szCs w:val="21"/>
              </w:rPr>
            </w:pPr>
          </w:p>
        </w:tc>
        <w:tc>
          <w:tcPr>
            <w:tcW w:w="1063" w:type="dxa"/>
            <w:vAlign w:val="center"/>
          </w:tcPr>
          <w:p w14:paraId="52D2A1E6">
            <w:pPr>
              <w:jc w:val="center"/>
              <w:rPr>
                <w:rFonts w:ascii="宋体" w:hAnsi="宋体"/>
                <w:color w:val="auto"/>
                <w:szCs w:val="21"/>
              </w:rPr>
            </w:pPr>
          </w:p>
        </w:tc>
        <w:tc>
          <w:tcPr>
            <w:tcW w:w="1063" w:type="dxa"/>
            <w:vAlign w:val="center"/>
          </w:tcPr>
          <w:p w14:paraId="5D7ADAA5">
            <w:pPr>
              <w:jc w:val="center"/>
              <w:rPr>
                <w:rFonts w:ascii="宋体" w:hAnsi="宋体"/>
                <w:color w:val="auto"/>
                <w:szCs w:val="21"/>
              </w:rPr>
            </w:pPr>
          </w:p>
        </w:tc>
      </w:tr>
      <w:tr w14:paraId="7F2EA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5F777711">
            <w:pPr>
              <w:jc w:val="center"/>
              <w:rPr>
                <w:rFonts w:ascii="宋体" w:hAnsi="宋体"/>
                <w:color w:val="auto"/>
                <w:szCs w:val="21"/>
              </w:rPr>
            </w:pPr>
          </w:p>
        </w:tc>
        <w:tc>
          <w:tcPr>
            <w:tcW w:w="1418" w:type="dxa"/>
            <w:vAlign w:val="center"/>
          </w:tcPr>
          <w:p w14:paraId="6679E459">
            <w:pPr>
              <w:jc w:val="center"/>
              <w:rPr>
                <w:rFonts w:ascii="宋体" w:hAnsi="宋体"/>
                <w:color w:val="auto"/>
                <w:szCs w:val="21"/>
              </w:rPr>
            </w:pPr>
          </w:p>
        </w:tc>
        <w:tc>
          <w:tcPr>
            <w:tcW w:w="1063" w:type="dxa"/>
            <w:vAlign w:val="center"/>
          </w:tcPr>
          <w:p w14:paraId="0F8D29E3">
            <w:pPr>
              <w:jc w:val="center"/>
              <w:rPr>
                <w:rFonts w:ascii="宋体" w:hAnsi="宋体"/>
                <w:color w:val="auto"/>
                <w:szCs w:val="21"/>
              </w:rPr>
            </w:pPr>
          </w:p>
        </w:tc>
        <w:tc>
          <w:tcPr>
            <w:tcW w:w="1063" w:type="dxa"/>
            <w:vAlign w:val="center"/>
          </w:tcPr>
          <w:p w14:paraId="4A3BE944">
            <w:pPr>
              <w:jc w:val="center"/>
              <w:rPr>
                <w:rFonts w:ascii="宋体" w:hAnsi="宋体"/>
                <w:color w:val="auto"/>
                <w:szCs w:val="21"/>
              </w:rPr>
            </w:pPr>
          </w:p>
        </w:tc>
        <w:tc>
          <w:tcPr>
            <w:tcW w:w="1063" w:type="dxa"/>
            <w:vAlign w:val="center"/>
          </w:tcPr>
          <w:p w14:paraId="64DA20B5">
            <w:pPr>
              <w:jc w:val="center"/>
              <w:rPr>
                <w:rFonts w:ascii="宋体" w:hAnsi="宋体"/>
                <w:color w:val="auto"/>
                <w:szCs w:val="21"/>
              </w:rPr>
            </w:pPr>
          </w:p>
        </w:tc>
        <w:tc>
          <w:tcPr>
            <w:tcW w:w="1063" w:type="dxa"/>
            <w:vAlign w:val="center"/>
          </w:tcPr>
          <w:p w14:paraId="52343449">
            <w:pPr>
              <w:jc w:val="center"/>
              <w:rPr>
                <w:rFonts w:ascii="宋体" w:hAnsi="宋体"/>
                <w:color w:val="auto"/>
                <w:szCs w:val="21"/>
              </w:rPr>
            </w:pPr>
          </w:p>
        </w:tc>
        <w:tc>
          <w:tcPr>
            <w:tcW w:w="1063" w:type="dxa"/>
            <w:vAlign w:val="center"/>
          </w:tcPr>
          <w:p w14:paraId="74412D36">
            <w:pPr>
              <w:jc w:val="center"/>
              <w:rPr>
                <w:rFonts w:ascii="宋体" w:hAnsi="宋体"/>
                <w:color w:val="auto"/>
                <w:szCs w:val="21"/>
              </w:rPr>
            </w:pPr>
          </w:p>
        </w:tc>
        <w:tc>
          <w:tcPr>
            <w:tcW w:w="1063" w:type="dxa"/>
            <w:vAlign w:val="center"/>
          </w:tcPr>
          <w:p w14:paraId="51B86894">
            <w:pPr>
              <w:jc w:val="center"/>
              <w:rPr>
                <w:rFonts w:ascii="宋体" w:hAnsi="宋体"/>
                <w:color w:val="auto"/>
                <w:szCs w:val="21"/>
              </w:rPr>
            </w:pPr>
          </w:p>
        </w:tc>
      </w:tr>
      <w:tr w14:paraId="5F19C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0F062DA1">
            <w:pPr>
              <w:jc w:val="center"/>
              <w:rPr>
                <w:rFonts w:ascii="宋体" w:hAnsi="宋体"/>
                <w:color w:val="auto"/>
                <w:szCs w:val="21"/>
              </w:rPr>
            </w:pPr>
          </w:p>
        </w:tc>
        <w:tc>
          <w:tcPr>
            <w:tcW w:w="1418" w:type="dxa"/>
            <w:vAlign w:val="center"/>
          </w:tcPr>
          <w:p w14:paraId="757F15F6">
            <w:pPr>
              <w:jc w:val="center"/>
              <w:rPr>
                <w:rFonts w:ascii="宋体" w:hAnsi="宋体"/>
                <w:color w:val="auto"/>
                <w:szCs w:val="21"/>
              </w:rPr>
            </w:pPr>
          </w:p>
        </w:tc>
        <w:tc>
          <w:tcPr>
            <w:tcW w:w="1063" w:type="dxa"/>
            <w:vAlign w:val="center"/>
          </w:tcPr>
          <w:p w14:paraId="390686D4">
            <w:pPr>
              <w:jc w:val="center"/>
              <w:rPr>
                <w:rFonts w:ascii="宋体" w:hAnsi="宋体"/>
                <w:color w:val="auto"/>
                <w:szCs w:val="21"/>
              </w:rPr>
            </w:pPr>
          </w:p>
        </w:tc>
        <w:tc>
          <w:tcPr>
            <w:tcW w:w="1063" w:type="dxa"/>
            <w:vAlign w:val="center"/>
          </w:tcPr>
          <w:p w14:paraId="6B000563">
            <w:pPr>
              <w:jc w:val="center"/>
              <w:rPr>
                <w:rFonts w:ascii="宋体" w:hAnsi="宋体"/>
                <w:color w:val="auto"/>
                <w:szCs w:val="21"/>
              </w:rPr>
            </w:pPr>
          </w:p>
        </w:tc>
        <w:tc>
          <w:tcPr>
            <w:tcW w:w="1063" w:type="dxa"/>
            <w:vAlign w:val="center"/>
          </w:tcPr>
          <w:p w14:paraId="33AD7B71">
            <w:pPr>
              <w:jc w:val="center"/>
              <w:rPr>
                <w:rFonts w:ascii="宋体" w:hAnsi="宋体"/>
                <w:color w:val="auto"/>
                <w:szCs w:val="21"/>
              </w:rPr>
            </w:pPr>
          </w:p>
        </w:tc>
        <w:tc>
          <w:tcPr>
            <w:tcW w:w="1063" w:type="dxa"/>
            <w:vAlign w:val="center"/>
          </w:tcPr>
          <w:p w14:paraId="60A4CFA9">
            <w:pPr>
              <w:jc w:val="center"/>
              <w:rPr>
                <w:rFonts w:ascii="宋体" w:hAnsi="宋体"/>
                <w:color w:val="auto"/>
                <w:szCs w:val="21"/>
              </w:rPr>
            </w:pPr>
          </w:p>
        </w:tc>
        <w:tc>
          <w:tcPr>
            <w:tcW w:w="1063" w:type="dxa"/>
            <w:vAlign w:val="center"/>
          </w:tcPr>
          <w:p w14:paraId="6067637D">
            <w:pPr>
              <w:jc w:val="center"/>
              <w:rPr>
                <w:rFonts w:ascii="宋体" w:hAnsi="宋体"/>
                <w:color w:val="auto"/>
                <w:szCs w:val="21"/>
              </w:rPr>
            </w:pPr>
          </w:p>
        </w:tc>
        <w:tc>
          <w:tcPr>
            <w:tcW w:w="1063" w:type="dxa"/>
            <w:vAlign w:val="center"/>
          </w:tcPr>
          <w:p w14:paraId="5CF13940">
            <w:pPr>
              <w:jc w:val="center"/>
              <w:rPr>
                <w:rFonts w:ascii="宋体" w:hAnsi="宋体"/>
                <w:color w:val="auto"/>
                <w:szCs w:val="21"/>
              </w:rPr>
            </w:pPr>
          </w:p>
        </w:tc>
      </w:tr>
      <w:tr w14:paraId="5870C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66DD99A">
            <w:pPr>
              <w:jc w:val="center"/>
              <w:rPr>
                <w:rFonts w:ascii="宋体" w:hAnsi="宋体"/>
                <w:color w:val="auto"/>
                <w:szCs w:val="21"/>
              </w:rPr>
            </w:pPr>
          </w:p>
        </w:tc>
        <w:tc>
          <w:tcPr>
            <w:tcW w:w="1418" w:type="dxa"/>
            <w:vAlign w:val="center"/>
          </w:tcPr>
          <w:p w14:paraId="01A86377">
            <w:pPr>
              <w:jc w:val="center"/>
              <w:rPr>
                <w:rFonts w:ascii="宋体" w:hAnsi="宋体"/>
                <w:color w:val="auto"/>
                <w:szCs w:val="21"/>
              </w:rPr>
            </w:pPr>
          </w:p>
        </w:tc>
        <w:tc>
          <w:tcPr>
            <w:tcW w:w="1063" w:type="dxa"/>
            <w:vAlign w:val="center"/>
          </w:tcPr>
          <w:p w14:paraId="412C7B6A">
            <w:pPr>
              <w:jc w:val="center"/>
              <w:rPr>
                <w:rFonts w:ascii="宋体" w:hAnsi="宋体"/>
                <w:color w:val="auto"/>
                <w:szCs w:val="21"/>
              </w:rPr>
            </w:pPr>
          </w:p>
        </w:tc>
        <w:tc>
          <w:tcPr>
            <w:tcW w:w="1063" w:type="dxa"/>
            <w:vAlign w:val="center"/>
          </w:tcPr>
          <w:p w14:paraId="32AD1C9B">
            <w:pPr>
              <w:jc w:val="center"/>
              <w:rPr>
                <w:rFonts w:ascii="宋体" w:hAnsi="宋体"/>
                <w:color w:val="auto"/>
                <w:szCs w:val="21"/>
              </w:rPr>
            </w:pPr>
          </w:p>
        </w:tc>
        <w:tc>
          <w:tcPr>
            <w:tcW w:w="1063" w:type="dxa"/>
            <w:vAlign w:val="center"/>
          </w:tcPr>
          <w:p w14:paraId="020C6F92">
            <w:pPr>
              <w:jc w:val="center"/>
              <w:rPr>
                <w:rFonts w:ascii="宋体" w:hAnsi="宋体"/>
                <w:color w:val="auto"/>
                <w:szCs w:val="21"/>
              </w:rPr>
            </w:pPr>
          </w:p>
        </w:tc>
        <w:tc>
          <w:tcPr>
            <w:tcW w:w="1063" w:type="dxa"/>
            <w:vAlign w:val="center"/>
          </w:tcPr>
          <w:p w14:paraId="78BD213F">
            <w:pPr>
              <w:jc w:val="center"/>
              <w:rPr>
                <w:rFonts w:ascii="宋体" w:hAnsi="宋体"/>
                <w:color w:val="auto"/>
                <w:szCs w:val="21"/>
              </w:rPr>
            </w:pPr>
          </w:p>
        </w:tc>
        <w:tc>
          <w:tcPr>
            <w:tcW w:w="1063" w:type="dxa"/>
            <w:vAlign w:val="center"/>
          </w:tcPr>
          <w:p w14:paraId="03284F5F">
            <w:pPr>
              <w:jc w:val="center"/>
              <w:rPr>
                <w:rFonts w:ascii="宋体" w:hAnsi="宋体"/>
                <w:color w:val="auto"/>
                <w:szCs w:val="21"/>
              </w:rPr>
            </w:pPr>
          </w:p>
        </w:tc>
        <w:tc>
          <w:tcPr>
            <w:tcW w:w="1063" w:type="dxa"/>
            <w:vAlign w:val="center"/>
          </w:tcPr>
          <w:p w14:paraId="66040BDC">
            <w:pPr>
              <w:jc w:val="center"/>
              <w:rPr>
                <w:rFonts w:ascii="宋体" w:hAnsi="宋体"/>
                <w:color w:val="auto"/>
                <w:szCs w:val="21"/>
              </w:rPr>
            </w:pPr>
          </w:p>
        </w:tc>
      </w:tr>
      <w:tr w14:paraId="76CE3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66EC95B">
            <w:pPr>
              <w:jc w:val="center"/>
              <w:rPr>
                <w:rFonts w:ascii="宋体" w:hAnsi="宋体"/>
                <w:color w:val="auto"/>
                <w:szCs w:val="21"/>
              </w:rPr>
            </w:pPr>
          </w:p>
        </w:tc>
        <w:tc>
          <w:tcPr>
            <w:tcW w:w="1418" w:type="dxa"/>
            <w:vAlign w:val="center"/>
          </w:tcPr>
          <w:p w14:paraId="2D1EBFEF">
            <w:pPr>
              <w:jc w:val="center"/>
              <w:rPr>
                <w:rFonts w:ascii="宋体" w:hAnsi="宋体"/>
                <w:color w:val="auto"/>
                <w:szCs w:val="21"/>
              </w:rPr>
            </w:pPr>
          </w:p>
        </w:tc>
        <w:tc>
          <w:tcPr>
            <w:tcW w:w="1063" w:type="dxa"/>
            <w:vAlign w:val="center"/>
          </w:tcPr>
          <w:p w14:paraId="6D6B4DE3">
            <w:pPr>
              <w:jc w:val="center"/>
              <w:rPr>
                <w:rFonts w:ascii="宋体" w:hAnsi="宋体"/>
                <w:color w:val="auto"/>
                <w:szCs w:val="21"/>
              </w:rPr>
            </w:pPr>
          </w:p>
        </w:tc>
        <w:tc>
          <w:tcPr>
            <w:tcW w:w="1063" w:type="dxa"/>
            <w:vAlign w:val="center"/>
          </w:tcPr>
          <w:p w14:paraId="1BE8E3F4">
            <w:pPr>
              <w:jc w:val="center"/>
              <w:rPr>
                <w:rFonts w:ascii="宋体" w:hAnsi="宋体"/>
                <w:color w:val="auto"/>
                <w:szCs w:val="21"/>
              </w:rPr>
            </w:pPr>
          </w:p>
        </w:tc>
        <w:tc>
          <w:tcPr>
            <w:tcW w:w="1063" w:type="dxa"/>
            <w:vAlign w:val="center"/>
          </w:tcPr>
          <w:p w14:paraId="2774EFBE">
            <w:pPr>
              <w:jc w:val="center"/>
              <w:rPr>
                <w:rFonts w:ascii="宋体" w:hAnsi="宋体"/>
                <w:color w:val="auto"/>
                <w:szCs w:val="21"/>
              </w:rPr>
            </w:pPr>
          </w:p>
        </w:tc>
        <w:tc>
          <w:tcPr>
            <w:tcW w:w="1063" w:type="dxa"/>
            <w:vAlign w:val="center"/>
          </w:tcPr>
          <w:p w14:paraId="44EA66F0">
            <w:pPr>
              <w:jc w:val="center"/>
              <w:rPr>
                <w:rFonts w:ascii="宋体" w:hAnsi="宋体"/>
                <w:color w:val="auto"/>
                <w:szCs w:val="21"/>
              </w:rPr>
            </w:pPr>
          </w:p>
        </w:tc>
        <w:tc>
          <w:tcPr>
            <w:tcW w:w="1063" w:type="dxa"/>
            <w:vAlign w:val="center"/>
          </w:tcPr>
          <w:p w14:paraId="44D32434">
            <w:pPr>
              <w:jc w:val="center"/>
              <w:rPr>
                <w:rFonts w:ascii="宋体" w:hAnsi="宋体"/>
                <w:color w:val="auto"/>
                <w:szCs w:val="21"/>
              </w:rPr>
            </w:pPr>
          </w:p>
        </w:tc>
        <w:tc>
          <w:tcPr>
            <w:tcW w:w="1063" w:type="dxa"/>
            <w:vAlign w:val="center"/>
          </w:tcPr>
          <w:p w14:paraId="74A06D8A">
            <w:pPr>
              <w:jc w:val="center"/>
              <w:rPr>
                <w:rFonts w:ascii="宋体" w:hAnsi="宋体"/>
                <w:color w:val="auto"/>
                <w:szCs w:val="21"/>
              </w:rPr>
            </w:pPr>
          </w:p>
        </w:tc>
      </w:tr>
      <w:tr w14:paraId="78C20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CD094B5">
            <w:pPr>
              <w:jc w:val="center"/>
              <w:rPr>
                <w:rFonts w:ascii="宋体" w:hAnsi="宋体"/>
                <w:color w:val="auto"/>
                <w:szCs w:val="21"/>
              </w:rPr>
            </w:pPr>
          </w:p>
        </w:tc>
        <w:tc>
          <w:tcPr>
            <w:tcW w:w="1418" w:type="dxa"/>
            <w:vAlign w:val="center"/>
          </w:tcPr>
          <w:p w14:paraId="0C4C0FCA">
            <w:pPr>
              <w:jc w:val="center"/>
              <w:rPr>
                <w:rFonts w:ascii="宋体" w:hAnsi="宋体"/>
                <w:color w:val="auto"/>
                <w:szCs w:val="21"/>
              </w:rPr>
            </w:pPr>
          </w:p>
        </w:tc>
        <w:tc>
          <w:tcPr>
            <w:tcW w:w="1063" w:type="dxa"/>
            <w:vAlign w:val="center"/>
          </w:tcPr>
          <w:p w14:paraId="5676BBF1">
            <w:pPr>
              <w:jc w:val="center"/>
              <w:rPr>
                <w:rFonts w:ascii="宋体" w:hAnsi="宋体"/>
                <w:color w:val="auto"/>
                <w:szCs w:val="21"/>
              </w:rPr>
            </w:pPr>
          </w:p>
        </w:tc>
        <w:tc>
          <w:tcPr>
            <w:tcW w:w="1063" w:type="dxa"/>
            <w:vAlign w:val="center"/>
          </w:tcPr>
          <w:p w14:paraId="284B1DF0">
            <w:pPr>
              <w:jc w:val="center"/>
              <w:rPr>
                <w:rFonts w:ascii="宋体" w:hAnsi="宋体"/>
                <w:color w:val="auto"/>
                <w:szCs w:val="21"/>
              </w:rPr>
            </w:pPr>
          </w:p>
        </w:tc>
        <w:tc>
          <w:tcPr>
            <w:tcW w:w="1063" w:type="dxa"/>
            <w:vAlign w:val="center"/>
          </w:tcPr>
          <w:p w14:paraId="04F6D636">
            <w:pPr>
              <w:jc w:val="center"/>
              <w:rPr>
                <w:rFonts w:ascii="宋体" w:hAnsi="宋体"/>
                <w:color w:val="auto"/>
                <w:szCs w:val="21"/>
              </w:rPr>
            </w:pPr>
          </w:p>
        </w:tc>
        <w:tc>
          <w:tcPr>
            <w:tcW w:w="1063" w:type="dxa"/>
            <w:vAlign w:val="center"/>
          </w:tcPr>
          <w:p w14:paraId="2680F62B">
            <w:pPr>
              <w:jc w:val="center"/>
              <w:rPr>
                <w:rFonts w:ascii="宋体" w:hAnsi="宋体"/>
                <w:color w:val="auto"/>
                <w:szCs w:val="21"/>
              </w:rPr>
            </w:pPr>
          </w:p>
        </w:tc>
        <w:tc>
          <w:tcPr>
            <w:tcW w:w="1063" w:type="dxa"/>
            <w:vAlign w:val="center"/>
          </w:tcPr>
          <w:p w14:paraId="1226F2C1">
            <w:pPr>
              <w:jc w:val="center"/>
              <w:rPr>
                <w:rFonts w:ascii="宋体" w:hAnsi="宋体"/>
                <w:color w:val="auto"/>
                <w:szCs w:val="21"/>
              </w:rPr>
            </w:pPr>
          </w:p>
        </w:tc>
        <w:tc>
          <w:tcPr>
            <w:tcW w:w="1063" w:type="dxa"/>
            <w:vAlign w:val="center"/>
          </w:tcPr>
          <w:p w14:paraId="6F076AC2">
            <w:pPr>
              <w:jc w:val="center"/>
              <w:rPr>
                <w:rFonts w:ascii="宋体" w:hAnsi="宋体"/>
                <w:color w:val="auto"/>
                <w:szCs w:val="21"/>
              </w:rPr>
            </w:pPr>
          </w:p>
        </w:tc>
      </w:tr>
      <w:tr w14:paraId="095CB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6B6E517E">
            <w:pPr>
              <w:jc w:val="center"/>
              <w:rPr>
                <w:rFonts w:ascii="宋体" w:hAnsi="宋体"/>
                <w:color w:val="auto"/>
                <w:szCs w:val="21"/>
              </w:rPr>
            </w:pPr>
          </w:p>
        </w:tc>
        <w:tc>
          <w:tcPr>
            <w:tcW w:w="1418" w:type="dxa"/>
            <w:vAlign w:val="center"/>
          </w:tcPr>
          <w:p w14:paraId="34BC44D4">
            <w:pPr>
              <w:jc w:val="center"/>
              <w:rPr>
                <w:rFonts w:ascii="宋体" w:hAnsi="宋体"/>
                <w:color w:val="auto"/>
                <w:szCs w:val="21"/>
              </w:rPr>
            </w:pPr>
          </w:p>
        </w:tc>
        <w:tc>
          <w:tcPr>
            <w:tcW w:w="1063" w:type="dxa"/>
            <w:vAlign w:val="center"/>
          </w:tcPr>
          <w:p w14:paraId="2CB3DC2A">
            <w:pPr>
              <w:jc w:val="center"/>
              <w:rPr>
                <w:rFonts w:ascii="宋体" w:hAnsi="宋体"/>
                <w:color w:val="auto"/>
                <w:szCs w:val="21"/>
              </w:rPr>
            </w:pPr>
          </w:p>
        </w:tc>
        <w:tc>
          <w:tcPr>
            <w:tcW w:w="1063" w:type="dxa"/>
            <w:vAlign w:val="center"/>
          </w:tcPr>
          <w:p w14:paraId="618C20E1">
            <w:pPr>
              <w:jc w:val="center"/>
              <w:rPr>
                <w:rFonts w:ascii="宋体" w:hAnsi="宋体"/>
                <w:color w:val="auto"/>
                <w:szCs w:val="21"/>
              </w:rPr>
            </w:pPr>
          </w:p>
        </w:tc>
        <w:tc>
          <w:tcPr>
            <w:tcW w:w="1063" w:type="dxa"/>
            <w:vAlign w:val="center"/>
          </w:tcPr>
          <w:p w14:paraId="2D2A8EE4">
            <w:pPr>
              <w:jc w:val="center"/>
              <w:rPr>
                <w:rFonts w:ascii="宋体" w:hAnsi="宋体"/>
                <w:color w:val="auto"/>
                <w:szCs w:val="21"/>
              </w:rPr>
            </w:pPr>
          </w:p>
        </w:tc>
        <w:tc>
          <w:tcPr>
            <w:tcW w:w="1063" w:type="dxa"/>
            <w:vAlign w:val="center"/>
          </w:tcPr>
          <w:p w14:paraId="66EF83E7">
            <w:pPr>
              <w:jc w:val="center"/>
              <w:rPr>
                <w:rFonts w:ascii="宋体" w:hAnsi="宋体"/>
                <w:color w:val="auto"/>
                <w:szCs w:val="21"/>
              </w:rPr>
            </w:pPr>
          </w:p>
        </w:tc>
        <w:tc>
          <w:tcPr>
            <w:tcW w:w="1063" w:type="dxa"/>
            <w:vAlign w:val="center"/>
          </w:tcPr>
          <w:p w14:paraId="23D1999D">
            <w:pPr>
              <w:jc w:val="center"/>
              <w:rPr>
                <w:rFonts w:ascii="宋体" w:hAnsi="宋体"/>
                <w:color w:val="auto"/>
                <w:szCs w:val="21"/>
              </w:rPr>
            </w:pPr>
          </w:p>
        </w:tc>
        <w:tc>
          <w:tcPr>
            <w:tcW w:w="1063" w:type="dxa"/>
            <w:vAlign w:val="center"/>
          </w:tcPr>
          <w:p w14:paraId="75F711AE">
            <w:pPr>
              <w:jc w:val="center"/>
              <w:rPr>
                <w:rFonts w:ascii="宋体" w:hAnsi="宋体"/>
                <w:color w:val="auto"/>
                <w:szCs w:val="21"/>
              </w:rPr>
            </w:pPr>
          </w:p>
        </w:tc>
      </w:tr>
      <w:tr w14:paraId="4684B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7CE9A638">
            <w:pPr>
              <w:jc w:val="center"/>
              <w:rPr>
                <w:rFonts w:ascii="宋体" w:hAnsi="宋体"/>
                <w:color w:val="auto"/>
                <w:szCs w:val="21"/>
              </w:rPr>
            </w:pPr>
          </w:p>
        </w:tc>
        <w:tc>
          <w:tcPr>
            <w:tcW w:w="1418" w:type="dxa"/>
            <w:vAlign w:val="center"/>
          </w:tcPr>
          <w:p w14:paraId="66DD0915">
            <w:pPr>
              <w:jc w:val="center"/>
              <w:rPr>
                <w:rFonts w:ascii="宋体" w:hAnsi="宋体"/>
                <w:color w:val="auto"/>
                <w:szCs w:val="21"/>
              </w:rPr>
            </w:pPr>
          </w:p>
        </w:tc>
        <w:tc>
          <w:tcPr>
            <w:tcW w:w="1063" w:type="dxa"/>
            <w:vAlign w:val="center"/>
          </w:tcPr>
          <w:p w14:paraId="53491E88">
            <w:pPr>
              <w:jc w:val="center"/>
              <w:rPr>
                <w:rFonts w:ascii="宋体" w:hAnsi="宋体"/>
                <w:color w:val="auto"/>
                <w:szCs w:val="21"/>
              </w:rPr>
            </w:pPr>
          </w:p>
        </w:tc>
        <w:tc>
          <w:tcPr>
            <w:tcW w:w="1063" w:type="dxa"/>
            <w:vAlign w:val="center"/>
          </w:tcPr>
          <w:p w14:paraId="2BF8989A">
            <w:pPr>
              <w:jc w:val="center"/>
              <w:rPr>
                <w:rFonts w:ascii="宋体" w:hAnsi="宋体"/>
                <w:color w:val="auto"/>
                <w:szCs w:val="21"/>
              </w:rPr>
            </w:pPr>
          </w:p>
        </w:tc>
        <w:tc>
          <w:tcPr>
            <w:tcW w:w="1063" w:type="dxa"/>
            <w:vAlign w:val="center"/>
          </w:tcPr>
          <w:p w14:paraId="60CE78C6">
            <w:pPr>
              <w:jc w:val="center"/>
              <w:rPr>
                <w:rFonts w:ascii="宋体" w:hAnsi="宋体"/>
                <w:color w:val="auto"/>
                <w:szCs w:val="21"/>
              </w:rPr>
            </w:pPr>
          </w:p>
        </w:tc>
        <w:tc>
          <w:tcPr>
            <w:tcW w:w="1063" w:type="dxa"/>
            <w:vAlign w:val="center"/>
          </w:tcPr>
          <w:p w14:paraId="31845604">
            <w:pPr>
              <w:jc w:val="center"/>
              <w:rPr>
                <w:rFonts w:ascii="宋体" w:hAnsi="宋体"/>
                <w:color w:val="auto"/>
                <w:szCs w:val="21"/>
              </w:rPr>
            </w:pPr>
          </w:p>
        </w:tc>
        <w:tc>
          <w:tcPr>
            <w:tcW w:w="1063" w:type="dxa"/>
            <w:vAlign w:val="center"/>
          </w:tcPr>
          <w:p w14:paraId="1CE38D34">
            <w:pPr>
              <w:jc w:val="center"/>
              <w:rPr>
                <w:rFonts w:ascii="宋体" w:hAnsi="宋体"/>
                <w:color w:val="auto"/>
                <w:szCs w:val="21"/>
              </w:rPr>
            </w:pPr>
          </w:p>
        </w:tc>
        <w:tc>
          <w:tcPr>
            <w:tcW w:w="1063" w:type="dxa"/>
            <w:vAlign w:val="center"/>
          </w:tcPr>
          <w:p w14:paraId="4E96E5FD">
            <w:pPr>
              <w:jc w:val="center"/>
              <w:rPr>
                <w:rFonts w:ascii="宋体" w:hAnsi="宋体"/>
                <w:color w:val="auto"/>
                <w:szCs w:val="21"/>
              </w:rPr>
            </w:pPr>
          </w:p>
        </w:tc>
      </w:tr>
      <w:tr w14:paraId="195F0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A312A3F">
            <w:pPr>
              <w:jc w:val="center"/>
              <w:rPr>
                <w:rFonts w:ascii="宋体" w:hAnsi="宋体"/>
                <w:color w:val="auto"/>
                <w:szCs w:val="21"/>
              </w:rPr>
            </w:pPr>
          </w:p>
        </w:tc>
        <w:tc>
          <w:tcPr>
            <w:tcW w:w="1418" w:type="dxa"/>
            <w:vAlign w:val="center"/>
          </w:tcPr>
          <w:p w14:paraId="70151C9C">
            <w:pPr>
              <w:jc w:val="center"/>
              <w:rPr>
                <w:rFonts w:ascii="宋体" w:hAnsi="宋体"/>
                <w:color w:val="auto"/>
                <w:szCs w:val="21"/>
              </w:rPr>
            </w:pPr>
          </w:p>
        </w:tc>
        <w:tc>
          <w:tcPr>
            <w:tcW w:w="1063" w:type="dxa"/>
            <w:vAlign w:val="center"/>
          </w:tcPr>
          <w:p w14:paraId="19D939D6">
            <w:pPr>
              <w:jc w:val="center"/>
              <w:rPr>
                <w:rFonts w:ascii="宋体" w:hAnsi="宋体"/>
                <w:color w:val="auto"/>
                <w:szCs w:val="21"/>
              </w:rPr>
            </w:pPr>
          </w:p>
        </w:tc>
        <w:tc>
          <w:tcPr>
            <w:tcW w:w="1063" w:type="dxa"/>
            <w:vAlign w:val="center"/>
          </w:tcPr>
          <w:p w14:paraId="3C0CD510">
            <w:pPr>
              <w:jc w:val="center"/>
              <w:rPr>
                <w:rFonts w:ascii="宋体" w:hAnsi="宋体"/>
                <w:color w:val="auto"/>
                <w:szCs w:val="21"/>
              </w:rPr>
            </w:pPr>
          </w:p>
        </w:tc>
        <w:tc>
          <w:tcPr>
            <w:tcW w:w="1063" w:type="dxa"/>
            <w:vAlign w:val="center"/>
          </w:tcPr>
          <w:p w14:paraId="455F7F33">
            <w:pPr>
              <w:jc w:val="center"/>
              <w:rPr>
                <w:rFonts w:ascii="宋体" w:hAnsi="宋体"/>
                <w:color w:val="auto"/>
                <w:szCs w:val="21"/>
              </w:rPr>
            </w:pPr>
          </w:p>
        </w:tc>
        <w:tc>
          <w:tcPr>
            <w:tcW w:w="1063" w:type="dxa"/>
            <w:vAlign w:val="center"/>
          </w:tcPr>
          <w:p w14:paraId="72D600C3">
            <w:pPr>
              <w:jc w:val="center"/>
              <w:rPr>
                <w:rFonts w:ascii="宋体" w:hAnsi="宋体"/>
                <w:color w:val="auto"/>
                <w:szCs w:val="21"/>
              </w:rPr>
            </w:pPr>
          </w:p>
        </w:tc>
        <w:tc>
          <w:tcPr>
            <w:tcW w:w="1063" w:type="dxa"/>
            <w:vAlign w:val="center"/>
          </w:tcPr>
          <w:p w14:paraId="7CD79A0A">
            <w:pPr>
              <w:jc w:val="center"/>
              <w:rPr>
                <w:rFonts w:ascii="宋体" w:hAnsi="宋体"/>
                <w:color w:val="auto"/>
                <w:szCs w:val="21"/>
              </w:rPr>
            </w:pPr>
          </w:p>
        </w:tc>
        <w:tc>
          <w:tcPr>
            <w:tcW w:w="1063" w:type="dxa"/>
            <w:vAlign w:val="center"/>
          </w:tcPr>
          <w:p w14:paraId="5EDDD407">
            <w:pPr>
              <w:jc w:val="center"/>
              <w:rPr>
                <w:rFonts w:ascii="宋体" w:hAnsi="宋体"/>
                <w:color w:val="auto"/>
                <w:szCs w:val="21"/>
              </w:rPr>
            </w:pPr>
          </w:p>
        </w:tc>
      </w:tr>
      <w:tr w14:paraId="1E33C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BD2CE83">
            <w:pPr>
              <w:jc w:val="center"/>
              <w:rPr>
                <w:rFonts w:ascii="宋体" w:hAnsi="宋体"/>
                <w:color w:val="auto"/>
                <w:szCs w:val="21"/>
              </w:rPr>
            </w:pPr>
          </w:p>
        </w:tc>
        <w:tc>
          <w:tcPr>
            <w:tcW w:w="1418" w:type="dxa"/>
            <w:vAlign w:val="center"/>
          </w:tcPr>
          <w:p w14:paraId="74BAE816">
            <w:pPr>
              <w:jc w:val="center"/>
              <w:rPr>
                <w:rFonts w:ascii="宋体" w:hAnsi="宋体"/>
                <w:color w:val="auto"/>
                <w:szCs w:val="21"/>
              </w:rPr>
            </w:pPr>
          </w:p>
        </w:tc>
        <w:tc>
          <w:tcPr>
            <w:tcW w:w="1063" w:type="dxa"/>
            <w:vAlign w:val="center"/>
          </w:tcPr>
          <w:p w14:paraId="4F1C4CF1">
            <w:pPr>
              <w:jc w:val="center"/>
              <w:rPr>
                <w:rFonts w:ascii="宋体" w:hAnsi="宋体"/>
                <w:color w:val="auto"/>
                <w:szCs w:val="21"/>
              </w:rPr>
            </w:pPr>
          </w:p>
        </w:tc>
        <w:tc>
          <w:tcPr>
            <w:tcW w:w="1063" w:type="dxa"/>
            <w:vAlign w:val="center"/>
          </w:tcPr>
          <w:p w14:paraId="49A94934">
            <w:pPr>
              <w:jc w:val="center"/>
              <w:rPr>
                <w:rFonts w:ascii="宋体" w:hAnsi="宋体"/>
                <w:color w:val="auto"/>
                <w:szCs w:val="21"/>
              </w:rPr>
            </w:pPr>
          </w:p>
        </w:tc>
        <w:tc>
          <w:tcPr>
            <w:tcW w:w="1063" w:type="dxa"/>
            <w:vAlign w:val="center"/>
          </w:tcPr>
          <w:p w14:paraId="182651F4">
            <w:pPr>
              <w:jc w:val="center"/>
              <w:rPr>
                <w:rFonts w:ascii="宋体" w:hAnsi="宋体"/>
                <w:color w:val="auto"/>
                <w:szCs w:val="21"/>
              </w:rPr>
            </w:pPr>
          </w:p>
        </w:tc>
        <w:tc>
          <w:tcPr>
            <w:tcW w:w="1063" w:type="dxa"/>
            <w:vAlign w:val="center"/>
          </w:tcPr>
          <w:p w14:paraId="4235C40A">
            <w:pPr>
              <w:jc w:val="center"/>
              <w:rPr>
                <w:rFonts w:ascii="宋体" w:hAnsi="宋体"/>
                <w:color w:val="auto"/>
                <w:szCs w:val="21"/>
              </w:rPr>
            </w:pPr>
          </w:p>
        </w:tc>
        <w:tc>
          <w:tcPr>
            <w:tcW w:w="1063" w:type="dxa"/>
            <w:vAlign w:val="center"/>
          </w:tcPr>
          <w:p w14:paraId="4D0EE825">
            <w:pPr>
              <w:jc w:val="center"/>
              <w:rPr>
                <w:rFonts w:ascii="宋体" w:hAnsi="宋体"/>
                <w:color w:val="auto"/>
                <w:szCs w:val="21"/>
              </w:rPr>
            </w:pPr>
          </w:p>
        </w:tc>
        <w:tc>
          <w:tcPr>
            <w:tcW w:w="1063" w:type="dxa"/>
            <w:vAlign w:val="center"/>
          </w:tcPr>
          <w:p w14:paraId="78A92BFA">
            <w:pPr>
              <w:jc w:val="center"/>
              <w:rPr>
                <w:rFonts w:ascii="宋体" w:hAnsi="宋体"/>
                <w:color w:val="auto"/>
                <w:szCs w:val="21"/>
              </w:rPr>
            </w:pPr>
          </w:p>
        </w:tc>
      </w:tr>
      <w:tr w14:paraId="061C0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7CBBF3F1">
            <w:pPr>
              <w:jc w:val="center"/>
              <w:rPr>
                <w:rFonts w:ascii="宋体" w:hAnsi="宋体"/>
                <w:color w:val="auto"/>
                <w:szCs w:val="21"/>
              </w:rPr>
            </w:pPr>
          </w:p>
        </w:tc>
        <w:tc>
          <w:tcPr>
            <w:tcW w:w="1418" w:type="dxa"/>
            <w:vAlign w:val="center"/>
          </w:tcPr>
          <w:p w14:paraId="01BADFBA">
            <w:pPr>
              <w:jc w:val="center"/>
              <w:rPr>
                <w:rFonts w:ascii="宋体" w:hAnsi="宋体"/>
                <w:color w:val="auto"/>
                <w:szCs w:val="21"/>
              </w:rPr>
            </w:pPr>
          </w:p>
        </w:tc>
        <w:tc>
          <w:tcPr>
            <w:tcW w:w="1063" w:type="dxa"/>
            <w:vAlign w:val="center"/>
          </w:tcPr>
          <w:p w14:paraId="0D95FF9C">
            <w:pPr>
              <w:jc w:val="center"/>
              <w:rPr>
                <w:rFonts w:ascii="宋体" w:hAnsi="宋体"/>
                <w:color w:val="auto"/>
                <w:szCs w:val="21"/>
              </w:rPr>
            </w:pPr>
          </w:p>
        </w:tc>
        <w:tc>
          <w:tcPr>
            <w:tcW w:w="1063" w:type="dxa"/>
            <w:vAlign w:val="center"/>
          </w:tcPr>
          <w:p w14:paraId="0FC44E27">
            <w:pPr>
              <w:jc w:val="center"/>
              <w:rPr>
                <w:rFonts w:ascii="宋体" w:hAnsi="宋体"/>
                <w:color w:val="auto"/>
                <w:szCs w:val="21"/>
              </w:rPr>
            </w:pPr>
          </w:p>
        </w:tc>
        <w:tc>
          <w:tcPr>
            <w:tcW w:w="1063" w:type="dxa"/>
            <w:vAlign w:val="center"/>
          </w:tcPr>
          <w:p w14:paraId="38A951AF">
            <w:pPr>
              <w:jc w:val="center"/>
              <w:rPr>
                <w:rFonts w:ascii="宋体" w:hAnsi="宋体"/>
                <w:color w:val="auto"/>
                <w:szCs w:val="21"/>
              </w:rPr>
            </w:pPr>
          </w:p>
        </w:tc>
        <w:tc>
          <w:tcPr>
            <w:tcW w:w="1063" w:type="dxa"/>
            <w:vAlign w:val="center"/>
          </w:tcPr>
          <w:p w14:paraId="6C2C73F8">
            <w:pPr>
              <w:jc w:val="center"/>
              <w:rPr>
                <w:rFonts w:ascii="宋体" w:hAnsi="宋体"/>
                <w:color w:val="auto"/>
                <w:szCs w:val="21"/>
              </w:rPr>
            </w:pPr>
          </w:p>
        </w:tc>
        <w:tc>
          <w:tcPr>
            <w:tcW w:w="1063" w:type="dxa"/>
            <w:vAlign w:val="center"/>
          </w:tcPr>
          <w:p w14:paraId="13D7BB9C">
            <w:pPr>
              <w:jc w:val="center"/>
              <w:rPr>
                <w:rFonts w:ascii="宋体" w:hAnsi="宋体"/>
                <w:color w:val="auto"/>
                <w:szCs w:val="21"/>
              </w:rPr>
            </w:pPr>
          </w:p>
        </w:tc>
        <w:tc>
          <w:tcPr>
            <w:tcW w:w="1063" w:type="dxa"/>
            <w:vAlign w:val="center"/>
          </w:tcPr>
          <w:p w14:paraId="49B1B9BF">
            <w:pPr>
              <w:jc w:val="center"/>
              <w:rPr>
                <w:rFonts w:ascii="宋体" w:hAnsi="宋体"/>
                <w:color w:val="auto"/>
                <w:szCs w:val="21"/>
              </w:rPr>
            </w:pPr>
          </w:p>
        </w:tc>
      </w:tr>
      <w:tr w14:paraId="2CBFD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3D91BF7">
            <w:pPr>
              <w:jc w:val="center"/>
              <w:rPr>
                <w:rFonts w:ascii="宋体" w:hAnsi="宋体"/>
                <w:color w:val="auto"/>
                <w:szCs w:val="21"/>
              </w:rPr>
            </w:pPr>
          </w:p>
        </w:tc>
        <w:tc>
          <w:tcPr>
            <w:tcW w:w="1418" w:type="dxa"/>
            <w:vAlign w:val="center"/>
          </w:tcPr>
          <w:p w14:paraId="381ACFAC">
            <w:pPr>
              <w:jc w:val="center"/>
              <w:rPr>
                <w:rFonts w:ascii="宋体" w:hAnsi="宋体"/>
                <w:color w:val="auto"/>
                <w:szCs w:val="21"/>
              </w:rPr>
            </w:pPr>
          </w:p>
        </w:tc>
        <w:tc>
          <w:tcPr>
            <w:tcW w:w="1063" w:type="dxa"/>
            <w:vAlign w:val="center"/>
          </w:tcPr>
          <w:p w14:paraId="25938AFB">
            <w:pPr>
              <w:jc w:val="center"/>
              <w:rPr>
                <w:rFonts w:ascii="宋体" w:hAnsi="宋体"/>
                <w:color w:val="auto"/>
                <w:szCs w:val="21"/>
              </w:rPr>
            </w:pPr>
          </w:p>
        </w:tc>
        <w:tc>
          <w:tcPr>
            <w:tcW w:w="1063" w:type="dxa"/>
            <w:vAlign w:val="center"/>
          </w:tcPr>
          <w:p w14:paraId="5CF8F063">
            <w:pPr>
              <w:jc w:val="center"/>
              <w:rPr>
                <w:rFonts w:ascii="宋体" w:hAnsi="宋体"/>
                <w:color w:val="auto"/>
                <w:szCs w:val="21"/>
              </w:rPr>
            </w:pPr>
          </w:p>
        </w:tc>
        <w:tc>
          <w:tcPr>
            <w:tcW w:w="1063" w:type="dxa"/>
            <w:vAlign w:val="center"/>
          </w:tcPr>
          <w:p w14:paraId="62A3636E">
            <w:pPr>
              <w:jc w:val="center"/>
              <w:rPr>
                <w:rFonts w:ascii="宋体" w:hAnsi="宋体"/>
                <w:color w:val="auto"/>
                <w:szCs w:val="21"/>
              </w:rPr>
            </w:pPr>
          </w:p>
        </w:tc>
        <w:tc>
          <w:tcPr>
            <w:tcW w:w="1063" w:type="dxa"/>
            <w:vAlign w:val="center"/>
          </w:tcPr>
          <w:p w14:paraId="696A0C68">
            <w:pPr>
              <w:jc w:val="center"/>
              <w:rPr>
                <w:rFonts w:ascii="宋体" w:hAnsi="宋体"/>
                <w:color w:val="auto"/>
                <w:szCs w:val="21"/>
              </w:rPr>
            </w:pPr>
          </w:p>
        </w:tc>
        <w:tc>
          <w:tcPr>
            <w:tcW w:w="1063" w:type="dxa"/>
            <w:vAlign w:val="center"/>
          </w:tcPr>
          <w:p w14:paraId="7A0A8F0B">
            <w:pPr>
              <w:jc w:val="center"/>
              <w:rPr>
                <w:rFonts w:ascii="宋体" w:hAnsi="宋体"/>
                <w:color w:val="auto"/>
                <w:szCs w:val="21"/>
              </w:rPr>
            </w:pPr>
          </w:p>
        </w:tc>
        <w:tc>
          <w:tcPr>
            <w:tcW w:w="1063" w:type="dxa"/>
            <w:vAlign w:val="center"/>
          </w:tcPr>
          <w:p w14:paraId="4C109C9F">
            <w:pPr>
              <w:jc w:val="center"/>
              <w:rPr>
                <w:rFonts w:ascii="宋体" w:hAnsi="宋体"/>
                <w:color w:val="auto"/>
                <w:szCs w:val="21"/>
              </w:rPr>
            </w:pPr>
          </w:p>
        </w:tc>
      </w:tr>
      <w:tr w14:paraId="0FB91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60C5164F">
            <w:pPr>
              <w:jc w:val="center"/>
              <w:rPr>
                <w:rFonts w:ascii="宋体" w:hAnsi="宋体"/>
                <w:color w:val="auto"/>
                <w:szCs w:val="21"/>
              </w:rPr>
            </w:pPr>
          </w:p>
        </w:tc>
        <w:tc>
          <w:tcPr>
            <w:tcW w:w="1418" w:type="dxa"/>
            <w:vAlign w:val="center"/>
          </w:tcPr>
          <w:p w14:paraId="1F88385A">
            <w:pPr>
              <w:jc w:val="center"/>
              <w:rPr>
                <w:rFonts w:ascii="宋体" w:hAnsi="宋体"/>
                <w:color w:val="auto"/>
                <w:szCs w:val="21"/>
              </w:rPr>
            </w:pPr>
          </w:p>
        </w:tc>
        <w:tc>
          <w:tcPr>
            <w:tcW w:w="1063" w:type="dxa"/>
            <w:vAlign w:val="center"/>
          </w:tcPr>
          <w:p w14:paraId="190CC603">
            <w:pPr>
              <w:jc w:val="center"/>
              <w:rPr>
                <w:rFonts w:ascii="宋体" w:hAnsi="宋体"/>
                <w:color w:val="auto"/>
                <w:szCs w:val="21"/>
              </w:rPr>
            </w:pPr>
          </w:p>
        </w:tc>
        <w:tc>
          <w:tcPr>
            <w:tcW w:w="1063" w:type="dxa"/>
            <w:vAlign w:val="center"/>
          </w:tcPr>
          <w:p w14:paraId="6D550448">
            <w:pPr>
              <w:jc w:val="center"/>
              <w:rPr>
                <w:rFonts w:ascii="宋体" w:hAnsi="宋体"/>
                <w:color w:val="auto"/>
                <w:szCs w:val="21"/>
              </w:rPr>
            </w:pPr>
          </w:p>
        </w:tc>
        <w:tc>
          <w:tcPr>
            <w:tcW w:w="1063" w:type="dxa"/>
            <w:vAlign w:val="center"/>
          </w:tcPr>
          <w:p w14:paraId="2E3E8AA3">
            <w:pPr>
              <w:jc w:val="center"/>
              <w:rPr>
                <w:rFonts w:ascii="宋体" w:hAnsi="宋体"/>
                <w:color w:val="auto"/>
                <w:szCs w:val="21"/>
              </w:rPr>
            </w:pPr>
          </w:p>
        </w:tc>
        <w:tc>
          <w:tcPr>
            <w:tcW w:w="1063" w:type="dxa"/>
            <w:vAlign w:val="center"/>
          </w:tcPr>
          <w:p w14:paraId="2191D96A">
            <w:pPr>
              <w:jc w:val="center"/>
              <w:rPr>
                <w:rFonts w:ascii="宋体" w:hAnsi="宋体"/>
                <w:color w:val="auto"/>
                <w:szCs w:val="21"/>
              </w:rPr>
            </w:pPr>
          </w:p>
        </w:tc>
        <w:tc>
          <w:tcPr>
            <w:tcW w:w="1063" w:type="dxa"/>
            <w:vAlign w:val="center"/>
          </w:tcPr>
          <w:p w14:paraId="76560CAD">
            <w:pPr>
              <w:jc w:val="center"/>
              <w:rPr>
                <w:rFonts w:ascii="宋体" w:hAnsi="宋体"/>
                <w:color w:val="auto"/>
                <w:szCs w:val="21"/>
              </w:rPr>
            </w:pPr>
          </w:p>
        </w:tc>
        <w:tc>
          <w:tcPr>
            <w:tcW w:w="1063" w:type="dxa"/>
            <w:vAlign w:val="center"/>
          </w:tcPr>
          <w:p w14:paraId="71BCDDBA">
            <w:pPr>
              <w:jc w:val="center"/>
              <w:rPr>
                <w:rFonts w:ascii="宋体" w:hAnsi="宋体"/>
                <w:color w:val="auto"/>
                <w:szCs w:val="21"/>
              </w:rPr>
            </w:pPr>
          </w:p>
        </w:tc>
      </w:tr>
      <w:tr w14:paraId="514D7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6720966D">
            <w:pPr>
              <w:jc w:val="center"/>
              <w:rPr>
                <w:rFonts w:ascii="宋体" w:hAnsi="宋体"/>
                <w:color w:val="auto"/>
                <w:szCs w:val="21"/>
              </w:rPr>
            </w:pPr>
          </w:p>
        </w:tc>
        <w:tc>
          <w:tcPr>
            <w:tcW w:w="1418" w:type="dxa"/>
            <w:vAlign w:val="center"/>
          </w:tcPr>
          <w:p w14:paraId="6F725074">
            <w:pPr>
              <w:jc w:val="center"/>
              <w:rPr>
                <w:rFonts w:ascii="宋体" w:hAnsi="宋体"/>
                <w:color w:val="auto"/>
                <w:szCs w:val="21"/>
              </w:rPr>
            </w:pPr>
          </w:p>
        </w:tc>
        <w:tc>
          <w:tcPr>
            <w:tcW w:w="1063" w:type="dxa"/>
            <w:vAlign w:val="center"/>
          </w:tcPr>
          <w:p w14:paraId="2A8F1D12">
            <w:pPr>
              <w:jc w:val="center"/>
              <w:rPr>
                <w:rFonts w:ascii="宋体" w:hAnsi="宋体"/>
                <w:color w:val="auto"/>
                <w:szCs w:val="21"/>
              </w:rPr>
            </w:pPr>
          </w:p>
        </w:tc>
        <w:tc>
          <w:tcPr>
            <w:tcW w:w="1063" w:type="dxa"/>
            <w:vAlign w:val="center"/>
          </w:tcPr>
          <w:p w14:paraId="7290F06F">
            <w:pPr>
              <w:jc w:val="center"/>
              <w:rPr>
                <w:rFonts w:ascii="宋体" w:hAnsi="宋体"/>
                <w:color w:val="auto"/>
                <w:szCs w:val="21"/>
              </w:rPr>
            </w:pPr>
          </w:p>
        </w:tc>
        <w:tc>
          <w:tcPr>
            <w:tcW w:w="1063" w:type="dxa"/>
            <w:vAlign w:val="center"/>
          </w:tcPr>
          <w:p w14:paraId="1C9B0131">
            <w:pPr>
              <w:jc w:val="center"/>
              <w:rPr>
                <w:rFonts w:ascii="宋体" w:hAnsi="宋体"/>
                <w:color w:val="auto"/>
                <w:szCs w:val="21"/>
              </w:rPr>
            </w:pPr>
          </w:p>
        </w:tc>
        <w:tc>
          <w:tcPr>
            <w:tcW w:w="1063" w:type="dxa"/>
            <w:vAlign w:val="center"/>
          </w:tcPr>
          <w:p w14:paraId="00836BCC">
            <w:pPr>
              <w:jc w:val="center"/>
              <w:rPr>
                <w:rFonts w:ascii="宋体" w:hAnsi="宋体"/>
                <w:color w:val="auto"/>
                <w:szCs w:val="21"/>
              </w:rPr>
            </w:pPr>
          </w:p>
        </w:tc>
        <w:tc>
          <w:tcPr>
            <w:tcW w:w="1063" w:type="dxa"/>
            <w:vAlign w:val="center"/>
          </w:tcPr>
          <w:p w14:paraId="6BE976C7">
            <w:pPr>
              <w:jc w:val="center"/>
              <w:rPr>
                <w:rFonts w:ascii="宋体" w:hAnsi="宋体"/>
                <w:color w:val="auto"/>
                <w:szCs w:val="21"/>
              </w:rPr>
            </w:pPr>
          </w:p>
        </w:tc>
        <w:tc>
          <w:tcPr>
            <w:tcW w:w="1063" w:type="dxa"/>
            <w:vAlign w:val="center"/>
          </w:tcPr>
          <w:p w14:paraId="4CB4E719">
            <w:pPr>
              <w:jc w:val="center"/>
              <w:rPr>
                <w:rFonts w:ascii="宋体" w:hAnsi="宋体"/>
                <w:color w:val="auto"/>
                <w:szCs w:val="21"/>
              </w:rPr>
            </w:pPr>
          </w:p>
        </w:tc>
      </w:tr>
      <w:tr w14:paraId="49E11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626B7BB0">
            <w:pPr>
              <w:jc w:val="center"/>
              <w:rPr>
                <w:rFonts w:ascii="宋体" w:hAnsi="宋体"/>
                <w:color w:val="auto"/>
                <w:szCs w:val="21"/>
              </w:rPr>
            </w:pPr>
          </w:p>
        </w:tc>
        <w:tc>
          <w:tcPr>
            <w:tcW w:w="1418" w:type="dxa"/>
            <w:vAlign w:val="center"/>
          </w:tcPr>
          <w:p w14:paraId="63476C85">
            <w:pPr>
              <w:jc w:val="center"/>
              <w:rPr>
                <w:rFonts w:ascii="宋体" w:hAnsi="宋体"/>
                <w:color w:val="auto"/>
                <w:szCs w:val="21"/>
              </w:rPr>
            </w:pPr>
          </w:p>
        </w:tc>
        <w:tc>
          <w:tcPr>
            <w:tcW w:w="1063" w:type="dxa"/>
            <w:vAlign w:val="center"/>
          </w:tcPr>
          <w:p w14:paraId="572EEF1D">
            <w:pPr>
              <w:jc w:val="center"/>
              <w:rPr>
                <w:rFonts w:ascii="宋体" w:hAnsi="宋体"/>
                <w:color w:val="auto"/>
                <w:szCs w:val="21"/>
              </w:rPr>
            </w:pPr>
          </w:p>
        </w:tc>
        <w:tc>
          <w:tcPr>
            <w:tcW w:w="1063" w:type="dxa"/>
            <w:vAlign w:val="center"/>
          </w:tcPr>
          <w:p w14:paraId="1B2059D0">
            <w:pPr>
              <w:jc w:val="center"/>
              <w:rPr>
                <w:rFonts w:ascii="宋体" w:hAnsi="宋体"/>
                <w:color w:val="auto"/>
                <w:szCs w:val="21"/>
              </w:rPr>
            </w:pPr>
          </w:p>
        </w:tc>
        <w:tc>
          <w:tcPr>
            <w:tcW w:w="1063" w:type="dxa"/>
            <w:vAlign w:val="center"/>
          </w:tcPr>
          <w:p w14:paraId="4F0A9FE1">
            <w:pPr>
              <w:jc w:val="center"/>
              <w:rPr>
                <w:rFonts w:ascii="宋体" w:hAnsi="宋体"/>
                <w:color w:val="auto"/>
                <w:szCs w:val="21"/>
              </w:rPr>
            </w:pPr>
          </w:p>
        </w:tc>
        <w:tc>
          <w:tcPr>
            <w:tcW w:w="1063" w:type="dxa"/>
            <w:vAlign w:val="center"/>
          </w:tcPr>
          <w:p w14:paraId="252F21F9">
            <w:pPr>
              <w:jc w:val="center"/>
              <w:rPr>
                <w:rFonts w:ascii="宋体" w:hAnsi="宋体"/>
                <w:color w:val="auto"/>
                <w:szCs w:val="21"/>
              </w:rPr>
            </w:pPr>
          </w:p>
        </w:tc>
        <w:tc>
          <w:tcPr>
            <w:tcW w:w="1063" w:type="dxa"/>
            <w:vAlign w:val="center"/>
          </w:tcPr>
          <w:p w14:paraId="21C3F4D3">
            <w:pPr>
              <w:jc w:val="center"/>
              <w:rPr>
                <w:rFonts w:ascii="宋体" w:hAnsi="宋体"/>
                <w:color w:val="auto"/>
                <w:szCs w:val="21"/>
              </w:rPr>
            </w:pPr>
          </w:p>
        </w:tc>
        <w:tc>
          <w:tcPr>
            <w:tcW w:w="1063" w:type="dxa"/>
            <w:vAlign w:val="center"/>
          </w:tcPr>
          <w:p w14:paraId="252DE133">
            <w:pPr>
              <w:jc w:val="center"/>
              <w:rPr>
                <w:rFonts w:ascii="宋体" w:hAnsi="宋体"/>
                <w:color w:val="auto"/>
                <w:szCs w:val="21"/>
              </w:rPr>
            </w:pPr>
          </w:p>
        </w:tc>
      </w:tr>
      <w:tr w14:paraId="5BAC0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7D51B2BD">
            <w:pPr>
              <w:jc w:val="center"/>
              <w:rPr>
                <w:rFonts w:ascii="宋体" w:hAnsi="宋体"/>
                <w:color w:val="auto"/>
                <w:szCs w:val="21"/>
              </w:rPr>
            </w:pPr>
          </w:p>
        </w:tc>
        <w:tc>
          <w:tcPr>
            <w:tcW w:w="1418" w:type="dxa"/>
            <w:vAlign w:val="center"/>
          </w:tcPr>
          <w:p w14:paraId="77B0DD0E">
            <w:pPr>
              <w:jc w:val="center"/>
              <w:rPr>
                <w:rFonts w:ascii="宋体" w:hAnsi="宋体"/>
                <w:color w:val="auto"/>
                <w:szCs w:val="21"/>
              </w:rPr>
            </w:pPr>
          </w:p>
        </w:tc>
        <w:tc>
          <w:tcPr>
            <w:tcW w:w="1063" w:type="dxa"/>
            <w:vAlign w:val="center"/>
          </w:tcPr>
          <w:p w14:paraId="502C3A2A">
            <w:pPr>
              <w:jc w:val="center"/>
              <w:rPr>
                <w:rFonts w:ascii="宋体" w:hAnsi="宋体"/>
                <w:color w:val="auto"/>
                <w:szCs w:val="21"/>
              </w:rPr>
            </w:pPr>
          </w:p>
        </w:tc>
        <w:tc>
          <w:tcPr>
            <w:tcW w:w="1063" w:type="dxa"/>
            <w:vAlign w:val="center"/>
          </w:tcPr>
          <w:p w14:paraId="51E170F7">
            <w:pPr>
              <w:jc w:val="center"/>
              <w:rPr>
                <w:rFonts w:ascii="宋体" w:hAnsi="宋体"/>
                <w:color w:val="auto"/>
                <w:szCs w:val="21"/>
              </w:rPr>
            </w:pPr>
          </w:p>
        </w:tc>
        <w:tc>
          <w:tcPr>
            <w:tcW w:w="1063" w:type="dxa"/>
            <w:vAlign w:val="center"/>
          </w:tcPr>
          <w:p w14:paraId="4A066A3D">
            <w:pPr>
              <w:jc w:val="center"/>
              <w:rPr>
                <w:rFonts w:ascii="宋体" w:hAnsi="宋体"/>
                <w:color w:val="auto"/>
                <w:szCs w:val="21"/>
              </w:rPr>
            </w:pPr>
          </w:p>
        </w:tc>
        <w:tc>
          <w:tcPr>
            <w:tcW w:w="1063" w:type="dxa"/>
            <w:vAlign w:val="center"/>
          </w:tcPr>
          <w:p w14:paraId="23DF1F9C">
            <w:pPr>
              <w:jc w:val="center"/>
              <w:rPr>
                <w:rFonts w:ascii="宋体" w:hAnsi="宋体"/>
                <w:color w:val="auto"/>
                <w:szCs w:val="21"/>
              </w:rPr>
            </w:pPr>
          </w:p>
        </w:tc>
        <w:tc>
          <w:tcPr>
            <w:tcW w:w="1063" w:type="dxa"/>
            <w:vAlign w:val="center"/>
          </w:tcPr>
          <w:p w14:paraId="4A89D7D0">
            <w:pPr>
              <w:jc w:val="center"/>
              <w:rPr>
                <w:rFonts w:ascii="宋体" w:hAnsi="宋体"/>
                <w:color w:val="auto"/>
                <w:szCs w:val="21"/>
              </w:rPr>
            </w:pPr>
          </w:p>
        </w:tc>
        <w:tc>
          <w:tcPr>
            <w:tcW w:w="1063" w:type="dxa"/>
            <w:vAlign w:val="center"/>
          </w:tcPr>
          <w:p w14:paraId="404EDA97">
            <w:pPr>
              <w:jc w:val="center"/>
              <w:rPr>
                <w:rFonts w:ascii="宋体" w:hAnsi="宋体"/>
                <w:color w:val="auto"/>
                <w:szCs w:val="21"/>
              </w:rPr>
            </w:pPr>
          </w:p>
        </w:tc>
      </w:tr>
      <w:tr w14:paraId="7AED8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0C009CA8">
            <w:pPr>
              <w:jc w:val="center"/>
              <w:rPr>
                <w:rFonts w:ascii="宋体" w:hAnsi="宋体"/>
                <w:color w:val="auto"/>
                <w:szCs w:val="21"/>
              </w:rPr>
            </w:pPr>
          </w:p>
        </w:tc>
        <w:tc>
          <w:tcPr>
            <w:tcW w:w="1418" w:type="dxa"/>
            <w:vAlign w:val="center"/>
          </w:tcPr>
          <w:p w14:paraId="1DC1F34D">
            <w:pPr>
              <w:jc w:val="center"/>
              <w:rPr>
                <w:rFonts w:ascii="宋体" w:hAnsi="宋体"/>
                <w:color w:val="auto"/>
                <w:szCs w:val="21"/>
              </w:rPr>
            </w:pPr>
          </w:p>
        </w:tc>
        <w:tc>
          <w:tcPr>
            <w:tcW w:w="1063" w:type="dxa"/>
            <w:vAlign w:val="center"/>
          </w:tcPr>
          <w:p w14:paraId="5AE8D782">
            <w:pPr>
              <w:jc w:val="center"/>
              <w:rPr>
                <w:rFonts w:ascii="宋体" w:hAnsi="宋体"/>
                <w:color w:val="auto"/>
                <w:szCs w:val="21"/>
              </w:rPr>
            </w:pPr>
          </w:p>
        </w:tc>
        <w:tc>
          <w:tcPr>
            <w:tcW w:w="1063" w:type="dxa"/>
            <w:vAlign w:val="center"/>
          </w:tcPr>
          <w:p w14:paraId="3D4EE960">
            <w:pPr>
              <w:jc w:val="center"/>
              <w:rPr>
                <w:rFonts w:ascii="宋体" w:hAnsi="宋体"/>
                <w:color w:val="auto"/>
                <w:szCs w:val="21"/>
              </w:rPr>
            </w:pPr>
          </w:p>
        </w:tc>
        <w:tc>
          <w:tcPr>
            <w:tcW w:w="1063" w:type="dxa"/>
            <w:vAlign w:val="center"/>
          </w:tcPr>
          <w:p w14:paraId="64FC722A">
            <w:pPr>
              <w:jc w:val="center"/>
              <w:rPr>
                <w:rFonts w:ascii="宋体" w:hAnsi="宋体"/>
                <w:color w:val="auto"/>
                <w:szCs w:val="21"/>
              </w:rPr>
            </w:pPr>
          </w:p>
        </w:tc>
        <w:tc>
          <w:tcPr>
            <w:tcW w:w="1063" w:type="dxa"/>
            <w:vAlign w:val="center"/>
          </w:tcPr>
          <w:p w14:paraId="1EB390D9">
            <w:pPr>
              <w:jc w:val="center"/>
              <w:rPr>
                <w:rFonts w:ascii="宋体" w:hAnsi="宋体"/>
                <w:color w:val="auto"/>
                <w:szCs w:val="21"/>
              </w:rPr>
            </w:pPr>
          </w:p>
        </w:tc>
        <w:tc>
          <w:tcPr>
            <w:tcW w:w="1063" w:type="dxa"/>
            <w:vAlign w:val="center"/>
          </w:tcPr>
          <w:p w14:paraId="447A869F">
            <w:pPr>
              <w:jc w:val="center"/>
              <w:rPr>
                <w:rFonts w:ascii="宋体" w:hAnsi="宋体"/>
                <w:color w:val="auto"/>
                <w:szCs w:val="21"/>
              </w:rPr>
            </w:pPr>
          </w:p>
        </w:tc>
        <w:tc>
          <w:tcPr>
            <w:tcW w:w="1063" w:type="dxa"/>
            <w:vAlign w:val="center"/>
          </w:tcPr>
          <w:p w14:paraId="5D4DD2DE">
            <w:pPr>
              <w:jc w:val="center"/>
              <w:rPr>
                <w:rFonts w:ascii="宋体" w:hAnsi="宋体"/>
                <w:color w:val="auto"/>
                <w:szCs w:val="21"/>
              </w:rPr>
            </w:pPr>
          </w:p>
        </w:tc>
      </w:tr>
      <w:tr w14:paraId="76334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23935B98">
            <w:pPr>
              <w:jc w:val="center"/>
              <w:rPr>
                <w:rFonts w:ascii="宋体" w:hAnsi="宋体"/>
                <w:color w:val="auto"/>
                <w:szCs w:val="21"/>
              </w:rPr>
            </w:pPr>
          </w:p>
        </w:tc>
        <w:tc>
          <w:tcPr>
            <w:tcW w:w="1418" w:type="dxa"/>
            <w:vAlign w:val="center"/>
          </w:tcPr>
          <w:p w14:paraId="4883FD6F">
            <w:pPr>
              <w:jc w:val="center"/>
              <w:rPr>
                <w:rFonts w:ascii="宋体" w:hAnsi="宋体"/>
                <w:color w:val="auto"/>
                <w:szCs w:val="21"/>
              </w:rPr>
            </w:pPr>
          </w:p>
        </w:tc>
        <w:tc>
          <w:tcPr>
            <w:tcW w:w="1063" w:type="dxa"/>
            <w:vAlign w:val="center"/>
          </w:tcPr>
          <w:p w14:paraId="5FC6DCCA">
            <w:pPr>
              <w:jc w:val="center"/>
              <w:rPr>
                <w:rFonts w:ascii="宋体" w:hAnsi="宋体"/>
                <w:color w:val="auto"/>
                <w:szCs w:val="21"/>
              </w:rPr>
            </w:pPr>
          </w:p>
        </w:tc>
        <w:tc>
          <w:tcPr>
            <w:tcW w:w="1063" w:type="dxa"/>
            <w:vAlign w:val="center"/>
          </w:tcPr>
          <w:p w14:paraId="531719EE">
            <w:pPr>
              <w:jc w:val="center"/>
              <w:rPr>
                <w:rFonts w:ascii="宋体" w:hAnsi="宋体"/>
                <w:color w:val="auto"/>
                <w:szCs w:val="21"/>
              </w:rPr>
            </w:pPr>
          </w:p>
        </w:tc>
        <w:tc>
          <w:tcPr>
            <w:tcW w:w="1063" w:type="dxa"/>
            <w:vAlign w:val="center"/>
          </w:tcPr>
          <w:p w14:paraId="7E5EC291">
            <w:pPr>
              <w:jc w:val="center"/>
              <w:rPr>
                <w:rFonts w:ascii="宋体" w:hAnsi="宋体"/>
                <w:color w:val="auto"/>
                <w:szCs w:val="21"/>
              </w:rPr>
            </w:pPr>
          </w:p>
        </w:tc>
        <w:tc>
          <w:tcPr>
            <w:tcW w:w="1063" w:type="dxa"/>
            <w:vAlign w:val="center"/>
          </w:tcPr>
          <w:p w14:paraId="5AAD7BF1">
            <w:pPr>
              <w:jc w:val="center"/>
              <w:rPr>
                <w:rFonts w:ascii="宋体" w:hAnsi="宋体"/>
                <w:color w:val="auto"/>
                <w:szCs w:val="21"/>
              </w:rPr>
            </w:pPr>
          </w:p>
        </w:tc>
        <w:tc>
          <w:tcPr>
            <w:tcW w:w="1063" w:type="dxa"/>
            <w:vAlign w:val="center"/>
          </w:tcPr>
          <w:p w14:paraId="29889E12">
            <w:pPr>
              <w:jc w:val="center"/>
              <w:rPr>
                <w:rFonts w:ascii="宋体" w:hAnsi="宋体"/>
                <w:color w:val="auto"/>
                <w:szCs w:val="21"/>
              </w:rPr>
            </w:pPr>
          </w:p>
        </w:tc>
        <w:tc>
          <w:tcPr>
            <w:tcW w:w="1063" w:type="dxa"/>
            <w:vAlign w:val="center"/>
          </w:tcPr>
          <w:p w14:paraId="3537C2DE">
            <w:pPr>
              <w:jc w:val="center"/>
              <w:rPr>
                <w:rFonts w:ascii="宋体" w:hAnsi="宋体"/>
                <w:color w:val="auto"/>
                <w:szCs w:val="21"/>
              </w:rPr>
            </w:pPr>
          </w:p>
        </w:tc>
      </w:tr>
    </w:tbl>
    <w:p w14:paraId="78DE52D2">
      <w:pPr>
        <w:spacing w:line="420" w:lineRule="exact"/>
        <w:rPr>
          <w:rFonts w:ascii="宋体" w:hAnsi="宋体"/>
          <w:color w:val="auto"/>
          <w:szCs w:val="21"/>
        </w:rPr>
      </w:pPr>
    </w:p>
    <w:p w14:paraId="7B96EE99">
      <w:pPr>
        <w:spacing w:line="420" w:lineRule="exact"/>
        <w:rPr>
          <w:rFonts w:ascii="宋体" w:hAnsi="宋体"/>
          <w:color w:val="auto"/>
          <w:szCs w:val="21"/>
        </w:rPr>
      </w:pPr>
      <w:r>
        <w:rPr>
          <w:rFonts w:ascii="宋体" w:hAnsi="宋体"/>
          <w:color w:val="auto"/>
          <w:szCs w:val="21"/>
        </w:rPr>
        <w:br w:type="page"/>
      </w:r>
    </w:p>
    <w:p w14:paraId="0A6C1B65">
      <w:pPr>
        <w:pStyle w:val="27"/>
        <w:rPr>
          <w:rFonts w:ascii="黑体" w:hAnsi="宋体"/>
          <w:color w:val="auto"/>
        </w:rPr>
      </w:pPr>
      <w:bookmarkStart w:id="2062" w:name="_Toc152264833"/>
      <w:bookmarkStart w:id="2063" w:name="_Toc3715"/>
      <w:r>
        <w:rPr>
          <w:rFonts w:hint="eastAsia"/>
          <w:color w:val="auto"/>
          <w:szCs w:val="24"/>
        </w:rPr>
        <w:t>附表四：计划开、竣工日期和施工进度网络图</w:t>
      </w:r>
      <w:bookmarkEnd w:id="2062"/>
      <w:bookmarkEnd w:id="2063"/>
    </w:p>
    <w:p w14:paraId="3B5F3F61">
      <w:pPr>
        <w:spacing w:line="420" w:lineRule="exact"/>
        <w:ind w:firstLine="420" w:firstLineChars="200"/>
        <w:rPr>
          <w:rFonts w:ascii="宋体" w:hAnsi="宋体"/>
          <w:color w:val="auto"/>
          <w:szCs w:val="21"/>
        </w:rPr>
      </w:pPr>
      <w:r>
        <w:rPr>
          <w:rFonts w:hint="eastAsia" w:ascii="宋体" w:hAnsi="宋体"/>
          <w:color w:val="auto"/>
          <w:szCs w:val="21"/>
        </w:rPr>
        <w:t>1.投标人应递交施工进度网络图或施工进度表，说明按招标文件要求的计划工期进行施工的各个关键日期。</w:t>
      </w:r>
    </w:p>
    <w:p w14:paraId="417F23EF">
      <w:pPr>
        <w:spacing w:line="420" w:lineRule="exact"/>
        <w:ind w:firstLine="420" w:firstLineChars="200"/>
        <w:rPr>
          <w:rFonts w:ascii="宋体" w:hAnsi="宋体"/>
          <w:color w:val="auto"/>
          <w:szCs w:val="21"/>
        </w:rPr>
      </w:pPr>
      <w:r>
        <w:rPr>
          <w:rFonts w:hint="eastAsia" w:ascii="宋体" w:hAnsi="宋体"/>
          <w:color w:val="auto"/>
          <w:szCs w:val="21"/>
        </w:rPr>
        <w:t>2.施工进度表可采用网络图和（或）横道图表示。</w:t>
      </w:r>
    </w:p>
    <w:p w14:paraId="5FA69929">
      <w:pPr>
        <w:spacing w:line="420" w:lineRule="exact"/>
        <w:ind w:firstLine="420" w:firstLineChars="200"/>
        <w:rPr>
          <w:rFonts w:ascii="宋体" w:hAnsi="宋体"/>
          <w:color w:val="auto"/>
          <w:szCs w:val="21"/>
        </w:rPr>
      </w:pPr>
    </w:p>
    <w:p w14:paraId="479FE372">
      <w:pPr>
        <w:spacing w:line="420" w:lineRule="exact"/>
        <w:ind w:firstLine="420" w:firstLineChars="200"/>
        <w:rPr>
          <w:rFonts w:ascii="宋体" w:hAnsi="宋体"/>
          <w:color w:val="auto"/>
          <w:szCs w:val="21"/>
        </w:rPr>
      </w:pPr>
    </w:p>
    <w:p w14:paraId="2F0E3DA5">
      <w:pPr>
        <w:spacing w:line="420" w:lineRule="exact"/>
        <w:ind w:firstLine="420" w:firstLineChars="200"/>
        <w:rPr>
          <w:rFonts w:ascii="宋体" w:hAnsi="宋体"/>
          <w:color w:val="auto"/>
          <w:szCs w:val="21"/>
        </w:rPr>
      </w:pPr>
    </w:p>
    <w:p w14:paraId="5258E90B">
      <w:pPr>
        <w:spacing w:line="420" w:lineRule="exact"/>
        <w:ind w:firstLine="420" w:firstLineChars="200"/>
        <w:rPr>
          <w:rFonts w:ascii="宋体" w:hAnsi="宋体"/>
          <w:color w:val="auto"/>
          <w:szCs w:val="21"/>
        </w:rPr>
      </w:pPr>
    </w:p>
    <w:p w14:paraId="3D29791A">
      <w:pPr>
        <w:spacing w:line="420" w:lineRule="exact"/>
        <w:ind w:firstLine="420" w:firstLineChars="200"/>
        <w:rPr>
          <w:rFonts w:ascii="宋体" w:hAnsi="宋体"/>
          <w:color w:val="auto"/>
          <w:szCs w:val="21"/>
        </w:rPr>
      </w:pPr>
    </w:p>
    <w:p w14:paraId="6574B340">
      <w:pPr>
        <w:spacing w:line="420" w:lineRule="exact"/>
        <w:ind w:firstLine="420" w:firstLineChars="200"/>
        <w:rPr>
          <w:rFonts w:ascii="宋体" w:hAnsi="宋体"/>
          <w:color w:val="auto"/>
          <w:szCs w:val="21"/>
        </w:rPr>
      </w:pPr>
    </w:p>
    <w:p w14:paraId="1BB96750">
      <w:pPr>
        <w:spacing w:line="420" w:lineRule="exact"/>
        <w:ind w:firstLine="420" w:firstLineChars="200"/>
        <w:rPr>
          <w:rFonts w:ascii="宋体" w:hAnsi="宋体"/>
          <w:color w:val="auto"/>
          <w:szCs w:val="21"/>
        </w:rPr>
      </w:pPr>
    </w:p>
    <w:p w14:paraId="2566FCD9">
      <w:pPr>
        <w:spacing w:line="420" w:lineRule="exact"/>
        <w:ind w:firstLine="420" w:firstLineChars="200"/>
        <w:rPr>
          <w:rFonts w:ascii="宋体" w:hAnsi="宋体"/>
          <w:color w:val="auto"/>
          <w:szCs w:val="21"/>
        </w:rPr>
      </w:pPr>
    </w:p>
    <w:p w14:paraId="68B3B080">
      <w:pPr>
        <w:spacing w:line="420" w:lineRule="exact"/>
        <w:ind w:firstLine="420" w:firstLineChars="200"/>
        <w:rPr>
          <w:rFonts w:ascii="宋体" w:hAnsi="宋体"/>
          <w:color w:val="auto"/>
          <w:szCs w:val="21"/>
        </w:rPr>
      </w:pPr>
    </w:p>
    <w:p w14:paraId="71B61E4A">
      <w:pPr>
        <w:spacing w:line="420" w:lineRule="exact"/>
        <w:ind w:firstLine="420" w:firstLineChars="200"/>
        <w:rPr>
          <w:rFonts w:ascii="宋体" w:hAnsi="宋体"/>
          <w:color w:val="auto"/>
          <w:szCs w:val="21"/>
        </w:rPr>
      </w:pPr>
      <w:r>
        <w:rPr>
          <w:rFonts w:ascii="宋体" w:hAnsi="宋体"/>
          <w:color w:val="auto"/>
          <w:szCs w:val="21"/>
        </w:rPr>
        <w:br w:type="page"/>
      </w:r>
    </w:p>
    <w:p w14:paraId="5FDEFE17">
      <w:pPr>
        <w:pStyle w:val="27"/>
        <w:rPr>
          <w:rFonts w:ascii="宋体" w:hAnsi="宋体"/>
          <w:color w:val="auto"/>
          <w:szCs w:val="21"/>
        </w:rPr>
      </w:pPr>
      <w:bookmarkStart w:id="2064" w:name="_Toc152264834"/>
      <w:bookmarkStart w:id="2065" w:name="_Toc2761"/>
      <w:r>
        <w:rPr>
          <w:rFonts w:hint="eastAsia"/>
          <w:color w:val="auto"/>
          <w:szCs w:val="24"/>
        </w:rPr>
        <w:t>附表五：施工总平面图</w:t>
      </w:r>
      <w:bookmarkEnd w:id="2064"/>
      <w:bookmarkEnd w:id="2065"/>
    </w:p>
    <w:p w14:paraId="1F78C191">
      <w:pPr>
        <w:spacing w:line="420" w:lineRule="exact"/>
        <w:ind w:firstLine="420" w:firstLineChars="200"/>
        <w:rPr>
          <w:rFonts w:ascii="宋体" w:hAnsi="宋体"/>
          <w:color w:val="auto"/>
          <w:szCs w:val="21"/>
        </w:rPr>
      </w:pPr>
      <w:r>
        <w:rPr>
          <w:rFonts w:hint="eastAsia" w:ascii="宋体" w:hAnsi="宋体"/>
          <w:color w:val="auto"/>
          <w:szCs w:val="21"/>
        </w:rPr>
        <w:t>投标人应递交一份施工总平面图，绘出现场临时设施布置图表并附文字说明，说明临时设施、加工车间、现场办公、设备及仓储、供电、供水、卫生、生活、道路、消防等设施的情况和布置。</w:t>
      </w:r>
    </w:p>
    <w:p w14:paraId="4197A1BE">
      <w:pPr>
        <w:spacing w:line="420" w:lineRule="exact"/>
        <w:ind w:firstLine="420" w:firstLineChars="200"/>
        <w:rPr>
          <w:rFonts w:ascii="宋体" w:hAnsi="宋体"/>
          <w:color w:val="auto"/>
          <w:szCs w:val="21"/>
        </w:rPr>
      </w:pPr>
    </w:p>
    <w:p w14:paraId="16628ABF">
      <w:pPr>
        <w:spacing w:line="420" w:lineRule="exact"/>
        <w:ind w:firstLine="420" w:firstLineChars="200"/>
        <w:rPr>
          <w:rFonts w:ascii="宋体" w:hAnsi="宋体"/>
          <w:color w:val="auto"/>
          <w:szCs w:val="21"/>
        </w:rPr>
      </w:pPr>
    </w:p>
    <w:p w14:paraId="4B19C3A0">
      <w:pPr>
        <w:spacing w:line="420" w:lineRule="exact"/>
        <w:ind w:firstLine="420" w:firstLineChars="200"/>
        <w:rPr>
          <w:rFonts w:ascii="宋体" w:hAnsi="宋体"/>
          <w:color w:val="auto"/>
          <w:szCs w:val="21"/>
        </w:rPr>
      </w:pPr>
    </w:p>
    <w:p w14:paraId="3E741E0B">
      <w:pPr>
        <w:spacing w:line="420" w:lineRule="exact"/>
        <w:ind w:firstLine="420" w:firstLineChars="200"/>
        <w:rPr>
          <w:rFonts w:ascii="宋体" w:hAnsi="宋体"/>
          <w:color w:val="auto"/>
          <w:szCs w:val="21"/>
        </w:rPr>
      </w:pPr>
    </w:p>
    <w:p w14:paraId="2DB5BA6F">
      <w:pPr>
        <w:spacing w:line="420" w:lineRule="exact"/>
        <w:ind w:firstLine="420" w:firstLineChars="200"/>
        <w:rPr>
          <w:rFonts w:ascii="宋体" w:hAnsi="宋体"/>
          <w:color w:val="auto"/>
          <w:szCs w:val="21"/>
        </w:rPr>
      </w:pPr>
      <w:r>
        <w:rPr>
          <w:rFonts w:ascii="宋体" w:hAnsi="宋体"/>
          <w:color w:val="auto"/>
          <w:szCs w:val="21"/>
        </w:rPr>
        <w:br w:type="page"/>
      </w:r>
    </w:p>
    <w:p w14:paraId="30CF6A05">
      <w:pPr>
        <w:pStyle w:val="27"/>
        <w:rPr>
          <w:rFonts w:ascii="黑体" w:hAnsi="宋体"/>
          <w:color w:val="auto"/>
        </w:rPr>
      </w:pPr>
      <w:bookmarkStart w:id="2066" w:name="_Toc152264835"/>
      <w:bookmarkStart w:id="2067" w:name="_Toc25068"/>
      <w:r>
        <w:rPr>
          <w:rFonts w:hint="eastAsia"/>
          <w:color w:val="auto"/>
          <w:szCs w:val="24"/>
        </w:rPr>
        <w:t>附表六：临时用地表</w:t>
      </w:r>
      <w:bookmarkEnd w:id="2066"/>
      <w:bookmarkEnd w:id="2067"/>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43"/>
        <w:gridCol w:w="2059"/>
        <w:gridCol w:w="2056"/>
        <w:gridCol w:w="2056"/>
      </w:tblGrid>
      <w:tr w14:paraId="2A628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vAlign w:val="center"/>
          </w:tcPr>
          <w:p w14:paraId="54B0E2FB">
            <w:pPr>
              <w:jc w:val="center"/>
              <w:rPr>
                <w:rFonts w:ascii="宋体" w:hAnsi="宋体"/>
                <w:color w:val="auto"/>
                <w:szCs w:val="21"/>
              </w:rPr>
            </w:pPr>
            <w:r>
              <w:rPr>
                <w:rFonts w:hint="eastAsia" w:ascii="宋体" w:hAnsi="宋体"/>
                <w:color w:val="auto"/>
                <w:szCs w:val="21"/>
              </w:rPr>
              <w:t>用  途</w:t>
            </w:r>
          </w:p>
        </w:tc>
        <w:tc>
          <w:tcPr>
            <w:tcW w:w="2079" w:type="dxa"/>
            <w:vAlign w:val="center"/>
          </w:tcPr>
          <w:p w14:paraId="56904613">
            <w:pPr>
              <w:jc w:val="center"/>
              <w:rPr>
                <w:rFonts w:ascii="宋体" w:hAnsi="宋体"/>
                <w:color w:val="auto"/>
                <w:szCs w:val="21"/>
              </w:rPr>
            </w:pPr>
            <w:r>
              <w:rPr>
                <w:rFonts w:hint="eastAsia" w:ascii="宋体" w:hAnsi="宋体"/>
                <w:color w:val="auto"/>
                <w:szCs w:val="21"/>
              </w:rPr>
              <w:t>面 积（平方米）</w:t>
            </w:r>
          </w:p>
        </w:tc>
        <w:tc>
          <w:tcPr>
            <w:tcW w:w="2079" w:type="dxa"/>
            <w:vAlign w:val="center"/>
          </w:tcPr>
          <w:p w14:paraId="1A948C39">
            <w:pPr>
              <w:jc w:val="center"/>
              <w:rPr>
                <w:rFonts w:ascii="宋体" w:hAnsi="宋体"/>
                <w:color w:val="auto"/>
                <w:szCs w:val="21"/>
              </w:rPr>
            </w:pPr>
            <w:r>
              <w:rPr>
                <w:rFonts w:hint="eastAsia" w:ascii="宋体" w:hAnsi="宋体"/>
                <w:color w:val="auto"/>
                <w:szCs w:val="21"/>
              </w:rPr>
              <w:t>位  置</w:t>
            </w:r>
          </w:p>
        </w:tc>
        <w:tc>
          <w:tcPr>
            <w:tcW w:w="2079" w:type="dxa"/>
            <w:vAlign w:val="center"/>
          </w:tcPr>
          <w:p w14:paraId="51F1E77C">
            <w:pPr>
              <w:jc w:val="center"/>
              <w:rPr>
                <w:rFonts w:ascii="宋体" w:hAnsi="宋体"/>
                <w:color w:val="auto"/>
                <w:szCs w:val="21"/>
              </w:rPr>
            </w:pPr>
            <w:r>
              <w:rPr>
                <w:rFonts w:hint="eastAsia" w:ascii="宋体" w:hAnsi="宋体"/>
                <w:color w:val="auto"/>
                <w:szCs w:val="21"/>
              </w:rPr>
              <w:t>需用时间</w:t>
            </w:r>
          </w:p>
        </w:tc>
      </w:tr>
      <w:tr w14:paraId="3BA80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4406CE85">
            <w:pPr>
              <w:rPr>
                <w:rFonts w:ascii="宋体" w:hAnsi="宋体"/>
                <w:color w:val="auto"/>
                <w:szCs w:val="21"/>
              </w:rPr>
            </w:pPr>
          </w:p>
        </w:tc>
        <w:tc>
          <w:tcPr>
            <w:tcW w:w="2079" w:type="dxa"/>
          </w:tcPr>
          <w:p w14:paraId="02EE16F1">
            <w:pPr>
              <w:rPr>
                <w:rFonts w:ascii="宋体" w:hAnsi="宋体"/>
                <w:color w:val="auto"/>
                <w:szCs w:val="21"/>
              </w:rPr>
            </w:pPr>
          </w:p>
        </w:tc>
        <w:tc>
          <w:tcPr>
            <w:tcW w:w="2079" w:type="dxa"/>
          </w:tcPr>
          <w:p w14:paraId="54CCA36E">
            <w:pPr>
              <w:rPr>
                <w:rFonts w:ascii="宋体" w:hAnsi="宋体"/>
                <w:color w:val="auto"/>
                <w:szCs w:val="21"/>
              </w:rPr>
            </w:pPr>
          </w:p>
        </w:tc>
        <w:tc>
          <w:tcPr>
            <w:tcW w:w="2079" w:type="dxa"/>
          </w:tcPr>
          <w:p w14:paraId="09B99B1B">
            <w:pPr>
              <w:rPr>
                <w:rFonts w:ascii="宋体" w:hAnsi="宋体"/>
                <w:color w:val="auto"/>
                <w:szCs w:val="21"/>
              </w:rPr>
            </w:pPr>
          </w:p>
        </w:tc>
      </w:tr>
      <w:tr w14:paraId="24AAC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55A57FB9">
            <w:pPr>
              <w:rPr>
                <w:rFonts w:ascii="宋体" w:hAnsi="宋体"/>
                <w:color w:val="auto"/>
                <w:szCs w:val="21"/>
              </w:rPr>
            </w:pPr>
          </w:p>
        </w:tc>
        <w:tc>
          <w:tcPr>
            <w:tcW w:w="2079" w:type="dxa"/>
          </w:tcPr>
          <w:p w14:paraId="560D6776">
            <w:pPr>
              <w:rPr>
                <w:rFonts w:ascii="宋体" w:hAnsi="宋体"/>
                <w:color w:val="auto"/>
                <w:szCs w:val="21"/>
              </w:rPr>
            </w:pPr>
          </w:p>
        </w:tc>
        <w:tc>
          <w:tcPr>
            <w:tcW w:w="2079" w:type="dxa"/>
          </w:tcPr>
          <w:p w14:paraId="16D93D6E">
            <w:pPr>
              <w:rPr>
                <w:rFonts w:ascii="宋体" w:hAnsi="宋体"/>
                <w:color w:val="auto"/>
                <w:szCs w:val="21"/>
              </w:rPr>
            </w:pPr>
          </w:p>
        </w:tc>
        <w:tc>
          <w:tcPr>
            <w:tcW w:w="2079" w:type="dxa"/>
          </w:tcPr>
          <w:p w14:paraId="31AE9367">
            <w:pPr>
              <w:rPr>
                <w:rFonts w:ascii="宋体" w:hAnsi="宋体"/>
                <w:color w:val="auto"/>
                <w:szCs w:val="21"/>
              </w:rPr>
            </w:pPr>
          </w:p>
        </w:tc>
      </w:tr>
      <w:tr w14:paraId="12EA3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6433BCF6">
            <w:pPr>
              <w:rPr>
                <w:rFonts w:ascii="宋体" w:hAnsi="宋体"/>
                <w:color w:val="auto"/>
                <w:szCs w:val="21"/>
              </w:rPr>
            </w:pPr>
          </w:p>
        </w:tc>
        <w:tc>
          <w:tcPr>
            <w:tcW w:w="2079" w:type="dxa"/>
          </w:tcPr>
          <w:p w14:paraId="1521F4BB">
            <w:pPr>
              <w:rPr>
                <w:rFonts w:ascii="宋体" w:hAnsi="宋体"/>
                <w:color w:val="auto"/>
                <w:szCs w:val="21"/>
              </w:rPr>
            </w:pPr>
          </w:p>
        </w:tc>
        <w:tc>
          <w:tcPr>
            <w:tcW w:w="2079" w:type="dxa"/>
          </w:tcPr>
          <w:p w14:paraId="4E1AECB9">
            <w:pPr>
              <w:rPr>
                <w:rFonts w:ascii="宋体" w:hAnsi="宋体"/>
                <w:color w:val="auto"/>
                <w:szCs w:val="21"/>
              </w:rPr>
            </w:pPr>
          </w:p>
        </w:tc>
        <w:tc>
          <w:tcPr>
            <w:tcW w:w="2079" w:type="dxa"/>
          </w:tcPr>
          <w:p w14:paraId="270FE9F7">
            <w:pPr>
              <w:rPr>
                <w:rFonts w:ascii="宋体" w:hAnsi="宋体"/>
                <w:color w:val="auto"/>
                <w:szCs w:val="21"/>
              </w:rPr>
            </w:pPr>
          </w:p>
        </w:tc>
      </w:tr>
      <w:tr w14:paraId="4E00F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616698F7">
            <w:pPr>
              <w:rPr>
                <w:rFonts w:ascii="宋体" w:hAnsi="宋体"/>
                <w:color w:val="auto"/>
                <w:szCs w:val="21"/>
              </w:rPr>
            </w:pPr>
          </w:p>
        </w:tc>
        <w:tc>
          <w:tcPr>
            <w:tcW w:w="2079" w:type="dxa"/>
          </w:tcPr>
          <w:p w14:paraId="0026A6C2">
            <w:pPr>
              <w:rPr>
                <w:rFonts w:ascii="宋体" w:hAnsi="宋体"/>
                <w:color w:val="auto"/>
                <w:szCs w:val="21"/>
              </w:rPr>
            </w:pPr>
          </w:p>
        </w:tc>
        <w:tc>
          <w:tcPr>
            <w:tcW w:w="2079" w:type="dxa"/>
          </w:tcPr>
          <w:p w14:paraId="008EA253">
            <w:pPr>
              <w:rPr>
                <w:rFonts w:ascii="宋体" w:hAnsi="宋体"/>
                <w:color w:val="auto"/>
                <w:szCs w:val="21"/>
              </w:rPr>
            </w:pPr>
          </w:p>
        </w:tc>
        <w:tc>
          <w:tcPr>
            <w:tcW w:w="2079" w:type="dxa"/>
          </w:tcPr>
          <w:p w14:paraId="404E63F0">
            <w:pPr>
              <w:rPr>
                <w:rFonts w:ascii="宋体" w:hAnsi="宋体"/>
                <w:color w:val="auto"/>
                <w:szCs w:val="21"/>
              </w:rPr>
            </w:pPr>
          </w:p>
        </w:tc>
      </w:tr>
      <w:tr w14:paraId="1EDF3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32A6A62B">
            <w:pPr>
              <w:rPr>
                <w:rFonts w:ascii="宋体" w:hAnsi="宋体"/>
                <w:color w:val="auto"/>
                <w:szCs w:val="21"/>
              </w:rPr>
            </w:pPr>
          </w:p>
        </w:tc>
        <w:tc>
          <w:tcPr>
            <w:tcW w:w="2079" w:type="dxa"/>
          </w:tcPr>
          <w:p w14:paraId="0E7BF3E7">
            <w:pPr>
              <w:rPr>
                <w:rFonts w:ascii="宋体" w:hAnsi="宋体"/>
                <w:color w:val="auto"/>
                <w:szCs w:val="21"/>
              </w:rPr>
            </w:pPr>
          </w:p>
        </w:tc>
        <w:tc>
          <w:tcPr>
            <w:tcW w:w="2079" w:type="dxa"/>
          </w:tcPr>
          <w:p w14:paraId="255C1ACA">
            <w:pPr>
              <w:rPr>
                <w:rFonts w:ascii="宋体" w:hAnsi="宋体"/>
                <w:color w:val="auto"/>
                <w:szCs w:val="21"/>
              </w:rPr>
            </w:pPr>
          </w:p>
        </w:tc>
        <w:tc>
          <w:tcPr>
            <w:tcW w:w="2079" w:type="dxa"/>
          </w:tcPr>
          <w:p w14:paraId="3E970566">
            <w:pPr>
              <w:rPr>
                <w:rFonts w:ascii="宋体" w:hAnsi="宋体"/>
                <w:color w:val="auto"/>
                <w:szCs w:val="21"/>
              </w:rPr>
            </w:pPr>
          </w:p>
        </w:tc>
      </w:tr>
      <w:tr w14:paraId="547AF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0633BA87">
            <w:pPr>
              <w:rPr>
                <w:rFonts w:ascii="宋体" w:hAnsi="宋体"/>
                <w:color w:val="auto"/>
                <w:szCs w:val="21"/>
              </w:rPr>
            </w:pPr>
          </w:p>
        </w:tc>
        <w:tc>
          <w:tcPr>
            <w:tcW w:w="2079" w:type="dxa"/>
          </w:tcPr>
          <w:p w14:paraId="539104B7">
            <w:pPr>
              <w:rPr>
                <w:rFonts w:ascii="宋体" w:hAnsi="宋体"/>
                <w:color w:val="auto"/>
                <w:szCs w:val="21"/>
              </w:rPr>
            </w:pPr>
          </w:p>
        </w:tc>
        <w:tc>
          <w:tcPr>
            <w:tcW w:w="2079" w:type="dxa"/>
          </w:tcPr>
          <w:p w14:paraId="1CBE3F92">
            <w:pPr>
              <w:rPr>
                <w:rFonts w:ascii="宋体" w:hAnsi="宋体"/>
                <w:color w:val="auto"/>
                <w:szCs w:val="21"/>
              </w:rPr>
            </w:pPr>
          </w:p>
        </w:tc>
        <w:tc>
          <w:tcPr>
            <w:tcW w:w="2079" w:type="dxa"/>
          </w:tcPr>
          <w:p w14:paraId="3D008521">
            <w:pPr>
              <w:rPr>
                <w:rFonts w:ascii="宋体" w:hAnsi="宋体"/>
                <w:color w:val="auto"/>
                <w:szCs w:val="21"/>
              </w:rPr>
            </w:pPr>
          </w:p>
        </w:tc>
      </w:tr>
      <w:tr w14:paraId="731CE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2BC5F7B3">
            <w:pPr>
              <w:rPr>
                <w:rFonts w:ascii="宋体" w:hAnsi="宋体"/>
                <w:color w:val="auto"/>
                <w:szCs w:val="21"/>
              </w:rPr>
            </w:pPr>
          </w:p>
        </w:tc>
        <w:tc>
          <w:tcPr>
            <w:tcW w:w="2079" w:type="dxa"/>
          </w:tcPr>
          <w:p w14:paraId="3DF22653">
            <w:pPr>
              <w:rPr>
                <w:rFonts w:ascii="宋体" w:hAnsi="宋体"/>
                <w:color w:val="auto"/>
                <w:szCs w:val="21"/>
              </w:rPr>
            </w:pPr>
          </w:p>
        </w:tc>
        <w:tc>
          <w:tcPr>
            <w:tcW w:w="2079" w:type="dxa"/>
          </w:tcPr>
          <w:p w14:paraId="3CF5DFB7">
            <w:pPr>
              <w:rPr>
                <w:rFonts w:ascii="宋体" w:hAnsi="宋体"/>
                <w:color w:val="auto"/>
                <w:szCs w:val="21"/>
              </w:rPr>
            </w:pPr>
          </w:p>
        </w:tc>
        <w:tc>
          <w:tcPr>
            <w:tcW w:w="2079" w:type="dxa"/>
          </w:tcPr>
          <w:p w14:paraId="3B1182E1">
            <w:pPr>
              <w:rPr>
                <w:rFonts w:ascii="宋体" w:hAnsi="宋体"/>
                <w:color w:val="auto"/>
                <w:szCs w:val="21"/>
              </w:rPr>
            </w:pPr>
          </w:p>
        </w:tc>
      </w:tr>
      <w:tr w14:paraId="47E20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1DC4596C">
            <w:pPr>
              <w:rPr>
                <w:rFonts w:ascii="宋体" w:hAnsi="宋体"/>
                <w:color w:val="auto"/>
                <w:szCs w:val="21"/>
              </w:rPr>
            </w:pPr>
          </w:p>
        </w:tc>
        <w:tc>
          <w:tcPr>
            <w:tcW w:w="2079" w:type="dxa"/>
          </w:tcPr>
          <w:p w14:paraId="7EFEFED5">
            <w:pPr>
              <w:rPr>
                <w:rFonts w:ascii="宋体" w:hAnsi="宋体"/>
                <w:color w:val="auto"/>
                <w:szCs w:val="21"/>
              </w:rPr>
            </w:pPr>
          </w:p>
        </w:tc>
        <w:tc>
          <w:tcPr>
            <w:tcW w:w="2079" w:type="dxa"/>
          </w:tcPr>
          <w:p w14:paraId="75341E70">
            <w:pPr>
              <w:rPr>
                <w:rFonts w:ascii="宋体" w:hAnsi="宋体"/>
                <w:color w:val="auto"/>
                <w:szCs w:val="21"/>
              </w:rPr>
            </w:pPr>
          </w:p>
        </w:tc>
        <w:tc>
          <w:tcPr>
            <w:tcW w:w="2079" w:type="dxa"/>
          </w:tcPr>
          <w:p w14:paraId="4A701B45">
            <w:pPr>
              <w:rPr>
                <w:rFonts w:ascii="宋体" w:hAnsi="宋体"/>
                <w:color w:val="auto"/>
                <w:szCs w:val="21"/>
              </w:rPr>
            </w:pPr>
          </w:p>
        </w:tc>
      </w:tr>
      <w:tr w14:paraId="56164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1F306A69">
            <w:pPr>
              <w:rPr>
                <w:rFonts w:ascii="宋体" w:hAnsi="宋体"/>
                <w:color w:val="auto"/>
                <w:szCs w:val="21"/>
              </w:rPr>
            </w:pPr>
          </w:p>
        </w:tc>
        <w:tc>
          <w:tcPr>
            <w:tcW w:w="2079" w:type="dxa"/>
          </w:tcPr>
          <w:p w14:paraId="53BC5CC9">
            <w:pPr>
              <w:rPr>
                <w:rFonts w:ascii="宋体" w:hAnsi="宋体"/>
                <w:color w:val="auto"/>
                <w:szCs w:val="21"/>
              </w:rPr>
            </w:pPr>
          </w:p>
        </w:tc>
        <w:tc>
          <w:tcPr>
            <w:tcW w:w="2079" w:type="dxa"/>
          </w:tcPr>
          <w:p w14:paraId="7AFC837A">
            <w:pPr>
              <w:rPr>
                <w:rFonts w:ascii="宋体" w:hAnsi="宋体"/>
                <w:color w:val="auto"/>
                <w:szCs w:val="21"/>
              </w:rPr>
            </w:pPr>
          </w:p>
        </w:tc>
        <w:tc>
          <w:tcPr>
            <w:tcW w:w="2079" w:type="dxa"/>
          </w:tcPr>
          <w:p w14:paraId="1E6A9DBC">
            <w:pPr>
              <w:rPr>
                <w:rFonts w:ascii="宋体" w:hAnsi="宋体"/>
                <w:color w:val="auto"/>
                <w:szCs w:val="21"/>
              </w:rPr>
            </w:pPr>
          </w:p>
        </w:tc>
      </w:tr>
      <w:tr w14:paraId="2D0CD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1B465F8D">
            <w:pPr>
              <w:rPr>
                <w:rFonts w:ascii="宋体" w:hAnsi="宋体"/>
                <w:color w:val="auto"/>
                <w:szCs w:val="21"/>
              </w:rPr>
            </w:pPr>
          </w:p>
        </w:tc>
        <w:tc>
          <w:tcPr>
            <w:tcW w:w="2079" w:type="dxa"/>
          </w:tcPr>
          <w:p w14:paraId="5F704433">
            <w:pPr>
              <w:rPr>
                <w:rFonts w:ascii="宋体" w:hAnsi="宋体"/>
                <w:color w:val="auto"/>
                <w:szCs w:val="21"/>
              </w:rPr>
            </w:pPr>
          </w:p>
        </w:tc>
        <w:tc>
          <w:tcPr>
            <w:tcW w:w="2079" w:type="dxa"/>
          </w:tcPr>
          <w:p w14:paraId="37CD5CBA">
            <w:pPr>
              <w:rPr>
                <w:rFonts w:ascii="宋体" w:hAnsi="宋体"/>
                <w:color w:val="auto"/>
                <w:szCs w:val="21"/>
              </w:rPr>
            </w:pPr>
          </w:p>
        </w:tc>
        <w:tc>
          <w:tcPr>
            <w:tcW w:w="2079" w:type="dxa"/>
          </w:tcPr>
          <w:p w14:paraId="742F5E46">
            <w:pPr>
              <w:rPr>
                <w:rFonts w:ascii="宋体" w:hAnsi="宋体"/>
                <w:color w:val="auto"/>
                <w:szCs w:val="21"/>
              </w:rPr>
            </w:pPr>
          </w:p>
        </w:tc>
      </w:tr>
      <w:tr w14:paraId="1B798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7DCD314F">
            <w:pPr>
              <w:rPr>
                <w:rFonts w:ascii="宋体" w:hAnsi="宋体"/>
                <w:color w:val="auto"/>
                <w:szCs w:val="21"/>
              </w:rPr>
            </w:pPr>
          </w:p>
        </w:tc>
        <w:tc>
          <w:tcPr>
            <w:tcW w:w="2079" w:type="dxa"/>
          </w:tcPr>
          <w:p w14:paraId="6D94A9FB">
            <w:pPr>
              <w:rPr>
                <w:rFonts w:ascii="宋体" w:hAnsi="宋体"/>
                <w:color w:val="auto"/>
                <w:szCs w:val="21"/>
              </w:rPr>
            </w:pPr>
          </w:p>
        </w:tc>
        <w:tc>
          <w:tcPr>
            <w:tcW w:w="2079" w:type="dxa"/>
          </w:tcPr>
          <w:p w14:paraId="474302A4">
            <w:pPr>
              <w:rPr>
                <w:rFonts w:ascii="宋体" w:hAnsi="宋体"/>
                <w:color w:val="auto"/>
                <w:szCs w:val="21"/>
              </w:rPr>
            </w:pPr>
          </w:p>
        </w:tc>
        <w:tc>
          <w:tcPr>
            <w:tcW w:w="2079" w:type="dxa"/>
          </w:tcPr>
          <w:p w14:paraId="5EB061B6">
            <w:pPr>
              <w:rPr>
                <w:rFonts w:ascii="宋体" w:hAnsi="宋体"/>
                <w:color w:val="auto"/>
                <w:szCs w:val="21"/>
              </w:rPr>
            </w:pPr>
          </w:p>
        </w:tc>
      </w:tr>
      <w:tr w14:paraId="46F24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03CE7C90">
            <w:pPr>
              <w:rPr>
                <w:rFonts w:ascii="宋体" w:hAnsi="宋体"/>
                <w:color w:val="auto"/>
                <w:szCs w:val="21"/>
              </w:rPr>
            </w:pPr>
          </w:p>
        </w:tc>
        <w:tc>
          <w:tcPr>
            <w:tcW w:w="2079" w:type="dxa"/>
          </w:tcPr>
          <w:p w14:paraId="19B2384C">
            <w:pPr>
              <w:rPr>
                <w:rFonts w:ascii="宋体" w:hAnsi="宋体"/>
                <w:color w:val="auto"/>
                <w:szCs w:val="21"/>
              </w:rPr>
            </w:pPr>
          </w:p>
        </w:tc>
        <w:tc>
          <w:tcPr>
            <w:tcW w:w="2079" w:type="dxa"/>
          </w:tcPr>
          <w:p w14:paraId="6B13ED88">
            <w:pPr>
              <w:rPr>
                <w:rFonts w:ascii="宋体" w:hAnsi="宋体"/>
                <w:color w:val="auto"/>
                <w:szCs w:val="21"/>
              </w:rPr>
            </w:pPr>
          </w:p>
        </w:tc>
        <w:tc>
          <w:tcPr>
            <w:tcW w:w="2079" w:type="dxa"/>
          </w:tcPr>
          <w:p w14:paraId="7DF122CD">
            <w:pPr>
              <w:rPr>
                <w:rFonts w:ascii="宋体" w:hAnsi="宋体"/>
                <w:color w:val="auto"/>
                <w:szCs w:val="21"/>
              </w:rPr>
            </w:pPr>
          </w:p>
        </w:tc>
      </w:tr>
      <w:tr w14:paraId="06C1C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1074440B">
            <w:pPr>
              <w:rPr>
                <w:rFonts w:ascii="宋体" w:hAnsi="宋体"/>
                <w:color w:val="auto"/>
                <w:szCs w:val="21"/>
              </w:rPr>
            </w:pPr>
          </w:p>
        </w:tc>
        <w:tc>
          <w:tcPr>
            <w:tcW w:w="2079" w:type="dxa"/>
          </w:tcPr>
          <w:p w14:paraId="6A7EF446">
            <w:pPr>
              <w:rPr>
                <w:rFonts w:ascii="宋体" w:hAnsi="宋体"/>
                <w:color w:val="auto"/>
                <w:szCs w:val="21"/>
              </w:rPr>
            </w:pPr>
          </w:p>
        </w:tc>
        <w:tc>
          <w:tcPr>
            <w:tcW w:w="2079" w:type="dxa"/>
          </w:tcPr>
          <w:p w14:paraId="51705612">
            <w:pPr>
              <w:rPr>
                <w:rFonts w:ascii="宋体" w:hAnsi="宋体"/>
                <w:color w:val="auto"/>
                <w:szCs w:val="21"/>
              </w:rPr>
            </w:pPr>
          </w:p>
        </w:tc>
        <w:tc>
          <w:tcPr>
            <w:tcW w:w="2079" w:type="dxa"/>
          </w:tcPr>
          <w:p w14:paraId="601AF3EE">
            <w:pPr>
              <w:rPr>
                <w:rFonts w:ascii="宋体" w:hAnsi="宋体"/>
                <w:color w:val="auto"/>
                <w:szCs w:val="21"/>
              </w:rPr>
            </w:pPr>
          </w:p>
        </w:tc>
      </w:tr>
      <w:tr w14:paraId="354C0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202B9F8F">
            <w:pPr>
              <w:rPr>
                <w:rFonts w:ascii="宋体" w:hAnsi="宋体"/>
                <w:color w:val="auto"/>
                <w:szCs w:val="21"/>
              </w:rPr>
            </w:pPr>
          </w:p>
        </w:tc>
        <w:tc>
          <w:tcPr>
            <w:tcW w:w="2079" w:type="dxa"/>
          </w:tcPr>
          <w:p w14:paraId="1AB2758F">
            <w:pPr>
              <w:rPr>
                <w:rFonts w:ascii="宋体" w:hAnsi="宋体"/>
                <w:color w:val="auto"/>
                <w:szCs w:val="21"/>
              </w:rPr>
            </w:pPr>
          </w:p>
        </w:tc>
        <w:tc>
          <w:tcPr>
            <w:tcW w:w="2079" w:type="dxa"/>
          </w:tcPr>
          <w:p w14:paraId="0714095B">
            <w:pPr>
              <w:rPr>
                <w:rFonts w:ascii="宋体" w:hAnsi="宋体"/>
                <w:color w:val="auto"/>
                <w:szCs w:val="21"/>
              </w:rPr>
            </w:pPr>
          </w:p>
        </w:tc>
        <w:tc>
          <w:tcPr>
            <w:tcW w:w="2079" w:type="dxa"/>
          </w:tcPr>
          <w:p w14:paraId="345F9BFD">
            <w:pPr>
              <w:rPr>
                <w:rFonts w:ascii="宋体" w:hAnsi="宋体"/>
                <w:color w:val="auto"/>
                <w:szCs w:val="21"/>
              </w:rPr>
            </w:pPr>
          </w:p>
        </w:tc>
      </w:tr>
      <w:tr w14:paraId="5BA07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47BC4784">
            <w:pPr>
              <w:rPr>
                <w:rFonts w:ascii="宋体" w:hAnsi="宋体"/>
                <w:color w:val="auto"/>
                <w:szCs w:val="21"/>
              </w:rPr>
            </w:pPr>
          </w:p>
        </w:tc>
        <w:tc>
          <w:tcPr>
            <w:tcW w:w="2079" w:type="dxa"/>
          </w:tcPr>
          <w:p w14:paraId="18F55324">
            <w:pPr>
              <w:rPr>
                <w:rFonts w:ascii="宋体" w:hAnsi="宋体"/>
                <w:color w:val="auto"/>
                <w:szCs w:val="21"/>
              </w:rPr>
            </w:pPr>
          </w:p>
        </w:tc>
        <w:tc>
          <w:tcPr>
            <w:tcW w:w="2079" w:type="dxa"/>
          </w:tcPr>
          <w:p w14:paraId="420EA8C2">
            <w:pPr>
              <w:rPr>
                <w:rFonts w:ascii="宋体" w:hAnsi="宋体"/>
                <w:color w:val="auto"/>
                <w:szCs w:val="21"/>
              </w:rPr>
            </w:pPr>
          </w:p>
        </w:tc>
        <w:tc>
          <w:tcPr>
            <w:tcW w:w="2079" w:type="dxa"/>
          </w:tcPr>
          <w:p w14:paraId="5EEA5C91">
            <w:pPr>
              <w:rPr>
                <w:rFonts w:ascii="宋体" w:hAnsi="宋体"/>
                <w:color w:val="auto"/>
                <w:szCs w:val="21"/>
              </w:rPr>
            </w:pPr>
          </w:p>
        </w:tc>
      </w:tr>
      <w:tr w14:paraId="04130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748AA3D7">
            <w:pPr>
              <w:rPr>
                <w:rFonts w:ascii="宋体" w:hAnsi="宋体"/>
                <w:color w:val="auto"/>
                <w:szCs w:val="21"/>
              </w:rPr>
            </w:pPr>
          </w:p>
        </w:tc>
        <w:tc>
          <w:tcPr>
            <w:tcW w:w="2079" w:type="dxa"/>
          </w:tcPr>
          <w:p w14:paraId="6C4FE65B">
            <w:pPr>
              <w:rPr>
                <w:rFonts w:ascii="宋体" w:hAnsi="宋体"/>
                <w:color w:val="auto"/>
                <w:szCs w:val="21"/>
              </w:rPr>
            </w:pPr>
          </w:p>
        </w:tc>
        <w:tc>
          <w:tcPr>
            <w:tcW w:w="2079" w:type="dxa"/>
          </w:tcPr>
          <w:p w14:paraId="26F42AAD">
            <w:pPr>
              <w:rPr>
                <w:rFonts w:ascii="宋体" w:hAnsi="宋体"/>
                <w:color w:val="auto"/>
                <w:szCs w:val="21"/>
              </w:rPr>
            </w:pPr>
          </w:p>
        </w:tc>
        <w:tc>
          <w:tcPr>
            <w:tcW w:w="2079" w:type="dxa"/>
          </w:tcPr>
          <w:p w14:paraId="7D749F7A">
            <w:pPr>
              <w:rPr>
                <w:rFonts w:ascii="宋体" w:hAnsi="宋体"/>
                <w:color w:val="auto"/>
                <w:szCs w:val="21"/>
              </w:rPr>
            </w:pPr>
          </w:p>
        </w:tc>
      </w:tr>
      <w:tr w14:paraId="37014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1D6AC64A">
            <w:pPr>
              <w:rPr>
                <w:rFonts w:ascii="宋体" w:hAnsi="宋体"/>
                <w:color w:val="auto"/>
                <w:szCs w:val="21"/>
              </w:rPr>
            </w:pPr>
          </w:p>
        </w:tc>
        <w:tc>
          <w:tcPr>
            <w:tcW w:w="2079" w:type="dxa"/>
          </w:tcPr>
          <w:p w14:paraId="39FBBB51">
            <w:pPr>
              <w:rPr>
                <w:rFonts w:ascii="宋体" w:hAnsi="宋体"/>
                <w:color w:val="auto"/>
                <w:szCs w:val="21"/>
              </w:rPr>
            </w:pPr>
          </w:p>
        </w:tc>
        <w:tc>
          <w:tcPr>
            <w:tcW w:w="2079" w:type="dxa"/>
          </w:tcPr>
          <w:p w14:paraId="25A5485A">
            <w:pPr>
              <w:rPr>
                <w:rFonts w:ascii="宋体" w:hAnsi="宋体"/>
                <w:color w:val="auto"/>
                <w:szCs w:val="21"/>
              </w:rPr>
            </w:pPr>
          </w:p>
        </w:tc>
        <w:tc>
          <w:tcPr>
            <w:tcW w:w="2079" w:type="dxa"/>
          </w:tcPr>
          <w:p w14:paraId="170E4F17">
            <w:pPr>
              <w:rPr>
                <w:rFonts w:ascii="宋体" w:hAnsi="宋体"/>
                <w:color w:val="auto"/>
                <w:szCs w:val="21"/>
              </w:rPr>
            </w:pPr>
          </w:p>
        </w:tc>
      </w:tr>
      <w:tr w14:paraId="6257A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49E6BE5E">
            <w:pPr>
              <w:rPr>
                <w:rFonts w:ascii="宋体" w:hAnsi="宋体"/>
                <w:color w:val="auto"/>
                <w:szCs w:val="21"/>
              </w:rPr>
            </w:pPr>
          </w:p>
        </w:tc>
        <w:tc>
          <w:tcPr>
            <w:tcW w:w="2079" w:type="dxa"/>
          </w:tcPr>
          <w:p w14:paraId="008EFAC3">
            <w:pPr>
              <w:rPr>
                <w:rFonts w:ascii="宋体" w:hAnsi="宋体"/>
                <w:color w:val="auto"/>
                <w:szCs w:val="21"/>
              </w:rPr>
            </w:pPr>
          </w:p>
        </w:tc>
        <w:tc>
          <w:tcPr>
            <w:tcW w:w="2079" w:type="dxa"/>
          </w:tcPr>
          <w:p w14:paraId="1A81A9B2">
            <w:pPr>
              <w:rPr>
                <w:rFonts w:ascii="宋体" w:hAnsi="宋体"/>
                <w:color w:val="auto"/>
                <w:szCs w:val="21"/>
              </w:rPr>
            </w:pPr>
          </w:p>
        </w:tc>
        <w:tc>
          <w:tcPr>
            <w:tcW w:w="2079" w:type="dxa"/>
          </w:tcPr>
          <w:p w14:paraId="17C308D9">
            <w:pPr>
              <w:rPr>
                <w:rFonts w:ascii="宋体" w:hAnsi="宋体"/>
                <w:color w:val="auto"/>
                <w:szCs w:val="21"/>
              </w:rPr>
            </w:pPr>
          </w:p>
        </w:tc>
      </w:tr>
      <w:tr w14:paraId="21537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60890D83">
            <w:pPr>
              <w:rPr>
                <w:rFonts w:ascii="宋体" w:hAnsi="宋体"/>
                <w:color w:val="auto"/>
                <w:szCs w:val="21"/>
              </w:rPr>
            </w:pPr>
          </w:p>
        </w:tc>
        <w:tc>
          <w:tcPr>
            <w:tcW w:w="2079" w:type="dxa"/>
          </w:tcPr>
          <w:p w14:paraId="0A2D3E7C">
            <w:pPr>
              <w:rPr>
                <w:rFonts w:ascii="宋体" w:hAnsi="宋体"/>
                <w:color w:val="auto"/>
                <w:szCs w:val="21"/>
              </w:rPr>
            </w:pPr>
          </w:p>
        </w:tc>
        <w:tc>
          <w:tcPr>
            <w:tcW w:w="2079" w:type="dxa"/>
          </w:tcPr>
          <w:p w14:paraId="4EC7E5B1">
            <w:pPr>
              <w:rPr>
                <w:rFonts w:ascii="宋体" w:hAnsi="宋体"/>
                <w:color w:val="auto"/>
                <w:szCs w:val="21"/>
              </w:rPr>
            </w:pPr>
          </w:p>
        </w:tc>
        <w:tc>
          <w:tcPr>
            <w:tcW w:w="2079" w:type="dxa"/>
          </w:tcPr>
          <w:p w14:paraId="4C95EC62">
            <w:pPr>
              <w:rPr>
                <w:rFonts w:ascii="宋体" w:hAnsi="宋体"/>
                <w:color w:val="auto"/>
                <w:szCs w:val="21"/>
              </w:rPr>
            </w:pPr>
          </w:p>
        </w:tc>
      </w:tr>
      <w:tr w14:paraId="0A39D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0FD767FA">
            <w:pPr>
              <w:rPr>
                <w:rFonts w:ascii="宋体" w:hAnsi="宋体"/>
                <w:color w:val="auto"/>
                <w:szCs w:val="21"/>
              </w:rPr>
            </w:pPr>
          </w:p>
        </w:tc>
        <w:tc>
          <w:tcPr>
            <w:tcW w:w="2079" w:type="dxa"/>
          </w:tcPr>
          <w:p w14:paraId="6160903E">
            <w:pPr>
              <w:rPr>
                <w:rFonts w:ascii="宋体" w:hAnsi="宋体"/>
                <w:color w:val="auto"/>
                <w:szCs w:val="21"/>
              </w:rPr>
            </w:pPr>
          </w:p>
        </w:tc>
        <w:tc>
          <w:tcPr>
            <w:tcW w:w="2079" w:type="dxa"/>
          </w:tcPr>
          <w:p w14:paraId="1C318650">
            <w:pPr>
              <w:rPr>
                <w:rFonts w:ascii="宋体" w:hAnsi="宋体"/>
                <w:color w:val="auto"/>
                <w:szCs w:val="21"/>
              </w:rPr>
            </w:pPr>
          </w:p>
        </w:tc>
        <w:tc>
          <w:tcPr>
            <w:tcW w:w="2079" w:type="dxa"/>
          </w:tcPr>
          <w:p w14:paraId="64B9641D">
            <w:pPr>
              <w:rPr>
                <w:rFonts w:ascii="宋体" w:hAnsi="宋体"/>
                <w:color w:val="auto"/>
                <w:szCs w:val="21"/>
              </w:rPr>
            </w:pPr>
          </w:p>
        </w:tc>
      </w:tr>
      <w:tr w14:paraId="10DD3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18742440">
            <w:pPr>
              <w:rPr>
                <w:rFonts w:ascii="宋体" w:hAnsi="宋体"/>
                <w:color w:val="auto"/>
                <w:szCs w:val="21"/>
              </w:rPr>
            </w:pPr>
          </w:p>
        </w:tc>
        <w:tc>
          <w:tcPr>
            <w:tcW w:w="2079" w:type="dxa"/>
          </w:tcPr>
          <w:p w14:paraId="64EA8D35">
            <w:pPr>
              <w:rPr>
                <w:rFonts w:ascii="宋体" w:hAnsi="宋体"/>
                <w:color w:val="auto"/>
                <w:szCs w:val="21"/>
              </w:rPr>
            </w:pPr>
          </w:p>
        </w:tc>
        <w:tc>
          <w:tcPr>
            <w:tcW w:w="2079" w:type="dxa"/>
          </w:tcPr>
          <w:p w14:paraId="2AF50EE0">
            <w:pPr>
              <w:rPr>
                <w:rFonts w:ascii="宋体" w:hAnsi="宋体"/>
                <w:color w:val="auto"/>
                <w:szCs w:val="21"/>
              </w:rPr>
            </w:pPr>
          </w:p>
        </w:tc>
        <w:tc>
          <w:tcPr>
            <w:tcW w:w="2079" w:type="dxa"/>
          </w:tcPr>
          <w:p w14:paraId="7D099D9F">
            <w:pPr>
              <w:rPr>
                <w:rFonts w:ascii="宋体" w:hAnsi="宋体"/>
                <w:color w:val="auto"/>
                <w:szCs w:val="21"/>
              </w:rPr>
            </w:pPr>
          </w:p>
        </w:tc>
      </w:tr>
      <w:tr w14:paraId="7775D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50D45FBC">
            <w:pPr>
              <w:rPr>
                <w:rFonts w:ascii="宋体" w:hAnsi="宋体"/>
                <w:color w:val="auto"/>
                <w:szCs w:val="21"/>
              </w:rPr>
            </w:pPr>
          </w:p>
        </w:tc>
        <w:tc>
          <w:tcPr>
            <w:tcW w:w="2079" w:type="dxa"/>
          </w:tcPr>
          <w:p w14:paraId="6558DD86">
            <w:pPr>
              <w:rPr>
                <w:rFonts w:ascii="宋体" w:hAnsi="宋体"/>
                <w:color w:val="auto"/>
                <w:szCs w:val="21"/>
              </w:rPr>
            </w:pPr>
          </w:p>
        </w:tc>
        <w:tc>
          <w:tcPr>
            <w:tcW w:w="2079" w:type="dxa"/>
          </w:tcPr>
          <w:p w14:paraId="76E3BECA">
            <w:pPr>
              <w:rPr>
                <w:rFonts w:ascii="宋体" w:hAnsi="宋体"/>
                <w:color w:val="auto"/>
                <w:szCs w:val="21"/>
              </w:rPr>
            </w:pPr>
          </w:p>
        </w:tc>
        <w:tc>
          <w:tcPr>
            <w:tcW w:w="2079" w:type="dxa"/>
          </w:tcPr>
          <w:p w14:paraId="0B1B7A47">
            <w:pPr>
              <w:rPr>
                <w:rFonts w:ascii="宋体" w:hAnsi="宋体"/>
                <w:color w:val="auto"/>
                <w:szCs w:val="21"/>
              </w:rPr>
            </w:pPr>
          </w:p>
        </w:tc>
      </w:tr>
      <w:tr w14:paraId="32377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59995B25">
            <w:pPr>
              <w:rPr>
                <w:rFonts w:ascii="宋体" w:hAnsi="宋体"/>
                <w:color w:val="auto"/>
                <w:szCs w:val="21"/>
              </w:rPr>
            </w:pPr>
          </w:p>
        </w:tc>
        <w:tc>
          <w:tcPr>
            <w:tcW w:w="2079" w:type="dxa"/>
          </w:tcPr>
          <w:p w14:paraId="7CBA6DB1">
            <w:pPr>
              <w:rPr>
                <w:rFonts w:ascii="宋体" w:hAnsi="宋体"/>
                <w:color w:val="auto"/>
                <w:szCs w:val="21"/>
              </w:rPr>
            </w:pPr>
          </w:p>
        </w:tc>
        <w:tc>
          <w:tcPr>
            <w:tcW w:w="2079" w:type="dxa"/>
          </w:tcPr>
          <w:p w14:paraId="3727364F">
            <w:pPr>
              <w:rPr>
                <w:rFonts w:ascii="宋体" w:hAnsi="宋体"/>
                <w:color w:val="auto"/>
                <w:szCs w:val="21"/>
              </w:rPr>
            </w:pPr>
          </w:p>
        </w:tc>
        <w:tc>
          <w:tcPr>
            <w:tcW w:w="2079" w:type="dxa"/>
          </w:tcPr>
          <w:p w14:paraId="67946DFA">
            <w:pPr>
              <w:rPr>
                <w:rFonts w:ascii="宋体" w:hAnsi="宋体"/>
                <w:color w:val="auto"/>
                <w:szCs w:val="21"/>
              </w:rPr>
            </w:pPr>
          </w:p>
        </w:tc>
      </w:tr>
      <w:tr w14:paraId="78A52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00F6395A">
            <w:pPr>
              <w:rPr>
                <w:rFonts w:ascii="宋体" w:hAnsi="宋体"/>
                <w:color w:val="auto"/>
                <w:szCs w:val="21"/>
              </w:rPr>
            </w:pPr>
          </w:p>
        </w:tc>
        <w:tc>
          <w:tcPr>
            <w:tcW w:w="2079" w:type="dxa"/>
          </w:tcPr>
          <w:p w14:paraId="386B9BD0">
            <w:pPr>
              <w:rPr>
                <w:rFonts w:ascii="宋体" w:hAnsi="宋体"/>
                <w:color w:val="auto"/>
                <w:szCs w:val="21"/>
              </w:rPr>
            </w:pPr>
          </w:p>
        </w:tc>
        <w:tc>
          <w:tcPr>
            <w:tcW w:w="2079" w:type="dxa"/>
          </w:tcPr>
          <w:p w14:paraId="004A2A57">
            <w:pPr>
              <w:rPr>
                <w:rFonts w:ascii="宋体" w:hAnsi="宋体"/>
                <w:color w:val="auto"/>
                <w:szCs w:val="21"/>
              </w:rPr>
            </w:pPr>
          </w:p>
        </w:tc>
        <w:tc>
          <w:tcPr>
            <w:tcW w:w="2079" w:type="dxa"/>
          </w:tcPr>
          <w:p w14:paraId="42FC12B8">
            <w:pPr>
              <w:rPr>
                <w:rFonts w:ascii="宋体" w:hAnsi="宋体"/>
                <w:color w:val="auto"/>
                <w:szCs w:val="21"/>
              </w:rPr>
            </w:pPr>
          </w:p>
        </w:tc>
      </w:tr>
      <w:tr w14:paraId="676EC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692E0882">
            <w:pPr>
              <w:rPr>
                <w:rFonts w:ascii="宋体" w:hAnsi="宋体"/>
                <w:color w:val="auto"/>
                <w:szCs w:val="21"/>
              </w:rPr>
            </w:pPr>
          </w:p>
        </w:tc>
        <w:tc>
          <w:tcPr>
            <w:tcW w:w="2079" w:type="dxa"/>
          </w:tcPr>
          <w:p w14:paraId="26069158">
            <w:pPr>
              <w:rPr>
                <w:rFonts w:ascii="宋体" w:hAnsi="宋体"/>
                <w:color w:val="auto"/>
                <w:szCs w:val="21"/>
              </w:rPr>
            </w:pPr>
          </w:p>
        </w:tc>
        <w:tc>
          <w:tcPr>
            <w:tcW w:w="2079" w:type="dxa"/>
          </w:tcPr>
          <w:p w14:paraId="5D9CBC45">
            <w:pPr>
              <w:rPr>
                <w:rFonts w:ascii="宋体" w:hAnsi="宋体"/>
                <w:color w:val="auto"/>
                <w:szCs w:val="21"/>
              </w:rPr>
            </w:pPr>
          </w:p>
        </w:tc>
        <w:tc>
          <w:tcPr>
            <w:tcW w:w="2079" w:type="dxa"/>
          </w:tcPr>
          <w:p w14:paraId="793F5920">
            <w:pPr>
              <w:rPr>
                <w:rFonts w:ascii="宋体" w:hAnsi="宋体"/>
                <w:color w:val="auto"/>
                <w:szCs w:val="21"/>
              </w:rPr>
            </w:pPr>
          </w:p>
        </w:tc>
      </w:tr>
      <w:tr w14:paraId="0189D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39087FFF">
            <w:pPr>
              <w:rPr>
                <w:rFonts w:ascii="宋体" w:hAnsi="宋体"/>
                <w:color w:val="auto"/>
                <w:szCs w:val="21"/>
              </w:rPr>
            </w:pPr>
          </w:p>
        </w:tc>
        <w:tc>
          <w:tcPr>
            <w:tcW w:w="2079" w:type="dxa"/>
          </w:tcPr>
          <w:p w14:paraId="2C69313E">
            <w:pPr>
              <w:rPr>
                <w:rFonts w:ascii="宋体" w:hAnsi="宋体"/>
                <w:color w:val="auto"/>
                <w:szCs w:val="21"/>
              </w:rPr>
            </w:pPr>
          </w:p>
        </w:tc>
        <w:tc>
          <w:tcPr>
            <w:tcW w:w="2079" w:type="dxa"/>
          </w:tcPr>
          <w:p w14:paraId="1FD6D218">
            <w:pPr>
              <w:rPr>
                <w:rFonts w:ascii="宋体" w:hAnsi="宋体"/>
                <w:color w:val="auto"/>
                <w:szCs w:val="21"/>
              </w:rPr>
            </w:pPr>
          </w:p>
        </w:tc>
        <w:tc>
          <w:tcPr>
            <w:tcW w:w="2079" w:type="dxa"/>
          </w:tcPr>
          <w:p w14:paraId="2B0CAABC">
            <w:pPr>
              <w:rPr>
                <w:rFonts w:ascii="宋体" w:hAnsi="宋体"/>
                <w:color w:val="auto"/>
                <w:szCs w:val="21"/>
              </w:rPr>
            </w:pPr>
          </w:p>
        </w:tc>
      </w:tr>
      <w:tr w14:paraId="5BF26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13F3B2CF">
            <w:pPr>
              <w:rPr>
                <w:rFonts w:ascii="宋体" w:hAnsi="宋体"/>
                <w:color w:val="auto"/>
                <w:szCs w:val="21"/>
              </w:rPr>
            </w:pPr>
          </w:p>
        </w:tc>
        <w:tc>
          <w:tcPr>
            <w:tcW w:w="2079" w:type="dxa"/>
          </w:tcPr>
          <w:p w14:paraId="68979688">
            <w:pPr>
              <w:rPr>
                <w:rFonts w:ascii="宋体" w:hAnsi="宋体"/>
                <w:color w:val="auto"/>
                <w:szCs w:val="21"/>
              </w:rPr>
            </w:pPr>
          </w:p>
        </w:tc>
        <w:tc>
          <w:tcPr>
            <w:tcW w:w="2079" w:type="dxa"/>
          </w:tcPr>
          <w:p w14:paraId="5002C5B7">
            <w:pPr>
              <w:rPr>
                <w:rFonts w:ascii="宋体" w:hAnsi="宋体"/>
                <w:color w:val="auto"/>
                <w:szCs w:val="21"/>
              </w:rPr>
            </w:pPr>
          </w:p>
        </w:tc>
        <w:tc>
          <w:tcPr>
            <w:tcW w:w="2079" w:type="dxa"/>
          </w:tcPr>
          <w:p w14:paraId="46A21C38">
            <w:pPr>
              <w:rPr>
                <w:rFonts w:ascii="宋体" w:hAnsi="宋体"/>
                <w:color w:val="auto"/>
                <w:szCs w:val="21"/>
              </w:rPr>
            </w:pPr>
          </w:p>
        </w:tc>
      </w:tr>
      <w:tr w14:paraId="26A4D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49987664">
            <w:pPr>
              <w:rPr>
                <w:rFonts w:ascii="宋体" w:hAnsi="宋体"/>
                <w:color w:val="auto"/>
                <w:szCs w:val="21"/>
              </w:rPr>
            </w:pPr>
          </w:p>
        </w:tc>
        <w:tc>
          <w:tcPr>
            <w:tcW w:w="2079" w:type="dxa"/>
          </w:tcPr>
          <w:p w14:paraId="2DB06822">
            <w:pPr>
              <w:rPr>
                <w:rFonts w:ascii="宋体" w:hAnsi="宋体"/>
                <w:color w:val="auto"/>
                <w:szCs w:val="21"/>
              </w:rPr>
            </w:pPr>
          </w:p>
        </w:tc>
        <w:tc>
          <w:tcPr>
            <w:tcW w:w="2079" w:type="dxa"/>
          </w:tcPr>
          <w:p w14:paraId="54B09997">
            <w:pPr>
              <w:rPr>
                <w:rFonts w:ascii="宋体" w:hAnsi="宋体"/>
                <w:color w:val="auto"/>
                <w:szCs w:val="21"/>
              </w:rPr>
            </w:pPr>
          </w:p>
        </w:tc>
        <w:tc>
          <w:tcPr>
            <w:tcW w:w="2079" w:type="dxa"/>
          </w:tcPr>
          <w:p w14:paraId="6125EDBC">
            <w:pPr>
              <w:rPr>
                <w:rFonts w:ascii="宋体" w:hAnsi="宋体"/>
                <w:color w:val="auto"/>
                <w:szCs w:val="21"/>
              </w:rPr>
            </w:pPr>
          </w:p>
        </w:tc>
      </w:tr>
    </w:tbl>
    <w:p w14:paraId="7DDF1092">
      <w:pPr>
        <w:rPr>
          <w:color w:val="auto"/>
        </w:rPr>
        <w:sectPr>
          <w:footerReference r:id="rId59" w:type="default"/>
          <w:pgSz w:w="11906" w:h="16838"/>
          <w:pgMar w:top="1440" w:right="1800" w:bottom="1440" w:left="1800" w:header="851" w:footer="992" w:gutter="0"/>
          <w:pgNumType w:fmt="decimal"/>
          <w:cols w:space="425" w:num="1"/>
          <w:docGrid w:type="lines" w:linePitch="312" w:charSpace="0"/>
        </w:sectPr>
      </w:pPr>
    </w:p>
    <w:p w14:paraId="4FA393D5">
      <w:pPr>
        <w:widowControl/>
        <w:snapToGrid w:val="0"/>
        <w:spacing w:line="360" w:lineRule="auto"/>
        <w:ind w:left="839"/>
        <w:jc w:val="left"/>
        <w:rPr>
          <w:rFonts w:ascii="宋体" w:hAnsi="宋体" w:cs="宋体"/>
          <w:color w:val="auto"/>
          <w:kern w:val="0"/>
          <w:szCs w:val="20"/>
          <w:lang w:bidi="ar"/>
        </w:rPr>
      </w:pPr>
    </w:p>
    <w:p w14:paraId="16348A26">
      <w:pPr>
        <w:widowControl/>
        <w:snapToGrid w:val="0"/>
        <w:spacing w:line="360" w:lineRule="auto"/>
        <w:ind w:left="839"/>
        <w:jc w:val="left"/>
        <w:rPr>
          <w:rFonts w:ascii="宋体" w:hAnsi="宋体" w:cs="宋体"/>
          <w:color w:val="auto"/>
          <w:kern w:val="0"/>
          <w:szCs w:val="20"/>
          <w:lang w:bidi="ar"/>
        </w:rPr>
      </w:pPr>
    </w:p>
    <w:p w14:paraId="0A15D5BF">
      <w:pPr>
        <w:widowControl/>
        <w:snapToGrid w:val="0"/>
        <w:spacing w:line="360" w:lineRule="auto"/>
        <w:ind w:left="839"/>
        <w:jc w:val="left"/>
        <w:rPr>
          <w:rFonts w:ascii="宋体" w:hAnsi="宋体" w:cs="宋体"/>
          <w:color w:val="auto"/>
          <w:kern w:val="0"/>
          <w:szCs w:val="20"/>
          <w:lang w:bidi="ar"/>
        </w:rPr>
      </w:pPr>
    </w:p>
    <w:p w14:paraId="683D5AE2">
      <w:pPr>
        <w:widowControl/>
        <w:snapToGrid w:val="0"/>
        <w:spacing w:line="360" w:lineRule="auto"/>
        <w:ind w:left="839"/>
        <w:jc w:val="left"/>
        <w:rPr>
          <w:rFonts w:ascii="宋体" w:hAnsi="宋体" w:cs="宋体"/>
          <w:color w:val="auto"/>
          <w:kern w:val="0"/>
          <w:szCs w:val="20"/>
          <w:lang w:bidi="ar"/>
        </w:rPr>
      </w:pPr>
    </w:p>
    <w:p w14:paraId="6E37DEB1">
      <w:pPr>
        <w:widowControl/>
        <w:snapToGrid w:val="0"/>
        <w:spacing w:line="360" w:lineRule="auto"/>
        <w:ind w:left="839"/>
        <w:jc w:val="left"/>
        <w:rPr>
          <w:rFonts w:ascii="宋体" w:hAnsi="宋体" w:cs="宋体"/>
          <w:color w:val="auto"/>
          <w:kern w:val="0"/>
          <w:szCs w:val="20"/>
          <w:lang w:bidi="ar"/>
        </w:rPr>
      </w:pPr>
    </w:p>
    <w:p w14:paraId="0C267630">
      <w:pPr>
        <w:widowControl/>
        <w:snapToGrid w:val="0"/>
        <w:spacing w:line="360" w:lineRule="auto"/>
        <w:ind w:left="839"/>
        <w:jc w:val="left"/>
        <w:rPr>
          <w:rFonts w:ascii="宋体" w:hAnsi="宋体" w:cs="宋体"/>
          <w:color w:val="auto"/>
          <w:kern w:val="0"/>
          <w:szCs w:val="20"/>
          <w:lang w:bidi="ar"/>
        </w:rPr>
      </w:pPr>
    </w:p>
    <w:p w14:paraId="7A8ED45D">
      <w:pPr>
        <w:widowControl/>
        <w:snapToGrid w:val="0"/>
        <w:spacing w:line="360" w:lineRule="auto"/>
        <w:ind w:left="839"/>
        <w:jc w:val="center"/>
        <w:rPr>
          <w:rFonts w:ascii="宋体" w:hAnsi="宋体" w:cs="宋体"/>
          <w:color w:val="auto"/>
          <w:kern w:val="0"/>
          <w:szCs w:val="20"/>
          <w:lang w:bidi="ar"/>
        </w:rPr>
      </w:pPr>
    </w:p>
    <w:p w14:paraId="6A4C508C">
      <w:pPr>
        <w:pStyle w:val="25"/>
        <w:jc w:val="center"/>
        <w:rPr>
          <w:rFonts w:ascii="黑体" w:hAnsi="宋体"/>
          <w:color w:val="auto"/>
          <w:szCs w:val="28"/>
        </w:rPr>
      </w:pPr>
      <w:bookmarkStart w:id="2068" w:name="_Toc149058114"/>
      <w:bookmarkStart w:id="2069" w:name="_Toc2576"/>
      <w:r>
        <w:rPr>
          <w:rFonts w:hint="default"/>
          <w:color w:val="auto"/>
        </w:rPr>
        <w:t>十</w:t>
      </w:r>
      <w:r>
        <w:rPr>
          <w:rFonts w:hint="eastAsia"/>
          <w:color w:val="auto"/>
        </w:rPr>
        <w:t>、其他</w:t>
      </w:r>
      <w:bookmarkEnd w:id="2068"/>
      <w:r>
        <w:rPr>
          <w:rFonts w:hint="eastAsia"/>
          <w:color w:val="auto"/>
          <w:lang w:val="en-US" w:eastAsia="zh-CN"/>
        </w:rPr>
        <w:t>材料</w:t>
      </w:r>
      <w:bookmarkEnd w:id="2069"/>
    </w:p>
    <w:p w14:paraId="77BAD343">
      <w:pPr>
        <w:spacing w:line="500" w:lineRule="exact"/>
        <w:jc w:val="left"/>
        <w:rPr>
          <w:rFonts w:ascii="宋体" w:hAnsi="宋体"/>
          <w:color w:val="auto"/>
          <w:szCs w:val="21"/>
        </w:rPr>
      </w:pPr>
    </w:p>
    <w:p w14:paraId="4A33BFD9">
      <w:pPr>
        <w:rPr>
          <w:rFonts w:ascii="黑体" w:eastAsia="黑体"/>
          <w:color w:val="auto"/>
          <w:sz w:val="24"/>
        </w:rPr>
      </w:pPr>
      <w:r>
        <w:rPr>
          <w:rFonts w:ascii="黑体" w:eastAsia="黑体"/>
          <w:color w:val="auto"/>
          <w:sz w:val="24"/>
        </w:rPr>
        <w:br w:type="page"/>
      </w:r>
    </w:p>
    <w:p w14:paraId="57969F56">
      <w:pPr>
        <w:rPr>
          <w:rFonts w:ascii="黑体" w:eastAsia="黑体"/>
          <w:color w:val="auto"/>
          <w:sz w:val="24"/>
        </w:rPr>
      </w:pPr>
    </w:p>
    <w:p w14:paraId="6F3103E2">
      <w:pPr>
        <w:pStyle w:val="42"/>
        <w:jc w:val="left"/>
        <w:outlineLvl w:val="1"/>
        <w:rPr>
          <w:rStyle w:val="20"/>
          <w:rFonts w:ascii="Times New Roman" w:hAnsi="Times New Roman" w:eastAsia="Times New Roman" w:cs="Times New Roman"/>
          <w:color w:val="auto"/>
        </w:rPr>
      </w:pPr>
      <w:bookmarkStart w:id="2070" w:name="_Toc256000210"/>
      <w:bookmarkStart w:id="2071" w:name="_Toc256000531"/>
      <w:bookmarkStart w:id="2072" w:name="_Toc5288"/>
      <w:r>
        <w:rPr>
          <w:rStyle w:val="20"/>
          <w:rFonts w:hint="eastAsia" w:ascii="黑体" w:hAnsi="黑体" w:eastAsia="黑体" w:cs="黑体"/>
          <w:b/>
          <w:color w:val="auto"/>
          <w:sz w:val="32"/>
          <w:lang w:eastAsia="zh-CN"/>
        </w:rPr>
        <w:t>（一）</w:t>
      </w:r>
      <w:r>
        <w:rPr>
          <w:rStyle w:val="20"/>
          <w:rFonts w:ascii="黑体" w:hAnsi="黑体" w:eastAsia="黑体" w:cs="黑体"/>
          <w:b/>
          <w:color w:val="auto"/>
          <w:sz w:val="32"/>
        </w:rPr>
        <w:t>中小企业声明函</w:t>
      </w:r>
      <w:bookmarkEnd w:id="2070"/>
      <w:bookmarkEnd w:id="2071"/>
      <w:bookmarkEnd w:id="2072"/>
    </w:p>
    <w:p w14:paraId="5BFACDE3">
      <w:pPr>
        <w:pStyle w:val="43"/>
        <w:jc w:val="center"/>
        <w:rPr>
          <w:rStyle w:val="20"/>
          <w:rFonts w:hint="eastAsia" w:ascii="宋体" w:hAnsi="宋体" w:eastAsia="宋体" w:cs="宋体"/>
          <w:b/>
          <w:color w:val="auto"/>
          <w:sz w:val="28"/>
          <w:szCs w:val="28"/>
          <w:highlight w:val="none"/>
        </w:rPr>
      </w:pPr>
      <w:bookmarkStart w:id="2073" w:name="书签4_0"/>
      <w:bookmarkEnd w:id="2073"/>
      <w:r>
        <w:rPr>
          <w:rStyle w:val="20"/>
          <w:rFonts w:hint="eastAsia" w:ascii="宋体" w:hAnsi="宋体" w:eastAsia="宋体" w:cs="宋体"/>
          <w:b/>
          <w:color w:val="auto"/>
          <w:sz w:val="28"/>
          <w:szCs w:val="28"/>
          <w:highlight w:val="none"/>
        </w:rPr>
        <w:t>中小企业声明函</w:t>
      </w:r>
    </w:p>
    <w:p w14:paraId="74EE0449">
      <w:pPr>
        <w:pStyle w:val="43"/>
        <w:jc w:val="center"/>
        <w:rPr>
          <w:rStyle w:val="20"/>
          <w:rFonts w:hint="eastAsia" w:ascii="宋体" w:hAnsi="宋体" w:eastAsia="宋体" w:cs="宋体"/>
          <w:b/>
          <w:color w:val="auto"/>
          <w:sz w:val="21"/>
          <w:szCs w:val="21"/>
          <w:highlight w:val="none"/>
        </w:rPr>
      </w:pPr>
    </w:p>
    <w:p w14:paraId="0E80EF8E">
      <w:pPr>
        <w:pStyle w:val="45"/>
        <w:spacing w:line="360" w:lineRule="auto"/>
        <w:ind w:right="19" w:firstLine="412" w:firstLineChars="200"/>
        <w:rPr>
          <w:rStyle w:val="20"/>
          <w:rFonts w:hint="eastAsia" w:ascii="宋体" w:hAnsi="宋体" w:eastAsia="宋体" w:cs="宋体"/>
          <w:color w:val="auto"/>
          <w:spacing w:val="-2"/>
          <w:szCs w:val="21"/>
          <w:highlight w:val="none"/>
        </w:rPr>
      </w:pPr>
      <w:r>
        <w:rPr>
          <w:rStyle w:val="20"/>
          <w:rFonts w:hint="eastAsia" w:ascii="宋体" w:hAnsi="宋体" w:eastAsia="宋体" w:cs="宋体"/>
          <w:color w:val="auto"/>
          <w:spacing w:val="-2"/>
          <w:szCs w:val="21"/>
          <w:highlight w:val="none"/>
        </w:rPr>
        <w:t>本公司（联合体）郑重声明，根据《政府采购促进中小企业发展管理办法》（财库﹝2020﹞46号）的规定，本公司（联合体）参加（</w:t>
      </w:r>
      <w:r>
        <w:rPr>
          <w:rStyle w:val="20"/>
          <w:rFonts w:hint="eastAsia" w:ascii="宋体" w:hAnsi="宋体" w:eastAsia="宋体" w:cs="宋体"/>
          <w:color w:val="auto"/>
          <w:spacing w:val="-2"/>
          <w:szCs w:val="21"/>
          <w:highlight w:val="none"/>
          <w:u w:val="single"/>
        </w:rPr>
        <w:t>单位名称</w:t>
      </w:r>
      <w:r>
        <w:rPr>
          <w:rStyle w:val="20"/>
          <w:rFonts w:hint="eastAsia" w:ascii="宋体" w:hAnsi="宋体" w:eastAsia="宋体" w:cs="宋体"/>
          <w:color w:val="auto"/>
          <w:spacing w:val="-2"/>
          <w:szCs w:val="21"/>
          <w:highlight w:val="none"/>
        </w:rPr>
        <w:t>）的（</w:t>
      </w:r>
      <w:r>
        <w:rPr>
          <w:rStyle w:val="20"/>
          <w:rFonts w:hint="eastAsia" w:ascii="宋体" w:hAnsi="宋体" w:eastAsia="宋体" w:cs="宋体"/>
          <w:color w:val="auto"/>
          <w:spacing w:val="-2"/>
          <w:szCs w:val="21"/>
          <w:highlight w:val="none"/>
          <w:u w:val="single"/>
        </w:rPr>
        <w:t>项目名称</w:t>
      </w:r>
      <w:r>
        <w:rPr>
          <w:rStyle w:val="20"/>
          <w:rFonts w:hint="eastAsia" w:ascii="宋体" w:hAnsi="宋体" w:eastAsia="宋体" w:cs="宋体"/>
          <w:color w:val="auto"/>
          <w:spacing w:val="-2"/>
          <w:szCs w:val="21"/>
          <w:highlight w:val="none"/>
        </w:rPr>
        <w:t>）采购活动，工程的施工单位全部为符合政策要求的中小企业</w:t>
      </w:r>
      <w:r>
        <w:rPr>
          <w:rStyle w:val="20"/>
          <w:rFonts w:hint="eastAsia" w:ascii="宋体" w:hAnsi="宋体" w:eastAsia="宋体" w:cs="宋体"/>
          <w:color w:val="auto"/>
          <w:spacing w:val="-2"/>
          <w:szCs w:val="21"/>
          <w:highlight w:val="none"/>
          <w:lang w:eastAsia="zh-CN"/>
        </w:rPr>
        <w:t>承建（承接）</w:t>
      </w:r>
      <w:r>
        <w:rPr>
          <w:rStyle w:val="20"/>
          <w:rFonts w:hint="eastAsia" w:ascii="宋体" w:hAnsi="宋体" w:eastAsia="宋体" w:cs="宋体"/>
          <w:color w:val="auto"/>
          <w:spacing w:val="-2"/>
          <w:szCs w:val="21"/>
          <w:highlight w:val="none"/>
        </w:rPr>
        <w:t>。相关企业（含联合体中的中小企业、签订分包意向协议的中小企业）的具体情况如下：</w:t>
      </w:r>
    </w:p>
    <w:p w14:paraId="50325016">
      <w:pPr>
        <w:pStyle w:val="29"/>
        <w:tabs>
          <w:tab w:val="left" w:pos="1243"/>
        </w:tabs>
        <w:adjustRightInd w:val="0"/>
        <w:snapToGrid w:val="0"/>
        <w:spacing w:line="360" w:lineRule="auto"/>
        <w:ind w:firstLine="420" w:firstLineChars="200"/>
        <w:jc w:val="left"/>
        <w:rPr>
          <w:rStyle w:val="20"/>
          <w:rFonts w:hint="eastAsia" w:ascii="宋体" w:hAnsi="宋体" w:eastAsia="宋体" w:cs="宋体"/>
          <w:color w:val="auto"/>
          <w:kern w:val="0"/>
          <w:sz w:val="21"/>
          <w:szCs w:val="21"/>
        </w:rPr>
      </w:pPr>
      <w:r>
        <w:rPr>
          <w:rStyle w:val="20"/>
          <w:rFonts w:hint="eastAsia" w:ascii="宋体" w:hAnsi="宋体" w:cs="宋体"/>
          <w:color w:val="auto"/>
          <w:kern w:val="0"/>
          <w:sz w:val="21"/>
          <w:szCs w:val="21"/>
          <w:lang w:eastAsia="zh-CN"/>
        </w:rPr>
        <w:t>1.</w:t>
      </w:r>
      <w:r>
        <w:rPr>
          <w:rStyle w:val="20"/>
          <w:rFonts w:hint="eastAsia" w:ascii="宋体" w:hAnsi="宋体" w:eastAsia="宋体" w:cs="宋体"/>
          <w:color w:val="auto"/>
          <w:kern w:val="0"/>
          <w:sz w:val="21"/>
          <w:szCs w:val="21"/>
          <w:u w:val="single"/>
        </w:rPr>
        <w:t>（标的名称）</w:t>
      </w:r>
      <w:r>
        <w:rPr>
          <w:rStyle w:val="20"/>
          <w:rFonts w:hint="eastAsia" w:ascii="宋体" w:hAnsi="宋体" w:eastAsia="宋体" w:cs="宋体"/>
          <w:color w:val="auto"/>
          <w:kern w:val="0"/>
          <w:sz w:val="21"/>
          <w:szCs w:val="21"/>
        </w:rPr>
        <w:t>，属于</w:t>
      </w:r>
      <w:r>
        <w:rPr>
          <w:rStyle w:val="20"/>
          <w:rFonts w:hint="eastAsia" w:ascii="宋体" w:hAnsi="宋体" w:eastAsia="宋体" w:cs="宋体"/>
          <w:color w:val="auto"/>
          <w:kern w:val="0"/>
          <w:sz w:val="21"/>
          <w:szCs w:val="21"/>
          <w:u w:val="single"/>
        </w:rPr>
        <w:t>（建筑业）</w:t>
      </w:r>
      <w:r>
        <w:rPr>
          <w:rStyle w:val="20"/>
          <w:rFonts w:hint="eastAsia" w:ascii="宋体" w:hAnsi="宋体" w:eastAsia="宋体" w:cs="宋体"/>
          <w:color w:val="auto"/>
          <w:kern w:val="0"/>
          <w:sz w:val="21"/>
          <w:szCs w:val="21"/>
        </w:rPr>
        <w:t>；承建（承接）企业为</w:t>
      </w:r>
      <w:r>
        <w:rPr>
          <w:rStyle w:val="20"/>
          <w:rFonts w:hint="eastAsia" w:ascii="宋体" w:hAnsi="宋体" w:eastAsia="宋体" w:cs="宋体"/>
          <w:color w:val="auto"/>
          <w:kern w:val="0"/>
          <w:sz w:val="21"/>
          <w:szCs w:val="21"/>
          <w:u w:val="single"/>
        </w:rPr>
        <w:t>（企业名称）</w:t>
      </w:r>
      <w:r>
        <w:rPr>
          <w:rStyle w:val="20"/>
          <w:rFonts w:hint="eastAsia" w:ascii="宋体" w:hAnsi="宋体" w:eastAsia="宋体" w:cs="宋体"/>
          <w:color w:val="auto"/>
          <w:kern w:val="0"/>
          <w:sz w:val="21"/>
          <w:szCs w:val="21"/>
        </w:rPr>
        <w:t>，从业人员</w:t>
      </w:r>
      <w:r>
        <w:rPr>
          <w:rStyle w:val="20"/>
          <w:rFonts w:hint="eastAsia" w:ascii="宋体" w:hAnsi="宋体" w:eastAsia="宋体" w:cs="宋体"/>
          <w:color w:val="auto"/>
          <w:kern w:val="0"/>
          <w:sz w:val="21"/>
          <w:szCs w:val="21"/>
          <w:u w:val="single"/>
        </w:rPr>
        <w:t xml:space="preserve">        </w:t>
      </w:r>
      <w:r>
        <w:rPr>
          <w:rStyle w:val="20"/>
          <w:rFonts w:hint="eastAsia" w:ascii="宋体" w:hAnsi="宋体" w:eastAsia="宋体" w:cs="宋体"/>
          <w:color w:val="auto"/>
          <w:kern w:val="0"/>
          <w:sz w:val="21"/>
          <w:szCs w:val="21"/>
        </w:rPr>
        <w:t>人，营业收入为</w:t>
      </w:r>
      <w:r>
        <w:rPr>
          <w:rStyle w:val="20"/>
          <w:rFonts w:hint="eastAsia" w:ascii="宋体" w:hAnsi="宋体" w:eastAsia="宋体" w:cs="宋体"/>
          <w:color w:val="auto"/>
          <w:kern w:val="0"/>
          <w:sz w:val="21"/>
          <w:szCs w:val="21"/>
          <w:u w:val="single"/>
        </w:rPr>
        <w:t xml:space="preserve">      </w:t>
      </w:r>
      <w:r>
        <w:rPr>
          <w:rStyle w:val="20"/>
          <w:rFonts w:hint="eastAsia" w:ascii="宋体" w:hAnsi="宋体" w:eastAsia="宋体" w:cs="宋体"/>
          <w:color w:val="auto"/>
          <w:kern w:val="0"/>
          <w:sz w:val="21"/>
          <w:szCs w:val="21"/>
        </w:rPr>
        <w:t>万元，资产总额为</w:t>
      </w:r>
      <w:r>
        <w:rPr>
          <w:rStyle w:val="20"/>
          <w:rFonts w:hint="eastAsia" w:ascii="宋体" w:hAnsi="宋体" w:eastAsia="宋体" w:cs="宋体"/>
          <w:color w:val="auto"/>
          <w:kern w:val="0"/>
          <w:sz w:val="21"/>
          <w:szCs w:val="21"/>
          <w:u w:val="single"/>
        </w:rPr>
        <w:t xml:space="preserve">      </w:t>
      </w:r>
      <w:r>
        <w:rPr>
          <w:rStyle w:val="20"/>
          <w:rFonts w:hint="eastAsia" w:ascii="宋体" w:hAnsi="宋体" w:eastAsia="宋体" w:cs="宋体"/>
          <w:color w:val="auto"/>
          <w:kern w:val="0"/>
          <w:sz w:val="21"/>
          <w:szCs w:val="21"/>
        </w:rPr>
        <w:t>万元，属于</w:t>
      </w:r>
      <w:r>
        <w:rPr>
          <w:rStyle w:val="20"/>
          <w:rFonts w:hint="eastAsia" w:ascii="宋体" w:hAnsi="宋体" w:eastAsia="宋体" w:cs="宋体"/>
          <w:color w:val="auto"/>
          <w:highlight w:val="none"/>
          <w:u w:val="single"/>
          <w:lang w:val="en-US" w:eastAsia="zh-CN"/>
        </w:rPr>
        <w:t xml:space="preserve">     </w:t>
      </w:r>
      <w:r>
        <w:rPr>
          <w:rStyle w:val="20"/>
          <w:rFonts w:hint="eastAsia" w:ascii="宋体" w:hAnsi="宋体" w:eastAsia="宋体" w:cs="宋体"/>
          <w:color w:val="auto"/>
          <w:spacing w:val="-2"/>
          <w:szCs w:val="21"/>
          <w:highlight w:val="none"/>
        </w:rPr>
        <w:t>（中型企业、小型企业、微型企业</w:t>
      </w:r>
      <w:r>
        <w:rPr>
          <w:rStyle w:val="20"/>
          <w:rFonts w:hint="eastAsia" w:ascii="宋体" w:hAnsi="宋体" w:eastAsia="宋体" w:cs="宋体"/>
          <w:color w:val="auto"/>
          <w:spacing w:val="-2"/>
          <w:szCs w:val="21"/>
          <w:highlight w:val="none"/>
          <w:lang w:eastAsia="zh-CN"/>
        </w:rPr>
        <w:t>之一</w:t>
      </w:r>
      <w:r>
        <w:rPr>
          <w:rStyle w:val="20"/>
          <w:rFonts w:hint="eastAsia" w:ascii="宋体" w:hAnsi="宋体" w:eastAsia="宋体" w:cs="宋体"/>
          <w:color w:val="auto"/>
          <w:spacing w:val="-2"/>
          <w:szCs w:val="21"/>
          <w:highlight w:val="none"/>
        </w:rPr>
        <w:t>）；</w:t>
      </w:r>
    </w:p>
    <w:p w14:paraId="15C61F58">
      <w:pPr>
        <w:pStyle w:val="29"/>
        <w:tabs>
          <w:tab w:val="left" w:pos="1243"/>
        </w:tabs>
        <w:adjustRightInd w:val="0"/>
        <w:snapToGrid w:val="0"/>
        <w:spacing w:line="360" w:lineRule="auto"/>
        <w:ind w:firstLine="420" w:firstLineChars="200"/>
        <w:jc w:val="left"/>
        <w:rPr>
          <w:rStyle w:val="20"/>
          <w:rFonts w:hint="eastAsia" w:ascii="宋体" w:hAnsi="宋体" w:eastAsia="宋体" w:cs="宋体"/>
          <w:color w:val="auto"/>
          <w:kern w:val="0"/>
          <w:sz w:val="21"/>
          <w:szCs w:val="21"/>
        </w:rPr>
      </w:pPr>
      <w:r>
        <w:rPr>
          <w:rStyle w:val="20"/>
          <w:rFonts w:hint="eastAsia" w:ascii="宋体" w:hAnsi="宋体" w:cs="宋体"/>
          <w:color w:val="auto"/>
          <w:kern w:val="0"/>
          <w:sz w:val="21"/>
          <w:szCs w:val="21"/>
          <w:lang w:eastAsia="zh-CN"/>
        </w:rPr>
        <w:t>2.</w:t>
      </w:r>
      <w:r>
        <w:rPr>
          <w:rStyle w:val="20"/>
          <w:rFonts w:hint="eastAsia" w:ascii="宋体" w:hAnsi="宋体" w:eastAsia="宋体" w:cs="宋体"/>
          <w:color w:val="auto"/>
          <w:kern w:val="0"/>
          <w:sz w:val="21"/>
          <w:szCs w:val="21"/>
          <w:u w:val="single"/>
        </w:rPr>
        <w:t>（标的名称）</w:t>
      </w:r>
      <w:r>
        <w:rPr>
          <w:rStyle w:val="20"/>
          <w:rFonts w:hint="eastAsia" w:ascii="宋体" w:hAnsi="宋体" w:eastAsia="宋体" w:cs="宋体"/>
          <w:color w:val="auto"/>
          <w:kern w:val="0"/>
          <w:sz w:val="21"/>
          <w:szCs w:val="21"/>
        </w:rPr>
        <w:t>，属于</w:t>
      </w:r>
      <w:r>
        <w:rPr>
          <w:rStyle w:val="20"/>
          <w:rFonts w:hint="eastAsia" w:ascii="宋体" w:hAnsi="宋体" w:eastAsia="宋体" w:cs="宋体"/>
          <w:color w:val="auto"/>
          <w:kern w:val="0"/>
          <w:sz w:val="21"/>
          <w:szCs w:val="21"/>
          <w:u w:val="single"/>
        </w:rPr>
        <w:t>（</w:t>
      </w:r>
      <w:r>
        <w:rPr>
          <w:rStyle w:val="20"/>
          <w:rFonts w:hint="eastAsia" w:ascii="宋体" w:hAnsi="宋体" w:eastAsia="宋体" w:cs="宋体"/>
          <w:color w:val="auto"/>
          <w:kern w:val="0"/>
          <w:sz w:val="21"/>
          <w:szCs w:val="21"/>
          <w:u w:val="single"/>
          <w:lang w:eastAsia="zh-CN"/>
        </w:rPr>
        <w:t>建筑业</w:t>
      </w:r>
      <w:r>
        <w:rPr>
          <w:rStyle w:val="20"/>
          <w:rFonts w:hint="eastAsia" w:ascii="宋体" w:hAnsi="宋体" w:eastAsia="宋体" w:cs="宋体"/>
          <w:color w:val="auto"/>
          <w:kern w:val="0"/>
          <w:sz w:val="21"/>
          <w:szCs w:val="21"/>
          <w:u w:val="single"/>
        </w:rPr>
        <w:t>）</w:t>
      </w:r>
      <w:r>
        <w:rPr>
          <w:rStyle w:val="20"/>
          <w:rFonts w:hint="eastAsia" w:ascii="宋体" w:hAnsi="宋体" w:eastAsia="宋体" w:cs="宋体"/>
          <w:color w:val="auto"/>
          <w:kern w:val="0"/>
          <w:sz w:val="21"/>
          <w:szCs w:val="21"/>
        </w:rPr>
        <w:t>；承建（承接）企业为</w:t>
      </w:r>
      <w:r>
        <w:rPr>
          <w:rStyle w:val="20"/>
          <w:rFonts w:hint="eastAsia" w:ascii="宋体" w:hAnsi="宋体" w:eastAsia="宋体" w:cs="宋体"/>
          <w:color w:val="auto"/>
          <w:kern w:val="0"/>
          <w:sz w:val="21"/>
          <w:szCs w:val="21"/>
          <w:u w:val="single"/>
        </w:rPr>
        <w:t>（企业名称）</w:t>
      </w:r>
      <w:r>
        <w:rPr>
          <w:rStyle w:val="20"/>
          <w:rFonts w:hint="eastAsia" w:ascii="宋体" w:hAnsi="宋体" w:eastAsia="宋体" w:cs="宋体"/>
          <w:color w:val="auto"/>
          <w:kern w:val="0"/>
          <w:sz w:val="21"/>
          <w:szCs w:val="21"/>
        </w:rPr>
        <w:t>，从业人员</w:t>
      </w:r>
      <w:r>
        <w:rPr>
          <w:rStyle w:val="20"/>
          <w:rFonts w:hint="eastAsia" w:ascii="宋体" w:hAnsi="宋体" w:eastAsia="宋体" w:cs="宋体"/>
          <w:color w:val="auto"/>
          <w:kern w:val="0"/>
          <w:sz w:val="21"/>
          <w:szCs w:val="21"/>
          <w:u w:val="single"/>
        </w:rPr>
        <w:t xml:space="preserve">        </w:t>
      </w:r>
      <w:r>
        <w:rPr>
          <w:rStyle w:val="20"/>
          <w:rFonts w:hint="eastAsia" w:ascii="宋体" w:hAnsi="宋体" w:eastAsia="宋体" w:cs="宋体"/>
          <w:color w:val="auto"/>
          <w:kern w:val="0"/>
          <w:sz w:val="21"/>
          <w:szCs w:val="21"/>
        </w:rPr>
        <w:t>人，营业收入为</w:t>
      </w:r>
      <w:r>
        <w:rPr>
          <w:rStyle w:val="20"/>
          <w:rFonts w:hint="eastAsia" w:ascii="宋体" w:hAnsi="宋体" w:eastAsia="宋体" w:cs="宋体"/>
          <w:color w:val="auto"/>
          <w:kern w:val="0"/>
          <w:sz w:val="21"/>
          <w:szCs w:val="21"/>
          <w:u w:val="single"/>
        </w:rPr>
        <w:t xml:space="preserve">      </w:t>
      </w:r>
      <w:r>
        <w:rPr>
          <w:rStyle w:val="20"/>
          <w:rFonts w:hint="eastAsia" w:ascii="宋体" w:hAnsi="宋体" w:eastAsia="宋体" w:cs="宋体"/>
          <w:color w:val="auto"/>
          <w:kern w:val="0"/>
          <w:sz w:val="21"/>
          <w:szCs w:val="21"/>
        </w:rPr>
        <w:t>万元，资产总额为</w:t>
      </w:r>
      <w:r>
        <w:rPr>
          <w:rStyle w:val="20"/>
          <w:rFonts w:hint="eastAsia" w:ascii="宋体" w:hAnsi="宋体" w:eastAsia="宋体" w:cs="宋体"/>
          <w:color w:val="auto"/>
          <w:kern w:val="0"/>
          <w:sz w:val="21"/>
          <w:szCs w:val="21"/>
          <w:u w:val="single"/>
        </w:rPr>
        <w:t xml:space="preserve">      </w:t>
      </w:r>
      <w:r>
        <w:rPr>
          <w:rStyle w:val="20"/>
          <w:rFonts w:hint="eastAsia" w:ascii="宋体" w:hAnsi="宋体" w:eastAsia="宋体" w:cs="宋体"/>
          <w:color w:val="auto"/>
          <w:kern w:val="0"/>
          <w:sz w:val="21"/>
          <w:szCs w:val="21"/>
        </w:rPr>
        <w:t>万元，属于</w:t>
      </w:r>
      <w:r>
        <w:rPr>
          <w:rStyle w:val="20"/>
          <w:rFonts w:hint="eastAsia" w:ascii="宋体" w:hAnsi="宋体" w:eastAsia="宋体" w:cs="宋体"/>
          <w:color w:val="auto"/>
          <w:highlight w:val="none"/>
          <w:u w:val="single"/>
          <w:lang w:val="en-US" w:eastAsia="zh-CN"/>
        </w:rPr>
        <w:t xml:space="preserve">     </w:t>
      </w:r>
      <w:r>
        <w:rPr>
          <w:rStyle w:val="20"/>
          <w:rFonts w:hint="eastAsia" w:ascii="宋体" w:hAnsi="宋体" w:eastAsia="宋体" w:cs="宋体"/>
          <w:color w:val="auto"/>
          <w:spacing w:val="-2"/>
          <w:szCs w:val="21"/>
          <w:highlight w:val="none"/>
        </w:rPr>
        <w:t>（中型企业、小型企业、微型企业</w:t>
      </w:r>
      <w:r>
        <w:rPr>
          <w:rStyle w:val="20"/>
          <w:rFonts w:hint="eastAsia" w:ascii="宋体" w:hAnsi="宋体" w:eastAsia="宋体" w:cs="宋体"/>
          <w:color w:val="auto"/>
          <w:spacing w:val="-2"/>
          <w:szCs w:val="21"/>
          <w:highlight w:val="none"/>
          <w:lang w:eastAsia="zh-CN"/>
        </w:rPr>
        <w:t>之一</w:t>
      </w:r>
      <w:r>
        <w:rPr>
          <w:rStyle w:val="20"/>
          <w:rFonts w:hint="eastAsia" w:ascii="宋体" w:hAnsi="宋体" w:eastAsia="宋体" w:cs="宋体"/>
          <w:color w:val="auto"/>
          <w:spacing w:val="-2"/>
          <w:szCs w:val="21"/>
          <w:highlight w:val="none"/>
        </w:rPr>
        <w:t>）；</w:t>
      </w:r>
    </w:p>
    <w:p w14:paraId="00121948">
      <w:pPr>
        <w:pStyle w:val="45"/>
        <w:spacing w:line="360" w:lineRule="auto"/>
        <w:ind w:right="19" w:firstLine="412" w:firstLineChars="200"/>
        <w:rPr>
          <w:rStyle w:val="20"/>
          <w:rFonts w:hint="eastAsia" w:ascii="宋体" w:hAnsi="宋体" w:eastAsia="宋体" w:cs="宋体"/>
          <w:color w:val="auto"/>
          <w:spacing w:val="-2"/>
          <w:szCs w:val="21"/>
          <w:highlight w:val="none"/>
        </w:rPr>
      </w:pPr>
      <w:r>
        <w:rPr>
          <w:rStyle w:val="20"/>
          <w:rFonts w:hint="eastAsia" w:ascii="宋体" w:hAnsi="宋体" w:eastAsia="宋体" w:cs="宋体"/>
          <w:color w:val="auto"/>
          <w:spacing w:val="-2"/>
          <w:szCs w:val="21"/>
          <w:highlight w:val="none"/>
        </w:rPr>
        <w:t>……</w:t>
      </w:r>
    </w:p>
    <w:p w14:paraId="27CF6E9C">
      <w:pPr>
        <w:pStyle w:val="45"/>
        <w:spacing w:line="360" w:lineRule="auto"/>
        <w:ind w:right="19" w:firstLine="412" w:firstLineChars="200"/>
        <w:rPr>
          <w:rStyle w:val="20"/>
          <w:rFonts w:hint="eastAsia" w:ascii="宋体" w:hAnsi="宋体" w:eastAsia="宋体" w:cs="宋体"/>
          <w:color w:val="auto"/>
          <w:spacing w:val="-2"/>
          <w:szCs w:val="21"/>
          <w:highlight w:val="none"/>
        </w:rPr>
      </w:pPr>
    </w:p>
    <w:p w14:paraId="1049300F">
      <w:pPr>
        <w:pStyle w:val="45"/>
        <w:spacing w:line="360" w:lineRule="auto"/>
        <w:ind w:right="19" w:firstLine="412" w:firstLineChars="200"/>
        <w:rPr>
          <w:rStyle w:val="20"/>
          <w:rFonts w:hint="eastAsia" w:ascii="宋体" w:hAnsi="宋体" w:eastAsia="宋体" w:cs="宋体"/>
          <w:color w:val="auto"/>
          <w:spacing w:val="-2"/>
          <w:szCs w:val="21"/>
          <w:highlight w:val="none"/>
        </w:rPr>
      </w:pPr>
      <w:r>
        <w:rPr>
          <w:rStyle w:val="20"/>
          <w:rFonts w:hint="eastAsia" w:ascii="宋体" w:hAnsi="宋体" w:eastAsia="宋体" w:cs="宋体"/>
          <w:color w:val="auto"/>
          <w:spacing w:val="-2"/>
          <w:szCs w:val="21"/>
          <w:highlight w:val="none"/>
        </w:rPr>
        <w:t>以上企业，不属于大企业的分支机构，不存在控股股东为大企业的情形，也不存在与大企业的负责人为同一人的情形。</w:t>
      </w:r>
    </w:p>
    <w:p w14:paraId="11D5E540">
      <w:pPr>
        <w:pStyle w:val="45"/>
        <w:spacing w:line="360" w:lineRule="auto"/>
        <w:ind w:right="19" w:firstLine="412" w:firstLineChars="200"/>
        <w:rPr>
          <w:rStyle w:val="20"/>
          <w:rFonts w:hint="eastAsia" w:ascii="宋体" w:hAnsi="宋体" w:eastAsia="宋体" w:cs="宋体"/>
          <w:color w:val="auto"/>
          <w:spacing w:val="-2"/>
          <w:szCs w:val="21"/>
          <w:highlight w:val="none"/>
        </w:rPr>
      </w:pPr>
      <w:r>
        <w:rPr>
          <w:rStyle w:val="20"/>
          <w:rFonts w:hint="eastAsia" w:ascii="宋体" w:hAnsi="宋体" w:eastAsia="宋体" w:cs="宋体"/>
          <w:color w:val="auto"/>
          <w:spacing w:val="-2"/>
          <w:szCs w:val="21"/>
          <w:highlight w:val="none"/>
        </w:rPr>
        <w:t>本企业对上述声明内容的真实性负责。如有虚假，将依法承担相应责任。</w:t>
      </w:r>
    </w:p>
    <w:p w14:paraId="31EDF128">
      <w:pPr>
        <w:pStyle w:val="45"/>
        <w:spacing w:before="29" w:line="316" w:lineRule="auto"/>
        <w:ind w:left="4060" w:right="2166"/>
        <w:rPr>
          <w:rStyle w:val="20"/>
          <w:rFonts w:hint="eastAsia" w:ascii="宋体" w:hAnsi="宋体" w:eastAsia="宋体" w:cs="宋体"/>
          <w:color w:val="auto"/>
          <w:w w:val="99"/>
          <w:szCs w:val="21"/>
          <w:highlight w:val="none"/>
        </w:rPr>
      </w:pPr>
    </w:p>
    <w:p w14:paraId="1BDC0778">
      <w:pPr>
        <w:pStyle w:val="45"/>
        <w:spacing w:line="360" w:lineRule="auto"/>
        <w:ind w:right="19" w:firstLine="5047" w:firstLineChars="2450"/>
        <w:rPr>
          <w:rStyle w:val="20"/>
          <w:rFonts w:hint="eastAsia" w:ascii="宋体" w:hAnsi="宋体" w:eastAsia="宋体" w:cs="宋体"/>
          <w:color w:val="auto"/>
          <w:spacing w:val="-2"/>
          <w:szCs w:val="21"/>
          <w:highlight w:val="none"/>
        </w:rPr>
      </w:pPr>
      <w:r>
        <w:rPr>
          <w:rStyle w:val="20"/>
          <w:rFonts w:hint="eastAsia" w:ascii="宋体" w:hAnsi="宋体" w:eastAsia="宋体" w:cs="宋体"/>
          <w:color w:val="auto"/>
          <w:spacing w:val="-2"/>
          <w:szCs w:val="21"/>
          <w:highlight w:val="none"/>
        </w:rPr>
        <w:t>企业名称（盖章）：</w:t>
      </w:r>
    </w:p>
    <w:p w14:paraId="0DAC788B">
      <w:pPr>
        <w:pStyle w:val="45"/>
        <w:spacing w:line="360" w:lineRule="auto"/>
        <w:ind w:right="19" w:firstLine="5047" w:firstLineChars="2450"/>
        <w:rPr>
          <w:rStyle w:val="20"/>
          <w:rFonts w:hint="eastAsia" w:ascii="宋体" w:hAnsi="宋体" w:eastAsia="宋体" w:cs="宋体"/>
          <w:color w:val="auto"/>
          <w:spacing w:val="-2"/>
          <w:szCs w:val="21"/>
          <w:highlight w:val="none"/>
        </w:rPr>
      </w:pPr>
      <w:r>
        <w:rPr>
          <w:rStyle w:val="20"/>
          <w:rFonts w:hint="eastAsia" w:ascii="宋体" w:hAnsi="宋体" w:eastAsia="宋体" w:cs="宋体"/>
          <w:color w:val="auto"/>
          <w:spacing w:val="-2"/>
          <w:szCs w:val="21"/>
          <w:highlight w:val="none"/>
        </w:rPr>
        <w:t>日期：</w:t>
      </w:r>
    </w:p>
    <w:p w14:paraId="3DAB7276">
      <w:pPr>
        <w:pStyle w:val="45"/>
        <w:keepNext w:val="0"/>
        <w:keepLines w:val="0"/>
        <w:pageBreakBefore w:val="0"/>
        <w:widowControl w:val="0"/>
        <w:kinsoku/>
        <w:wordWrap/>
        <w:overflowPunct/>
        <w:topLinePunct w:val="0"/>
        <w:autoSpaceDE/>
        <w:autoSpaceDN/>
        <w:bidi w:val="0"/>
        <w:adjustRightInd w:val="0"/>
        <w:snapToGrid w:val="0"/>
        <w:spacing w:line="360" w:lineRule="auto"/>
        <w:ind w:left="420" w:leftChars="200" w:right="0" w:firstLine="0" w:firstLineChars="0"/>
        <w:textAlignment w:val="auto"/>
        <w:rPr>
          <w:rStyle w:val="20"/>
          <w:rFonts w:hint="eastAsia" w:ascii="宋体" w:hAnsi="宋体" w:eastAsia="宋体" w:cs="宋体"/>
          <w:b w:val="0"/>
          <w:bCs/>
          <w:color w:val="auto"/>
          <w:szCs w:val="24"/>
          <w:highlight w:val="none"/>
        </w:rPr>
      </w:pPr>
      <w:r>
        <w:rPr>
          <w:rStyle w:val="20"/>
          <w:rFonts w:hint="eastAsia" w:ascii="宋体" w:hAnsi="宋体" w:eastAsia="宋体" w:cs="宋体"/>
          <w:b w:val="0"/>
          <w:bCs/>
          <w:color w:val="auto"/>
          <w:szCs w:val="24"/>
          <w:highlight w:val="none"/>
        </w:rPr>
        <w:t>注：</w:t>
      </w:r>
    </w:p>
    <w:p w14:paraId="546C6078">
      <w:pPr>
        <w:pStyle w:val="45"/>
        <w:keepNext w:val="0"/>
        <w:keepLines w:val="0"/>
        <w:pageBreakBefore w:val="0"/>
        <w:widowControl w:val="0"/>
        <w:kinsoku/>
        <w:wordWrap/>
        <w:overflowPunct/>
        <w:topLinePunct w:val="0"/>
        <w:autoSpaceDE/>
        <w:autoSpaceDN/>
        <w:bidi w:val="0"/>
        <w:adjustRightInd w:val="0"/>
        <w:snapToGrid w:val="0"/>
        <w:spacing w:line="360" w:lineRule="auto"/>
        <w:ind w:left="420" w:leftChars="200" w:right="0" w:firstLine="0" w:firstLineChars="0"/>
        <w:textAlignment w:val="auto"/>
        <w:rPr>
          <w:rStyle w:val="20"/>
          <w:rFonts w:hint="eastAsia" w:ascii="宋体" w:hAnsi="宋体" w:eastAsia="宋体" w:cs="宋体"/>
          <w:b/>
          <w:bCs w:val="0"/>
          <w:color w:val="auto"/>
          <w:szCs w:val="24"/>
          <w:highlight w:val="none"/>
          <w:lang w:val="en-US" w:eastAsia="zh-CN"/>
        </w:rPr>
      </w:pPr>
      <w:r>
        <w:rPr>
          <w:rStyle w:val="20"/>
          <w:rFonts w:hint="eastAsia" w:ascii="宋体" w:hAnsi="宋体" w:cs="宋体"/>
          <w:b/>
          <w:bCs w:val="0"/>
          <w:color w:val="auto"/>
          <w:szCs w:val="24"/>
          <w:highlight w:val="none"/>
          <w:lang w:val="en-US" w:eastAsia="zh-CN"/>
        </w:rPr>
        <w:t>1.</w:t>
      </w:r>
      <w:r>
        <w:rPr>
          <w:rStyle w:val="20"/>
          <w:rFonts w:hint="eastAsia" w:ascii="宋体" w:hAnsi="宋体" w:eastAsia="宋体" w:cs="宋体"/>
          <w:b/>
          <w:bCs w:val="0"/>
          <w:color w:val="auto"/>
          <w:szCs w:val="24"/>
          <w:highlight w:val="none"/>
          <w:lang w:val="en-US" w:eastAsia="zh-CN"/>
        </w:rPr>
        <w:t>“</w:t>
      </w:r>
      <w:r>
        <w:rPr>
          <w:rStyle w:val="20"/>
          <w:rFonts w:hint="eastAsia" w:ascii="宋体" w:hAnsi="宋体" w:eastAsia="宋体" w:cs="宋体"/>
          <w:b/>
          <w:bCs w:val="0"/>
          <w:color w:val="auto"/>
          <w:szCs w:val="24"/>
          <w:highlight w:val="none"/>
          <w:lang w:eastAsia="zh-CN"/>
        </w:rPr>
        <w:t>工程</w:t>
      </w:r>
      <w:r>
        <w:rPr>
          <w:rStyle w:val="20"/>
          <w:rFonts w:hint="eastAsia" w:ascii="宋体" w:hAnsi="宋体" w:eastAsia="宋体" w:cs="宋体"/>
          <w:b/>
          <w:bCs w:val="0"/>
          <w:color w:val="auto"/>
          <w:szCs w:val="24"/>
          <w:highlight w:val="none"/>
        </w:rPr>
        <w:t>全部由符合政策要求的中小企业承</w:t>
      </w:r>
      <w:r>
        <w:rPr>
          <w:rStyle w:val="20"/>
          <w:rFonts w:hint="eastAsia" w:ascii="宋体" w:hAnsi="宋体" w:eastAsia="宋体" w:cs="宋体"/>
          <w:b/>
          <w:bCs w:val="0"/>
          <w:color w:val="auto"/>
          <w:szCs w:val="24"/>
          <w:highlight w:val="none"/>
          <w:lang w:eastAsia="zh-CN"/>
        </w:rPr>
        <w:t>建”</w:t>
      </w:r>
      <w:r>
        <w:rPr>
          <w:rStyle w:val="20"/>
          <w:rFonts w:hint="eastAsia" w:ascii="宋体" w:hAnsi="宋体" w:eastAsia="宋体" w:cs="宋体"/>
          <w:b/>
          <w:bCs w:val="0"/>
          <w:color w:val="auto"/>
          <w:szCs w:val="24"/>
          <w:highlight w:val="none"/>
          <w:lang w:val="en-US" w:eastAsia="zh-CN"/>
        </w:rPr>
        <w:t>中“全部</w:t>
      </w:r>
      <w:r>
        <w:rPr>
          <w:rStyle w:val="20"/>
          <w:rFonts w:hint="eastAsia" w:ascii="宋体" w:hAnsi="宋体" w:eastAsia="宋体" w:cs="宋体"/>
          <w:b/>
          <w:bCs w:val="0"/>
          <w:color w:val="auto"/>
          <w:szCs w:val="24"/>
          <w:highlight w:val="none"/>
          <w:lang w:eastAsia="zh-CN"/>
        </w:rPr>
        <w:t>”</w:t>
      </w:r>
      <w:r>
        <w:rPr>
          <w:rStyle w:val="20"/>
          <w:rFonts w:hint="eastAsia" w:ascii="宋体" w:hAnsi="宋体" w:eastAsia="宋体" w:cs="宋体"/>
          <w:b/>
          <w:bCs w:val="0"/>
          <w:color w:val="auto"/>
          <w:szCs w:val="24"/>
          <w:highlight w:val="none"/>
          <w:lang w:val="en-US" w:eastAsia="zh-CN"/>
        </w:rPr>
        <w:t>是指分包部分全部由中小企业</w:t>
      </w:r>
      <w:r>
        <w:rPr>
          <w:rStyle w:val="20"/>
          <w:rFonts w:hint="eastAsia" w:ascii="宋体" w:hAnsi="宋体" w:eastAsia="宋体" w:cs="宋体"/>
          <w:b/>
          <w:bCs w:val="0"/>
          <w:color w:val="auto"/>
          <w:szCs w:val="24"/>
          <w:highlight w:val="none"/>
        </w:rPr>
        <w:t>承</w:t>
      </w:r>
      <w:r>
        <w:rPr>
          <w:rStyle w:val="20"/>
          <w:rFonts w:hint="eastAsia" w:ascii="宋体" w:hAnsi="宋体" w:eastAsia="宋体" w:cs="宋体"/>
          <w:b/>
          <w:bCs w:val="0"/>
          <w:color w:val="auto"/>
          <w:szCs w:val="24"/>
          <w:highlight w:val="none"/>
          <w:lang w:eastAsia="zh-CN"/>
        </w:rPr>
        <w:t>建</w:t>
      </w:r>
      <w:r>
        <w:rPr>
          <w:rStyle w:val="20"/>
          <w:rFonts w:hint="eastAsia" w:ascii="宋体" w:hAnsi="宋体" w:eastAsia="宋体" w:cs="宋体"/>
          <w:b/>
          <w:bCs w:val="0"/>
          <w:color w:val="auto"/>
          <w:szCs w:val="24"/>
          <w:highlight w:val="none"/>
          <w:lang w:val="en-US" w:eastAsia="zh-CN"/>
        </w:rPr>
        <w:t>。</w:t>
      </w:r>
    </w:p>
    <w:p w14:paraId="44B36D6E">
      <w:pPr>
        <w:pStyle w:val="45"/>
        <w:keepNext w:val="0"/>
        <w:keepLines w:val="0"/>
        <w:pageBreakBefore w:val="0"/>
        <w:widowControl w:val="0"/>
        <w:kinsoku/>
        <w:wordWrap/>
        <w:overflowPunct/>
        <w:topLinePunct w:val="0"/>
        <w:autoSpaceDE/>
        <w:autoSpaceDN/>
        <w:bidi w:val="0"/>
        <w:adjustRightInd w:val="0"/>
        <w:snapToGrid w:val="0"/>
        <w:spacing w:line="360" w:lineRule="auto"/>
        <w:ind w:left="420" w:leftChars="200" w:right="0" w:firstLine="0" w:firstLineChars="0"/>
        <w:textAlignment w:val="auto"/>
        <w:rPr>
          <w:rStyle w:val="20"/>
          <w:rFonts w:hint="eastAsia" w:ascii="宋体" w:hAnsi="宋体" w:eastAsia="宋体" w:cs="宋体"/>
          <w:b/>
          <w:bCs w:val="0"/>
          <w:color w:val="auto"/>
          <w:szCs w:val="24"/>
          <w:highlight w:val="none"/>
        </w:rPr>
      </w:pPr>
      <w:r>
        <w:rPr>
          <w:rStyle w:val="20"/>
          <w:rFonts w:hint="eastAsia" w:ascii="宋体" w:hAnsi="宋体" w:cs="宋体"/>
          <w:b/>
          <w:bCs w:val="0"/>
          <w:color w:val="auto"/>
          <w:szCs w:val="24"/>
          <w:highlight w:val="none"/>
          <w:lang w:val="en-US" w:eastAsia="zh-CN"/>
        </w:rPr>
        <w:t>2.</w:t>
      </w:r>
      <w:r>
        <w:rPr>
          <w:rStyle w:val="20"/>
          <w:rFonts w:hint="eastAsia" w:ascii="宋体" w:hAnsi="宋体" w:eastAsia="宋体" w:cs="宋体"/>
          <w:b/>
          <w:bCs w:val="0"/>
          <w:color w:val="auto"/>
          <w:szCs w:val="24"/>
          <w:highlight w:val="none"/>
        </w:rPr>
        <w:t>从业人员、营业收入、资产总额填报上一年度数据，无上一年度数据的新成立企业可不填报。</w:t>
      </w:r>
    </w:p>
    <w:p w14:paraId="32C1857C">
      <w:pPr>
        <w:pStyle w:val="45"/>
        <w:keepNext w:val="0"/>
        <w:keepLines w:val="0"/>
        <w:pageBreakBefore w:val="0"/>
        <w:widowControl w:val="0"/>
        <w:kinsoku/>
        <w:wordWrap/>
        <w:overflowPunct/>
        <w:topLinePunct w:val="0"/>
        <w:autoSpaceDE/>
        <w:autoSpaceDN/>
        <w:bidi w:val="0"/>
        <w:adjustRightInd w:val="0"/>
        <w:snapToGrid w:val="0"/>
        <w:spacing w:line="360" w:lineRule="auto"/>
        <w:ind w:left="420" w:leftChars="200" w:right="0" w:firstLine="0" w:firstLineChars="0"/>
        <w:textAlignment w:val="auto"/>
        <w:rPr>
          <w:rStyle w:val="20"/>
          <w:rFonts w:hint="eastAsia" w:ascii="宋体" w:hAnsi="宋体" w:eastAsia="宋体" w:cs="宋体"/>
          <w:b/>
          <w:bCs w:val="0"/>
          <w:color w:val="auto"/>
          <w:szCs w:val="24"/>
          <w:highlight w:val="none"/>
        </w:rPr>
      </w:pPr>
      <w:r>
        <w:rPr>
          <w:rStyle w:val="20"/>
          <w:rFonts w:hint="eastAsia" w:ascii="宋体" w:hAnsi="宋体" w:cs="宋体"/>
          <w:b/>
          <w:bCs w:val="0"/>
          <w:color w:val="auto"/>
          <w:szCs w:val="24"/>
          <w:highlight w:val="none"/>
          <w:lang w:val="en-US" w:eastAsia="zh-CN"/>
        </w:rPr>
        <w:t>3.</w:t>
      </w:r>
      <w:r>
        <w:rPr>
          <w:rStyle w:val="20"/>
          <w:rFonts w:hint="eastAsia" w:ascii="宋体" w:hAnsi="宋体" w:eastAsia="宋体" w:cs="宋体"/>
          <w:b/>
          <w:bCs w:val="0"/>
          <w:color w:val="auto"/>
          <w:szCs w:val="24"/>
          <w:highlight w:val="none"/>
        </w:rPr>
        <w:t>中标结果同时公告《中小企业声明函》，接受社会监督。</w:t>
      </w:r>
    </w:p>
    <w:p w14:paraId="007A3860">
      <w:pPr>
        <w:pStyle w:val="45"/>
        <w:spacing w:line="360" w:lineRule="auto"/>
        <w:ind w:right="19" w:firstLine="422" w:firstLineChars="200"/>
        <w:rPr>
          <w:rStyle w:val="20"/>
          <w:rFonts w:hint="eastAsia" w:ascii="宋体" w:hAnsi="宋体" w:eastAsia="宋体" w:cs="宋体"/>
          <w:b/>
          <w:color w:val="auto"/>
          <w:szCs w:val="24"/>
          <w:highlight w:val="none"/>
        </w:rPr>
      </w:pPr>
      <w:r>
        <w:rPr>
          <w:rStyle w:val="20"/>
          <w:rFonts w:hint="eastAsia" w:ascii="宋体" w:hAnsi="宋体" w:cs="宋体"/>
          <w:b/>
          <w:bCs w:val="0"/>
          <w:color w:val="auto"/>
          <w:szCs w:val="24"/>
          <w:highlight w:val="none"/>
          <w:lang w:val="en-US" w:eastAsia="zh-CN"/>
        </w:rPr>
        <w:t>4.</w:t>
      </w:r>
      <w:r>
        <w:rPr>
          <w:rStyle w:val="20"/>
          <w:rFonts w:hint="eastAsia" w:ascii="宋体" w:hAnsi="宋体" w:eastAsia="宋体" w:cs="宋体"/>
          <w:b/>
          <w:bCs w:val="0"/>
          <w:color w:val="auto"/>
          <w:szCs w:val="24"/>
          <w:highlight w:val="none"/>
          <w:lang w:val="en-US" w:eastAsia="zh-CN"/>
        </w:rPr>
        <w:t>本声明函由参加投标的投标人出具并加盖公章。</w:t>
      </w:r>
    </w:p>
    <w:p w14:paraId="0E901308">
      <w:pPr>
        <w:pStyle w:val="44"/>
        <w:rPr>
          <w:rStyle w:val="20"/>
          <w:rFonts w:ascii="Calibri" w:hAnsi="Calibri" w:eastAsia="宋体" w:cs="Times New Roman"/>
          <w:color w:val="auto"/>
        </w:rPr>
      </w:pPr>
    </w:p>
    <w:p w14:paraId="3E39B3C7">
      <w:pPr>
        <w:pStyle w:val="47"/>
        <w:jc w:val="left"/>
        <w:outlineLvl w:val="1"/>
        <w:rPr>
          <w:rStyle w:val="20"/>
          <w:rFonts w:ascii="Times New Roman" w:hAnsi="Times New Roman" w:eastAsia="Times New Roman" w:cs="Times New Roman"/>
          <w:color w:val="auto"/>
        </w:rPr>
      </w:pPr>
      <w:r>
        <w:rPr>
          <w:rStyle w:val="20"/>
          <w:rFonts w:ascii="Times New Roman" w:hAnsi="Times New Roman" w:eastAsia="Times New Roman" w:cs="Times New Roman"/>
          <w:color w:val="auto"/>
        </w:rPr>
        <w:br w:type="page"/>
      </w:r>
      <w:bookmarkStart w:id="2074" w:name="_Toc2249"/>
      <w:bookmarkStart w:id="2075" w:name="_Toc256000532"/>
      <w:bookmarkStart w:id="2076" w:name="_Toc256000211"/>
      <w:r>
        <w:rPr>
          <w:rStyle w:val="20"/>
          <w:rFonts w:hint="eastAsia" w:ascii="黑体" w:hAnsi="黑体" w:eastAsia="黑体" w:cs="黑体"/>
          <w:b/>
          <w:color w:val="auto"/>
          <w:sz w:val="32"/>
          <w:lang w:eastAsia="zh-CN"/>
        </w:rPr>
        <w:t>（二）</w:t>
      </w:r>
      <w:r>
        <w:rPr>
          <w:rStyle w:val="20"/>
          <w:rFonts w:ascii="黑体" w:hAnsi="黑体" w:eastAsia="黑体" w:cs="黑体"/>
          <w:b/>
          <w:color w:val="auto"/>
          <w:sz w:val="32"/>
        </w:rPr>
        <w:t>分包意向协议</w:t>
      </w:r>
      <w:bookmarkEnd w:id="2074"/>
      <w:bookmarkEnd w:id="2075"/>
      <w:bookmarkEnd w:id="2076"/>
    </w:p>
    <w:p w14:paraId="64B9455A">
      <w:pPr>
        <w:pStyle w:val="48"/>
        <w:jc w:val="center"/>
        <w:rPr>
          <w:rStyle w:val="20"/>
          <w:rFonts w:hint="eastAsia" w:ascii="宋体" w:hAnsi="宋体" w:eastAsia="宋体" w:cs="宋体"/>
          <w:b/>
          <w:color w:val="auto"/>
          <w:sz w:val="32"/>
          <w:szCs w:val="32"/>
          <w:highlight w:val="none"/>
          <w:lang w:val="zh-CN" w:eastAsia="zh-CN"/>
        </w:rPr>
      </w:pPr>
      <w:bookmarkStart w:id="2077" w:name="书签4_1"/>
      <w:bookmarkEnd w:id="2077"/>
      <w:r>
        <w:rPr>
          <w:rStyle w:val="20"/>
          <w:rFonts w:hint="eastAsia" w:ascii="宋体" w:hAnsi="宋体" w:eastAsia="宋体" w:cs="宋体"/>
          <w:b/>
          <w:color w:val="auto"/>
          <w:sz w:val="32"/>
          <w:szCs w:val="32"/>
          <w:highlight w:val="none"/>
          <w:lang w:val="zh-CN" w:eastAsia="zh-CN"/>
        </w:rPr>
        <w:t>分包意向协议</w:t>
      </w:r>
    </w:p>
    <w:p w14:paraId="36E1376A">
      <w:pPr>
        <w:pStyle w:val="48"/>
        <w:jc w:val="center"/>
        <w:rPr>
          <w:rStyle w:val="20"/>
          <w:rFonts w:hint="eastAsia" w:ascii="宋体" w:hAnsi="宋体" w:eastAsia="宋体" w:cs="宋体"/>
          <w:b/>
          <w:color w:val="auto"/>
          <w:sz w:val="21"/>
          <w:szCs w:val="21"/>
          <w:highlight w:val="none"/>
          <w:lang w:val="zh-CN" w:eastAsia="zh-CN"/>
        </w:rPr>
      </w:pPr>
    </w:p>
    <w:p w14:paraId="24607B9E">
      <w:pPr>
        <w:pStyle w:val="48"/>
        <w:spacing w:line="360" w:lineRule="auto"/>
        <w:jc w:val="center"/>
        <w:rPr>
          <w:rStyle w:val="20"/>
          <w:rFonts w:hint="eastAsia" w:ascii="宋体" w:hAnsi="宋体" w:eastAsia="宋体" w:cs="宋体"/>
          <w:b/>
          <w:bCs/>
          <w:color w:val="auto"/>
          <w:sz w:val="21"/>
          <w:szCs w:val="21"/>
          <w:highlight w:val="none"/>
          <w:lang w:val="zh-CN"/>
        </w:rPr>
      </w:pPr>
      <w:r>
        <w:rPr>
          <w:rStyle w:val="20"/>
          <w:rFonts w:hint="eastAsia" w:ascii="宋体" w:hAnsi="宋体" w:eastAsia="宋体" w:cs="宋体"/>
          <w:b/>
          <w:bCs/>
          <w:color w:val="auto"/>
          <w:sz w:val="21"/>
          <w:szCs w:val="21"/>
          <w:highlight w:val="none"/>
          <w:lang w:val="zh-CN"/>
        </w:rPr>
        <w:t>（格式自拟，</w:t>
      </w:r>
      <w:r>
        <w:rPr>
          <w:rStyle w:val="20"/>
          <w:rFonts w:hint="eastAsia" w:ascii="宋体" w:hAnsi="宋体" w:eastAsia="宋体" w:cs="宋体"/>
          <w:b/>
          <w:bCs/>
          <w:color w:val="auto"/>
          <w:sz w:val="21"/>
          <w:szCs w:val="21"/>
          <w:highlight w:val="none"/>
          <w:lang w:val="en-US" w:eastAsia="zh-CN"/>
        </w:rPr>
        <w:t>包括但不限于拟分包单位名称、企业划型、金额、所占比例等内容，双方签章齐全</w:t>
      </w:r>
      <w:r>
        <w:rPr>
          <w:rStyle w:val="20"/>
          <w:rFonts w:hint="eastAsia" w:ascii="宋体" w:hAnsi="宋体" w:eastAsia="宋体" w:cs="宋体"/>
          <w:b/>
          <w:bCs/>
          <w:color w:val="auto"/>
          <w:sz w:val="21"/>
          <w:szCs w:val="21"/>
          <w:highlight w:val="none"/>
          <w:lang w:val="zh-CN"/>
        </w:rPr>
        <w:t>）</w:t>
      </w:r>
    </w:p>
    <w:p w14:paraId="3DD3BF0D">
      <w:pPr>
        <w:pStyle w:val="48"/>
        <w:spacing w:line="360" w:lineRule="auto"/>
        <w:jc w:val="both"/>
        <w:rPr>
          <w:rStyle w:val="20"/>
          <w:rFonts w:hint="eastAsia" w:ascii="宋体" w:hAnsi="宋体" w:eastAsia="宋体" w:cs="宋体"/>
          <w:b/>
          <w:bCs/>
          <w:color w:val="auto"/>
          <w:sz w:val="21"/>
          <w:szCs w:val="21"/>
          <w:highlight w:val="none"/>
          <w:lang w:val="zh-CN"/>
        </w:rPr>
      </w:pPr>
    </w:p>
    <w:p w14:paraId="60774750">
      <w:pPr>
        <w:pStyle w:val="48"/>
        <w:spacing w:line="360" w:lineRule="auto"/>
        <w:jc w:val="both"/>
        <w:rPr>
          <w:rStyle w:val="20"/>
          <w:rFonts w:hint="eastAsia" w:ascii="宋体" w:hAnsi="宋体" w:eastAsia="宋体" w:cs="宋体"/>
          <w:b/>
          <w:bCs/>
          <w:color w:val="auto"/>
          <w:sz w:val="21"/>
          <w:szCs w:val="21"/>
          <w:highlight w:val="none"/>
          <w:lang w:val="zh-CN"/>
        </w:rPr>
      </w:pPr>
    </w:p>
    <w:p w14:paraId="5222DF53">
      <w:pPr>
        <w:pStyle w:val="48"/>
        <w:spacing w:line="360" w:lineRule="auto"/>
        <w:jc w:val="both"/>
        <w:rPr>
          <w:rStyle w:val="20"/>
          <w:rFonts w:hint="eastAsia" w:ascii="宋体" w:hAnsi="宋体" w:eastAsia="宋体" w:cs="宋体"/>
          <w:b/>
          <w:bCs/>
          <w:color w:val="auto"/>
          <w:sz w:val="21"/>
          <w:szCs w:val="21"/>
          <w:highlight w:val="none"/>
          <w:lang w:val="zh-CN"/>
        </w:rPr>
      </w:pPr>
    </w:p>
    <w:p w14:paraId="4F953481">
      <w:pPr>
        <w:pStyle w:val="48"/>
        <w:spacing w:line="360" w:lineRule="auto"/>
        <w:jc w:val="both"/>
        <w:rPr>
          <w:rStyle w:val="20"/>
          <w:rFonts w:hint="eastAsia" w:ascii="宋体" w:hAnsi="宋体" w:eastAsia="宋体" w:cs="宋体"/>
          <w:b/>
          <w:bCs/>
          <w:color w:val="auto"/>
          <w:sz w:val="21"/>
          <w:szCs w:val="21"/>
          <w:highlight w:val="none"/>
          <w:lang w:val="zh-CN"/>
        </w:rPr>
      </w:pPr>
    </w:p>
    <w:p w14:paraId="2553C6DF">
      <w:pPr>
        <w:pStyle w:val="48"/>
        <w:spacing w:line="360" w:lineRule="auto"/>
        <w:jc w:val="both"/>
        <w:rPr>
          <w:rStyle w:val="20"/>
          <w:rFonts w:hint="eastAsia" w:ascii="宋体" w:hAnsi="宋体" w:eastAsia="宋体" w:cs="宋体"/>
          <w:b/>
          <w:bCs/>
          <w:color w:val="auto"/>
          <w:sz w:val="21"/>
          <w:szCs w:val="21"/>
          <w:highlight w:val="none"/>
          <w:lang w:val="zh-CN"/>
        </w:rPr>
      </w:pPr>
    </w:p>
    <w:p w14:paraId="280EF10A">
      <w:pPr>
        <w:pStyle w:val="48"/>
        <w:spacing w:line="360" w:lineRule="auto"/>
        <w:jc w:val="both"/>
        <w:rPr>
          <w:rStyle w:val="20"/>
          <w:rFonts w:hint="eastAsia" w:ascii="宋体" w:hAnsi="宋体" w:eastAsia="宋体" w:cs="宋体"/>
          <w:b/>
          <w:bCs/>
          <w:color w:val="auto"/>
          <w:sz w:val="21"/>
          <w:szCs w:val="21"/>
          <w:highlight w:val="none"/>
          <w:lang w:val="zh-CN" w:eastAsia="zh-CN"/>
        </w:rPr>
      </w:pPr>
      <w:r>
        <w:rPr>
          <w:rStyle w:val="20"/>
          <w:rFonts w:hint="eastAsia" w:ascii="宋体" w:hAnsi="宋体" w:eastAsia="宋体" w:cs="宋体"/>
          <w:b/>
          <w:bCs/>
          <w:color w:val="auto"/>
          <w:sz w:val="21"/>
          <w:szCs w:val="21"/>
          <w:highlight w:val="none"/>
          <w:lang w:val="zh-CN"/>
        </w:rPr>
        <w:t>注：投标单位为小型、微型企业且全部工程自行承担的，不需提供《分包意向协议》</w:t>
      </w:r>
      <w:r>
        <w:rPr>
          <w:rStyle w:val="20"/>
          <w:rFonts w:hint="eastAsia" w:ascii="宋体" w:hAnsi="宋体" w:eastAsia="宋体" w:cs="宋体"/>
          <w:b/>
          <w:bCs/>
          <w:color w:val="auto"/>
          <w:highlight w:val="none"/>
          <w:lang w:eastAsia="zh-CN"/>
        </w:rPr>
        <w:t>。</w:t>
      </w:r>
    </w:p>
    <w:p w14:paraId="2A94C9A3">
      <w:pPr>
        <w:pStyle w:val="52"/>
        <w:numPr>
          <w:ilvl w:val="0"/>
          <w:numId w:val="0"/>
        </w:numPr>
        <w:jc w:val="left"/>
        <w:outlineLvl w:val="9"/>
        <w:rPr>
          <w:rStyle w:val="20"/>
          <w:rFonts w:hint="eastAsia" w:ascii="黑体" w:hAnsi="黑体" w:eastAsia="黑体" w:cs="黑体"/>
          <w:b/>
          <w:color w:val="auto"/>
          <w:sz w:val="32"/>
          <w:lang w:eastAsia="zh-CN"/>
        </w:rPr>
      </w:pPr>
    </w:p>
    <w:p w14:paraId="474B609E">
      <w:pPr>
        <w:rPr>
          <w:color w:val="auto"/>
        </w:rPr>
      </w:pPr>
      <w:r>
        <w:rPr>
          <w:color w:val="auto"/>
        </w:rPr>
        <w:br w:type="page"/>
      </w:r>
    </w:p>
    <w:p w14:paraId="0CD7C98C">
      <w:pPr>
        <w:rPr>
          <w:color w:val="auto"/>
        </w:rPr>
      </w:pPr>
    </w:p>
    <w:p w14:paraId="44441AE7">
      <w:pPr>
        <w:pStyle w:val="47"/>
        <w:keepNext w:val="0"/>
        <w:keepLines w:val="0"/>
        <w:pageBreakBefore w:val="0"/>
        <w:kinsoku/>
        <w:wordWrap/>
        <w:overflowPunct/>
        <w:topLinePunct w:val="0"/>
        <w:autoSpaceDE/>
        <w:autoSpaceDN/>
        <w:bidi w:val="0"/>
        <w:adjustRightInd/>
        <w:snapToGrid/>
        <w:spacing w:line="360" w:lineRule="auto"/>
        <w:jc w:val="left"/>
        <w:textAlignment w:val="auto"/>
        <w:outlineLvl w:val="1"/>
        <w:rPr>
          <w:rStyle w:val="20"/>
          <w:rFonts w:hint="eastAsia" w:ascii="黑体" w:hAnsi="黑体" w:eastAsia="黑体" w:cs="黑体"/>
          <w:b/>
          <w:color w:val="auto"/>
          <w:sz w:val="32"/>
          <w:lang w:eastAsia="zh-CN"/>
        </w:rPr>
      </w:pPr>
      <w:bookmarkStart w:id="2078" w:name="_Toc23005"/>
      <w:r>
        <w:rPr>
          <w:rStyle w:val="20"/>
          <w:rFonts w:hint="eastAsia" w:ascii="黑体" w:hAnsi="黑体" w:eastAsia="黑体" w:cs="黑体"/>
          <w:b/>
          <w:color w:val="auto"/>
          <w:sz w:val="32"/>
          <w:lang w:eastAsia="zh-CN"/>
        </w:rPr>
        <w:t>（三）节能、环保产品证明材料</w:t>
      </w:r>
    </w:p>
    <w:p w14:paraId="4410AF0A">
      <w:pPr>
        <w:pStyle w:val="48"/>
        <w:keepNext w:val="0"/>
        <w:keepLines w:val="0"/>
        <w:pageBreakBefore w:val="0"/>
        <w:kinsoku/>
        <w:wordWrap/>
        <w:overflowPunct/>
        <w:topLinePunct w:val="0"/>
        <w:autoSpaceDE/>
        <w:autoSpaceDN/>
        <w:bidi w:val="0"/>
        <w:adjustRightInd/>
        <w:snapToGrid/>
        <w:spacing w:line="360" w:lineRule="auto"/>
        <w:jc w:val="center"/>
        <w:textAlignment w:val="auto"/>
        <w:rPr>
          <w:rStyle w:val="20"/>
          <w:rFonts w:hint="eastAsia" w:ascii="宋体" w:hAnsi="宋体" w:eastAsia="宋体" w:cs="宋体"/>
          <w:b/>
          <w:color w:val="auto"/>
          <w:sz w:val="32"/>
          <w:szCs w:val="32"/>
          <w:highlight w:val="none"/>
          <w:lang w:val="zh-CN" w:eastAsia="zh-CN"/>
        </w:rPr>
      </w:pPr>
      <w:r>
        <w:rPr>
          <w:rStyle w:val="20"/>
          <w:rFonts w:hint="eastAsia" w:ascii="宋体" w:hAnsi="宋体" w:eastAsia="宋体" w:cs="宋体"/>
          <w:b/>
          <w:color w:val="auto"/>
          <w:sz w:val="32"/>
          <w:szCs w:val="32"/>
          <w:highlight w:val="none"/>
          <w:lang w:val="zh-CN" w:eastAsia="zh-CN"/>
        </w:rPr>
        <w:t>强制性节能环保产品《品目清单》</w:t>
      </w:r>
    </w:p>
    <w:p w14:paraId="75BAEE0F">
      <w:pPr>
        <w:pStyle w:val="48"/>
        <w:keepNext w:val="0"/>
        <w:keepLines w:val="0"/>
        <w:pageBreakBefore w:val="0"/>
        <w:kinsoku/>
        <w:wordWrap/>
        <w:overflowPunct/>
        <w:topLinePunct w:val="0"/>
        <w:autoSpaceDE/>
        <w:autoSpaceDN/>
        <w:bidi w:val="0"/>
        <w:adjustRightInd/>
        <w:snapToGrid/>
        <w:spacing w:line="360" w:lineRule="auto"/>
        <w:jc w:val="center"/>
        <w:textAlignment w:val="auto"/>
        <w:rPr>
          <w:rStyle w:val="20"/>
          <w:rFonts w:hint="eastAsia" w:ascii="宋体" w:hAnsi="宋体" w:eastAsia="宋体" w:cs="宋体"/>
          <w:b/>
          <w:color w:val="auto"/>
          <w:sz w:val="32"/>
          <w:szCs w:val="32"/>
          <w:highlight w:val="none"/>
          <w:lang w:val="zh-CN" w:eastAsia="zh-CN"/>
        </w:rPr>
      </w:pPr>
      <w:r>
        <w:rPr>
          <w:rStyle w:val="20"/>
          <w:rFonts w:hint="eastAsia" w:ascii="宋体" w:hAnsi="宋体" w:eastAsia="宋体" w:cs="宋体"/>
          <w:b/>
          <w:color w:val="auto"/>
          <w:sz w:val="32"/>
          <w:szCs w:val="32"/>
          <w:highlight w:val="none"/>
          <w:lang w:val="zh-CN" w:eastAsia="zh-CN"/>
        </w:rPr>
        <w:t>国家确定的认证机构出具的、处于有效期之内的《节能产品认证证书》</w:t>
      </w:r>
    </w:p>
    <w:p w14:paraId="0C1FD4DE">
      <w:pPr>
        <w:spacing w:line="360" w:lineRule="auto"/>
        <w:rPr>
          <w:rFonts w:hint="eastAsia" w:ascii="宋体" w:hAnsi="宋体" w:eastAsia="宋体" w:cs="宋体"/>
          <w:color w:val="auto"/>
        </w:rPr>
      </w:pPr>
      <w:r>
        <w:rPr>
          <w:rFonts w:hint="eastAsia" w:ascii="宋体" w:hAnsi="宋体" w:eastAsia="宋体" w:cs="宋体"/>
          <w:color w:val="auto"/>
        </w:rPr>
        <w:t>本项目中的政府强制采购的节能产品包括：</w:t>
      </w:r>
    </w:p>
    <w:tbl>
      <w:tblPr>
        <w:tblStyle w:val="18"/>
        <w:tblW w:w="845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95"/>
        <w:gridCol w:w="1389"/>
        <w:gridCol w:w="5974"/>
      </w:tblGrid>
      <w:tr w14:paraId="4BD79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80BB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38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23AF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color w:val="auto"/>
              </w:rPr>
              <w:t>照明设备</w:t>
            </w:r>
          </w:p>
        </w:tc>
        <w:tc>
          <w:tcPr>
            <w:tcW w:w="5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D798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双管日光灯</w:t>
            </w:r>
          </w:p>
        </w:tc>
      </w:tr>
      <w:tr w14:paraId="5DF2A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DC65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DE9DD">
            <w:pPr>
              <w:jc w:val="center"/>
              <w:rPr>
                <w:rFonts w:hint="eastAsia" w:ascii="宋体" w:hAnsi="宋体" w:eastAsia="宋体" w:cs="宋体"/>
                <w:i w:val="0"/>
                <w:iCs w:val="0"/>
                <w:color w:val="auto"/>
                <w:sz w:val="21"/>
                <w:szCs w:val="21"/>
                <w:u w:val="none"/>
              </w:rPr>
            </w:pPr>
          </w:p>
        </w:tc>
        <w:tc>
          <w:tcPr>
            <w:tcW w:w="5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E917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LED双管日光灯</w:t>
            </w:r>
          </w:p>
        </w:tc>
      </w:tr>
      <w:tr w14:paraId="09FCF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E8AD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0E090">
            <w:pPr>
              <w:jc w:val="center"/>
              <w:rPr>
                <w:rFonts w:hint="eastAsia" w:ascii="宋体" w:hAnsi="宋体" w:eastAsia="宋体" w:cs="宋体"/>
                <w:i w:val="0"/>
                <w:iCs w:val="0"/>
                <w:color w:val="auto"/>
                <w:sz w:val="21"/>
                <w:szCs w:val="21"/>
                <w:u w:val="none"/>
              </w:rPr>
            </w:pPr>
          </w:p>
        </w:tc>
        <w:tc>
          <w:tcPr>
            <w:tcW w:w="5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479D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矩形吸顶灯（双管）</w:t>
            </w:r>
          </w:p>
        </w:tc>
      </w:tr>
      <w:tr w14:paraId="7BFC2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EBED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138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7BC2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空调机</w:t>
            </w:r>
          </w:p>
        </w:tc>
        <w:tc>
          <w:tcPr>
            <w:tcW w:w="5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BD3E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立式分体空调</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含室内室外机</w:t>
            </w:r>
            <w:r>
              <w:rPr>
                <w:rFonts w:hint="eastAsia" w:ascii="宋体" w:hAnsi="宋体" w:cs="宋体"/>
                <w:i w:val="0"/>
                <w:iCs w:val="0"/>
                <w:color w:val="auto"/>
                <w:kern w:val="0"/>
                <w:sz w:val="21"/>
                <w:szCs w:val="21"/>
                <w:u w:val="none"/>
                <w:lang w:val="en-US" w:eastAsia="zh-CN" w:bidi="ar"/>
              </w:rPr>
              <w:t>）</w:t>
            </w:r>
          </w:p>
        </w:tc>
      </w:tr>
      <w:tr w14:paraId="409D2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CF29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51F4E">
            <w:pPr>
              <w:jc w:val="center"/>
              <w:rPr>
                <w:rFonts w:hint="eastAsia" w:ascii="宋体" w:hAnsi="宋体" w:eastAsia="宋体" w:cs="宋体"/>
                <w:i w:val="0"/>
                <w:iCs w:val="0"/>
                <w:color w:val="auto"/>
                <w:sz w:val="21"/>
                <w:szCs w:val="21"/>
                <w:u w:val="none"/>
              </w:rPr>
            </w:pPr>
          </w:p>
        </w:tc>
        <w:tc>
          <w:tcPr>
            <w:tcW w:w="5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8343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冷暖型立式分体空调</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含室内室外机</w:t>
            </w:r>
            <w:r>
              <w:rPr>
                <w:rFonts w:hint="eastAsia" w:ascii="宋体" w:hAnsi="宋体" w:cs="宋体"/>
                <w:i w:val="0"/>
                <w:iCs w:val="0"/>
                <w:color w:val="auto"/>
                <w:kern w:val="0"/>
                <w:sz w:val="21"/>
                <w:szCs w:val="21"/>
                <w:u w:val="none"/>
                <w:lang w:val="en-US" w:eastAsia="zh-CN" w:bidi="ar"/>
              </w:rPr>
              <w:t>）</w:t>
            </w:r>
          </w:p>
        </w:tc>
      </w:tr>
      <w:tr w14:paraId="5CBA1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516B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A0176">
            <w:pPr>
              <w:jc w:val="center"/>
              <w:rPr>
                <w:rFonts w:hint="eastAsia" w:ascii="宋体" w:hAnsi="宋体" w:eastAsia="宋体" w:cs="宋体"/>
                <w:i w:val="0"/>
                <w:iCs w:val="0"/>
                <w:color w:val="auto"/>
                <w:sz w:val="21"/>
                <w:szCs w:val="21"/>
                <w:u w:val="none"/>
              </w:rPr>
            </w:pPr>
          </w:p>
        </w:tc>
        <w:tc>
          <w:tcPr>
            <w:tcW w:w="5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4377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立式分体空调</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含室内室外机</w:t>
            </w:r>
            <w:r>
              <w:rPr>
                <w:rFonts w:hint="eastAsia" w:ascii="宋体" w:hAnsi="宋体" w:cs="宋体"/>
                <w:i w:val="0"/>
                <w:iCs w:val="0"/>
                <w:color w:val="auto"/>
                <w:kern w:val="0"/>
                <w:sz w:val="21"/>
                <w:szCs w:val="21"/>
                <w:u w:val="none"/>
                <w:lang w:val="en-US" w:eastAsia="zh-CN" w:bidi="ar"/>
              </w:rPr>
              <w:t>）</w:t>
            </w:r>
          </w:p>
        </w:tc>
      </w:tr>
      <w:tr w14:paraId="44F09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3F43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w:t>
            </w: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EAAA2">
            <w:pPr>
              <w:jc w:val="center"/>
              <w:rPr>
                <w:rFonts w:hint="eastAsia" w:ascii="宋体" w:hAnsi="宋体" w:eastAsia="宋体" w:cs="宋体"/>
                <w:i w:val="0"/>
                <w:iCs w:val="0"/>
                <w:color w:val="auto"/>
                <w:sz w:val="21"/>
                <w:szCs w:val="21"/>
                <w:u w:val="none"/>
              </w:rPr>
            </w:pPr>
          </w:p>
        </w:tc>
        <w:tc>
          <w:tcPr>
            <w:tcW w:w="5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22D8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壁挂式分体空调</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含室内室外机</w:t>
            </w:r>
            <w:r>
              <w:rPr>
                <w:rFonts w:hint="eastAsia" w:ascii="宋体" w:hAnsi="宋体" w:cs="宋体"/>
                <w:i w:val="0"/>
                <w:iCs w:val="0"/>
                <w:color w:val="auto"/>
                <w:kern w:val="0"/>
                <w:sz w:val="21"/>
                <w:szCs w:val="21"/>
                <w:u w:val="none"/>
                <w:lang w:val="en-US" w:eastAsia="zh-CN" w:bidi="ar"/>
              </w:rPr>
              <w:t>）</w:t>
            </w:r>
          </w:p>
        </w:tc>
      </w:tr>
      <w:tr w14:paraId="36CD4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E64C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w:t>
            </w: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3B9D3">
            <w:pPr>
              <w:jc w:val="center"/>
              <w:rPr>
                <w:rFonts w:hint="eastAsia" w:ascii="宋体" w:hAnsi="宋体" w:eastAsia="宋体" w:cs="宋体"/>
                <w:i w:val="0"/>
                <w:iCs w:val="0"/>
                <w:color w:val="auto"/>
                <w:sz w:val="21"/>
                <w:szCs w:val="21"/>
                <w:u w:val="none"/>
              </w:rPr>
            </w:pPr>
          </w:p>
        </w:tc>
        <w:tc>
          <w:tcPr>
            <w:tcW w:w="5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D45C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壁挂式分体空调</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含室内室外机</w:t>
            </w:r>
            <w:r>
              <w:rPr>
                <w:rFonts w:hint="eastAsia" w:ascii="宋体" w:hAnsi="宋体" w:cs="宋体"/>
                <w:i w:val="0"/>
                <w:iCs w:val="0"/>
                <w:color w:val="auto"/>
                <w:kern w:val="0"/>
                <w:sz w:val="21"/>
                <w:szCs w:val="21"/>
                <w:u w:val="none"/>
                <w:lang w:val="en-US" w:eastAsia="zh-CN" w:bidi="ar"/>
              </w:rPr>
              <w:t>）</w:t>
            </w:r>
          </w:p>
        </w:tc>
      </w:tr>
      <w:tr w14:paraId="6BED3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064E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w:t>
            </w: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33F0D">
            <w:pPr>
              <w:jc w:val="center"/>
              <w:rPr>
                <w:rFonts w:hint="eastAsia" w:ascii="宋体" w:hAnsi="宋体" w:eastAsia="宋体" w:cs="宋体"/>
                <w:i w:val="0"/>
                <w:iCs w:val="0"/>
                <w:color w:val="auto"/>
                <w:sz w:val="21"/>
                <w:szCs w:val="21"/>
                <w:u w:val="none"/>
              </w:rPr>
            </w:pPr>
          </w:p>
        </w:tc>
        <w:tc>
          <w:tcPr>
            <w:tcW w:w="5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D162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冷暖型壁挂式分体空调</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含室内室外机</w:t>
            </w:r>
            <w:r>
              <w:rPr>
                <w:rFonts w:hint="eastAsia" w:ascii="宋体" w:hAnsi="宋体" w:cs="宋体"/>
                <w:i w:val="0"/>
                <w:iCs w:val="0"/>
                <w:color w:val="auto"/>
                <w:kern w:val="0"/>
                <w:sz w:val="21"/>
                <w:szCs w:val="21"/>
                <w:u w:val="none"/>
                <w:lang w:val="en-US" w:eastAsia="zh-CN" w:bidi="ar"/>
              </w:rPr>
              <w:t>）</w:t>
            </w:r>
          </w:p>
        </w:tc>
      </w:tr>
      <w:tr w14:paraId="2159C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5A9F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0FBCE">
            <w:pPr>
              <w:jc w:val="center"/>
              <w:rPr>
                <w:rFonts w:hint="eastAsia" w:ascii="宋体" w:hAnsi="宋体" w:eastAsia="宋体" w:cs="宋体"/>
                <w:i w:val="0"/>
                <w:iCs w:val="0"/>
                <w:color w:val="auto"/>
                <w:sz w:val="21"/>
                <w:szCs w:val="21"/>
                <w:u w:val="none"/>
              </w:rPr>
            </w:pPr>
          </w:p>
        </w:tc>
        <w:tc>
          <w:tcPr>
            <w:tcW w:w="5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AF32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壁挂式分体空调</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含室内室外机</w:t>
            </w:r>
            <w:r>
              <w:rPr>
                <w:rFonts w:hint="eastAsia" w:ascii="宋体" w:hAnsi="宋体" w:cs="宋体"/>
                <w:i w:val="0"/>
                <w:iCs w:val="0"/>
                <w:color w:val="auto"/>
                <w:kern w:val="0"/>
                <w:sz w:val="21"/>
                <w:szCs w:val="21"/>
                <w:u w:val="none"/>
                <w:lang w:val="en-US" w:eastAsia="zh-CN" w:bidi="ar"/>
              </w:rPr>
              <w:t>）</w:t>
            </w:r>
          </w:p>
        </w:tc>
      </w:tr>
      <w:tr w14:paraId="75B6F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D9A6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w:t>
            </w: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0354A">
            <w:pPr>
              <w:jc w:val="center"/>
              <w:rPr>
                <w:rFonts w:hint="eastAsia" w:ascii="宋体" w:hAnsi="宋体" w:eastAsia="宋体" w:cs="宋体"/>
                <w:i w:val="0"/>
                <w:iCs w:val="0"/>
                <w:color w:val="auto"/>
                <w:sz w:val="21"/>
                <w:szCs w:val="21"/>
                <w:u w:val="none"/>
              </w:rPr>
            </w:pPr>
          </w:p>
        </w:tc>
        <w:tc>
          <w:tcPr>
            <w:tcW w:w="5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A379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冷暖型壁挂式分体空调</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含室内室外机</w:t>
            </w:r>
            <w:r>
              <w:rPr>
                <w:rFonts w:hint="eastAsia" w:ascii="宋体" w:hAnsi="宋体" w:cs="宋体"/>
                <w:i w:val="0"/>
                <w:iCs w:val="0"/>
                <w:color w:val="auto"/>
                <w:kern w:val="0"/>
                <w:sz w:val="21"/>
                <w:szCs w:val="21"/>
                <w:u w:val="none"/>
                <w:lang w:val="en-US" w:eastAsia="zh-CN" w:bidi="ar"/>
              </w:rPr>
              <w:t>）</w:t>
            </w:r>
          </w:p>
        </w:tc>
      </w:tr>
      <w:tr w14:paraId="31C26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D2C4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446F6">
            <w:pPr>
              <w:jc w:val="center"/>
              <w:rPr>
                <w:rFonts w:hint="eastAsia" w:ascii="宋体" w:hAnsi="宋体" w:eastAsia="宋体" w:cs="宋体"/>
                <w:i w:val="0"/>
                <w:iCs w:val="0"/>
                <w:color w:val="auto"/>
                <w:sz w:val="21"/>
                <w:szCs w:val="21"/>
                <w:u w:val="none"/>
              </w:rPr>
            </w:pPr>
          </w:p>
        </w:tc>
        <w:tc>
          <w:tcPr>
            <w:tcW w:w="5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2DEF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壁挂式分体空调</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含室内室外机</w:t>
            </w:r>
            <w:r>
              <w:rPr>
                <w:rFonts w:hint="eastAsia" w:ascii="宋体" w:hAnsi="宋体" w:cs="宋体"/>
                <w:i w:val="0"/>
                <w:iCs w:val="0"/>
                <w:color w:val="auto"/>
                <w:kern w:val="0"/>
                <w:sz w:val="21"/>
                <w:szCs w:val="21"/>
                <w:u w:val="none"/>
                <w:lang w:val="en-US" w:eastAsia="zh-CN" w:bidi="ar"/>
              </w:rPr>
              <w:t>）</w:t>
            </w:r>
          </w:p>
        </w:tc>
      </w:tr>
      <w:tr w14:paraId="7A91B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8C84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w:t>
            </w:r>
          </w:p>
        </w:tc>
        <w:tc>
          <w:tcPr>
            <w:tcW w:w="138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983B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便器</w:t>
            </w:r>
          </w:p>
        </w:tc>
        <w:tc>
          <w:tcPr>
            <w:tcW w:w="5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FB7C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坐式大便器</w:t>
            </w:r>
          </w:p>
        </w:tc>
      </w:tr>
      <w:tr w14:paraId="44E77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241E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w:t>
            </w: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DD728">
            <w:pPr>
              <w:jc w:val="center"/>
              <w:rPr>
                <w:rFonts w:hint="eastAsia" w:ascii="宋体" w:hAnsi="宋体" w:eastAsia="宋体" w:cs="宋体"/>
                <w:i w:val="0"/>
                <w:iCs w:val="0"/>
                <w:color w:val="auto"/>
                <w:sz w:val="21"/>
                <w:szCs w:val="21"/>
                <w:u w:val="none"/>
              </w:rPr>
            </w:pPr>
          </w:p>
        </w:tc>
        <w:tc>
          <w:tcPr>
            <w:tcW w:w="5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5C21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蹲式大便器</w:t>
            </w:r>
          </w:p>
        </w:tc>
      </w:tr>
      <w:tr w14:paraId="6A5C1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8FF3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w:t>
            </w: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01D02">
            <w:pPr>
              <w:jc w:val="center"/>
              <w:rPr>
                <w:rFonts w:hint="eastAsia" w:ascii="宋体" w:hAnsi="宋体" w:eastAsia="宋体" w:cs="宋体"/>
                <w:i w:val="0"/>
                <w:iCs w:val="0"/>
                <w:color w:val="auto"/>
                <w:sz w:val="21"/>
                <w:szCs w:val="21"/>
                <w:u w:val="none"/>
              </w:rPr>
            </w:pPr>
          </w:p>
        </w:tc>
        <w:tc>
          <w:tcPr>
            <w:tcW w:w="5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5035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挂式小便器</w:t>
            </w:r>
          </w:p>
        </w:tc>
      </w:tr>
      <w:tr w14:paraId="0C5DE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0B88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w:t>
            </w:r>
          </w:p>
        </w:tc>
        <w:tc>
          <w:tcPr>
            <w:tcW w:w="138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63C2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水嘴</w:t>
            </w:r>
          </w:p>
        </w:tc>
        <w:tc>
          <w:tcPr>
            <w:tcW w:w="5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EA07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台式洗脸盆</w:t>
            </w:r>
            <w:r>
              <w:rPr>
                <w:rFonts w:hint="eastAsia" w:ascii="宋体" w:hAnsi="宋体" w:cs="宋体"/>
                <w:i w:val="0"/>
                <w:iCs w:val="0"/>
                <w:color w:val="auto"/>
                <w:kern w:val="0"/>
                <w:sz w:val="21"/>
                <w:szCs w:val="21"/>
                <w:u w:val="none"/>
                <w:lang w:val="en-US" w:eastAsia="zh-CN" w:bidi="ar"/>
              </w:rPr>
              <w:t>－配套的水龙头或水嘴</w:t>
            </w:r>
          </w:p>
        </w:tc>
      </w:tr>
      <w:tr w14:paraId="06F76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1672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w:t>
            </w: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4C4D4">
            <w:pPr>
              <w:jc w:val="center"/>
              <w:rPr>
                <w:rFonts w:hint="eastAsia" w:ascii="宋体" w:hAnsi="宋体" w:eastAsia="宋体" w:cs="宋体"/>
                <w:i w:val="0"/>
                <w:iCs w:val="0"/>
                <w:color w:val="auto"/>
                <w:sz w:val="21"/>
                <w:szCs w:val="21"/>
                <w:u w:val="none"/>
              </w:rPr>
            </w:pPr>
          </w:p>
        </w:tc>
        <w:tc>
          <w:tcPr>
            <w:tcW w:w="5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FDD2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柱式洗脸盆</w:t>
            </w:r>
            <w:r>
              <w:rPr>
                <w:rFonts w:hint="eastAsia" w:ascii="宋体" w:hAnsi="宋体" w:cs="宋体"/>
                <w:i w:val="0"/>
                <w:iCs w:val="0"/>
                <w:color w:val="auto"/>
                <w:kern w:val="0"/>
                <w:sz w:val="21"/>
                <w:szCs w:val="21"/>
                <w:u w:val="none"/>
                <w:lang w:val="en-US" w:eastAsia="zh-CN" w:bidi="ar"/>
              </w:rPr>
              <w:t>－配套的水龙头或水嘴</w:t>
            </w:r>
          </w:p>
        </w:tc>
      </w:tr>
      <w:tr w14:paraId="20A4B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1033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w:t>
            </w: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57F3E">
            <w:pPr>
              <w:jc w:val="center"/>
              <w:rPr>
                <w:rFonts w:hint="eastAsia" w:ascii="宋体" w:hAnsi="宋体" w:eastAsia="宋体" w:cs="宋体"/>
                <w:i w:val="0"/>
                <w:iCs w:val="0"/>
                <w:color w:val="auto"/>
                <w:sz w:val="21"/>
                <w:szCs w:val="21"/>
                <w:u w:val="none"/>
              </w:rPr>
            </w:pPr>
          </w:p>
        </w:tc>
        <w:tc>
          <w:tcPr>
            <w:tcW w:w="5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ED85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拖布池</w:t>
            </w:r>
            <w:r>
              <w:rPr>
                <w:rFonts w:hint="eastAsia" w:ascii="宋体" w:hAnsi="宋体" w:cs="宋体"/>
                <w:i w:val="0"/>
                <w:iCs w:val="0"/>
                <w:color w:val="auto"/>
                <w:kern w:val="0"/>
                <w:sz w:val="21"/>
                <w:szCs w:val="21"/>
                <w:u w:val="none"/>
                <w:lang w:val="en-US" w:eastAsia="zh-CN" w:bidi="ar"/>
              </w:rPr>
              <w:t>－配套的水龙头或水嘴</w:t>
            </w:r>
          </w:p>
        </w:tc>
      </w:tr>
    </w:tbl>
    <w:p w14:paraId="2BFB51DD">
      <w:pPr>
        <w:spacing w:line="360" w:lineRule="auto"/>
        <w:rPr>
          <w:rFonts w:hint="eastAsia" w:ascii="宋体" w:hAnsi="宋体" w:eastAsia="宋体" w:cs="宋体"/>
          <w:color w:val="auto"/>
        </w:rPr>
      </w:pPr>
      <w:r>
        <w:rPr>
          <w:rFonts w:hint="eastAsia" w:ascii="宋体" w:hAnsi="宋体" w:eastAsia="宋体" w:cs="宋体"/>
          <w:color w:val="auto"/>
        </w:rPr>
        <w:t>注：</w:t>
      </w:r>
    </w:p>
    <w:p w14:paraId="7ED6DF98">
      <w:pPr>
        <w:spacing w:line="360" w:lineRule="auto"/>
        <w:rPr>
          <w:rFonts w:hint="eastAsia" w:ascii="宋体" w:hAnsi="宋体" w:eastAsia="宋体" w:cs="宋体"/>
          <w:color w:val="auto"/>
        </w:rPr>
      </w:pPr>
      <w:r>
        <w:rPr>
          <w:rFonts w:hint="eastAsia" w:ascii="宋体" w:hAnsi="宋体" w:eastAsia="宋体" w:cs="宋体"/>
          <w:color w:val="auto"/>
        </w:rPr>
        <w:t>1</w:t>
      </w:r>
      <w:r>
        <w:rPr>
          <w:rFonts w:hint="eastAsia" w:ascii="宋体" w:hAnsi="宋体" w:eastAsia="宋体" w:cs="宋体"/>
          <w:color w:val="auto"/>
          <w:lang w:val="en-US" w:eastAsia="zh-CN"/>
        </w:rPr>
        <w:t>.</w:t>
      </w:r>
      <w:r>
        <w:rPr>
          <w:rFonts w:hint="eastAsia" w:ascii="宋体" w:hAnsi="宋体" w:eastAsia="宋体" w:cs="宋体"/>
          <w:color w:val="auto"/>
          <w:lang w:eastAsia="zh-CN"/>
        </w:rPr>
        <w:t>投标单位</w:t>
      </w:r>
      <w:r>
        <w:rPr>
          <w:rFonts w:hint="eastAsia" w:ascii="宋体" w:hAnsi="宋体" w:eastAsia="宋体" w:cs="宋体"/>
          <w:color w:val="auto"/>
        </w:rPr>
        <w:t>应提供国家确定的认证机构出具的、处于有效期之内的</w:t>
      </w:r>
      <w:r>
        <w:rPr>
          <w:rFonts w:hint="eastAsia" w:ascii="宋体" w:hAnsi="宋体" w:cs="宋体"/>
          <w:color w:val="auto"/>
          <w:lang w:eastAsia="zh-CN"/>
        </w:rPr>
        <w:t>《</w:t>
      </w:r>
      <w:r>
        <w:rPr>
          <w:rFonts w:hint="eastAsia" w:ascii="宋体" w:hAnsi="宋体" w:eastAsia="宋体" w:cs="宋体"/>
          <w:color w:val="auto"/>
        </w:rPr>
        <w:t>节能产品认证证书</w:t>
      </w:r>
      <w:r>
        <w:rPr>
          <w:rFonts w:hint="eastAsia" w:ascii="宋体" w:hAnsi="宋体" w:cs="宋体"/>
          <w:color w:val="auto"/>
          <w:lang w:eastAsia="zh-CN"/>
        </w:rPr>
        <w:t>》</w:t>
      </w:r>
      <w:r>
        <w:rPr>
          <w:rFonts w:hint="eastAsia" w:ascii="宋体" w:hAnsi="宋体" w:eastAsia="宋体" w:cs="宋体"/>
          <w:color w:val="auto"/>
        </w:rPr>
        <w:t>。</w:t>
      </w:r>
    </w:p>
    <w:p w14:paraId="1BBC7E99">
      <w:pPr>
        <w:spacing w:line="360" w:lineRule="auto"/>
        <w:rPr>
          <w:rFonts w:hint="eastAsia" w:ascii="宋体" w:hAnsi="宋体" w:eastAsia="宋体" w:cs="宋体"/>
          <w:color w:val="auto"/>
        </w:rPr>
      </w:pPr>
      <w:r>
        <w:rPr>
          <w:rFonts w:hint="eastAsia" w:ascii="宋体" w:hAnsi="宋体" w:eastAsia="宋体" w:cs="宋体"/>
          <w:color w:val="auto"/>
        </w:rPr>
        <w:t>2</w:t>
      </w:r>
      <w:r>
        <w:rPr>
          <w:rFonts w:hint="eastAsia" w:ascii="宋体" w:hAnsi="宋体" w:eastAsia="宋体" w:cs="宋体"/>
          <w:color w:val="auto"/>
          <w:lang w:val="en-US" w:eastAsia="zh-CN"/>
        </w:rPr>
        <w:t>.</w:t>
      </w:r>
      <w:r>
        <w:rPr>
          <w:rFonts w:hint="eastAsia" w:ascii="宋体" w:hAnsi="宋体" w:eastAsia="宋体" w:cs="宋体"/>
          <w:color w:val="auto"/>
          <w:lang w:eastAsia="zh-CN"/>
        </w:rPr>
        <w:t>投标单位</w:t>
      </w:r>
      <w:r>
        <w:rPr>
          <w:rFonts w:hint="eastAsia" w:ascii="宋体" w:hAnsi="宋体" w:eastAsia="宋体" w:cs="宋体"/>
          <w:color w:val="auto"/>
        </w:rPr>
        <w:t>应同时提供品目清单网络截图（如：节能产品认证查询列表</w:t>
      </w:r>
    </w:p>
    <w:p w14:paraId="67014B87">
      <w:pPr>
        <w:spacing w:line="360" w:lineRule="auto"/>
        <w:rPr>
          <w:rFonts w:hint="eastAsia" w:ascii="宋体" w:hAnsi="宋体" w:eastAsia="宋体" w:cs="宋体"/>
          <w:color w:val="auto"/>
        </w:rPr>
      </w:pPr>
      <w:r>
        <w:rPr>
          <w:rFonts w:hint="eastAsia" w:ascii="宋体" w:hAnsi="宋体" w:eastAsia="宋体" w:cs="宋体"/>
          <w:color w:val="auto"/>
        </w:rPr>
        <w:t>https://cx.cnca.cn/CertECloud/energysaving/skipEnergysavingList?type=01&amp;currentPosition=%E8%8A%82%E8%83%BD%E4%BA%A7%E5%93%81%E6%B8%85%E5%8D%95），并以明确标注所报产品信息和位置的方式；</w:t>
      </w:r>
    </w:p>
    <w:p w14:paraId="10013BE6">
      <w:pPr>
        <w:spacing w:line="360" w:lineRule="auto"/>
        <w:rPr>
          <w:rFonts w:hint="eastAsia" w:ascii="宋体" w:hAnsi="宋体" w:eastAsia="宋体" w:cs="宋体"/>
          <w:color w:val="auto"/>
        </w:rPr>
      </w:pPr>
      <w:r>
        <w:rPr>
          <w:rFonts w:hint="eastAsia" w:ascii="宋体" w:hAnsi="宋体" w:eastAsia="宋体" w:cs="宋体"/>
          <w:color w:val="auto"/>
        </w:rPr>
        <w:t>3</w:t>
      </w:r>
      <w:r>
        <w:rPr>
          <w:rFonts w:hint="eastAsia" w:ascii="宋体" w:hAnsi="宋体" w:eastAsia="宋体" w:cs="宋体"/>
          <w:color w:val="auto"/>
          <w:lang w:val="en-US" w:eastAsia="zh-CN"/>
        </w:rPr>
        <w:t>.</w:t>
      </w:r>
      <w:r>
        <w:rPr>
          <w:rFonts w:hint="eastAsia" w:ascii="宋体" w:hAnsi="宋体" w:eastAsia="宋体" w:cs="宋体"/>
          <w:color w:val="auto"/>
        </w:rPr>
        <w:t>认证机构和获证产品信息发布媒体：详见中国政府采购网（www.ccgp.gov.cn）建立的与认证结果信息发布平台的链接。</w:t>
      </w:r>
    </w:p>
    <w:p w14:paraId="4E7A2EBC">
      <w:pPr>
        <w:spacing w:line="360" w:lineRule="auto"/>
        <w:rPr>
          <w:rFonts w:hint="eastAsia" w:ascii="宋体" w:hAnsi="宋体" w:eastAsia="宋体" w:cs="宋体"/>
          <w:color w:val="auto"/>
        </w:rPr>
      </w:pPr>
    </w:p>
    <w:p w14:paraId="19D1110F">
      <w:pPr>
        <w:spacing w:line="360" w:lineRule="auto"/>
        <w:rPr>
          <w:rFonts w:hint="eastAsia" w:ascii="宋体" w:hAnsi="宋体" w:eastAsia="宋体" w:cs="宋体"/>
          <w:color w:val="auto"/>
        </w:rPr>
      </w:pPr>
      <w:r>
        <w:rPr>
          <w:rFonts w:hint="eastAsia" w:ascii="宋体" w:hAnsi="宋体" w:eastAsia="宋体" w:cs="宋体"/>
          <w:color w:val="auto"/>
        </w:rPr>
        <w:t>属于实施政府强制采购品目清单范围的节能产品，如</w:t>
      </w:r>
      <w:r>
        <w:rPr>
          <w:rFonts w:hint="eastAsia" w:ascii="宋体" w:hAnsi="宋体" w:eastAsia="宋体" w:cs="宋体"/>
          <w:color w:val="auto"/>
          <w:lang w:eastAsia="zh-CN"/>
        </w:rPr>
        <w:t>投标单位</w:t>
      </w:r>
      <w:r>
        <w:rPr>
          <w:rFonts w:hint="eastAsia" w:ascii="宋体" w:hAnsi="宋体" w:eastAsia="宋体" w:cs="宋体"/>
          <w:color w:val="auto"/>
        </w:rPr>
        <w:t>所选用产品不具备依据国家确定的认证机构出具的、处于有效期之内的节能产品认证证书，其响应将被认定为无效响应。</w:t>
      </w:r>
    </w:p>
    <w:p w14:paraId="273926E7">
      <w:pPr>
        <w:rPr>
          <w:rFonts w:hint="eastAsia" w:ascii="宋体" w:hAnsi="宋体" w:eastAsia="宋体" w:cs="宋体"/>
          <w:color w:val="auto"/>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
        <w:gridCol w:w="2253"/>
        <w:gridCol w:w="1740"/>
        <w:gridCol w:w="1665"/>
        <w:gridCol w:w="1665"/>
      </w:tblGrid>
      <w:tr w14:paraId="0749E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74" w:type="dxa"/>
            <w:noWrap w:val="0"/>
            <w:vAlign w:val="center"/>
          </w:tcPr>
          <w:p w14:paraId="39B2186B">
            <w:pPr>
              <w:rPr>
                <w:rFonts w:hint="eastAsia" w:ascii="宋体" w:hAnsi="宋体" w:eastAsia="宋体" w:cs="宋体"/>
                <w:color w:val="auto"/>
                <w:kern w:val="0"/>
                <w:szCs w:val="21"/>
              </w:rPr>
            </w:pPr>
            <w:r>
              <w:rPr>
                <w:rFonts w:hint="eastAsia" w:ascii="宋体" w:hAnsi="宋体" w:eastAsia="宋体" w:cs="宋体"/>
                <w:color w:val="auto"/>
                <w:kern w:val="0"/>
                <w:szCs w:val="21"/>
              </w:rPr>
              <w:t>序号</w:t>
            </w:r>
          </w:p>
        </w:tc>
        <w:tc>
          <w:tcPr>
            <w:tcW w:w="2253" w:type="dxa"/>
            <w:noWrap w:val="0"/>
            <w:vAlign w:val="center"/>
          </w:tcPr>
          <w:p w14:paraId="0856B7AF">
            <w:pPr>
              <w:widowControl/>
              <w:jc w:val="center"/>
              <w:textAlignment w:val="center"/>
              <w:rPr>
                <w:rFonts w:hint="eastAsia" w:ascii="宋体" w:hAnsi="宋体" w:eastAsia="宋体" w:cs="宋体"/>
                <w:color w:val="auto"/>
                <w:kern w:val="0"/>
                <w:szCs w:val="21"/>
                <w:highlight w:val="green"/>
              </w:rPr>
            </w:pPr>
            <w:r>
              <w:rPr>
                <w:rFonts w:hint="eastAsia" w:ascii="宋体" w:hAnsi="宋体" w:eastAsia="宋体" w:cs="宋体"/>
                <w:color w:val="auto"/>
                <w:kern w:val="0"/>
                <w:sz w:val="18"/>
                <w:szCs w:val="18"/>
                <w:lang w:bidi="ar"/>
              </w:rPr>
              <w:t>强制节能产品名称</w:t>
            </w:r>
          </w:p>
        </w:tc>
        <w:tc>
          <w:tcPr>
            <w:tcW w:w="1740" w:type="dxa"/>
            <w:noWrap w:val="0"/>
            <w:vAlign w:val="center"/>
          </w:tcPr>
          <w:p w14:paraId="3FBB78DB">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所投品牌</w:t>
            </w:r>
          </w:p>
        </w:tc>
        <w:tc>
          <w:tcPr>
            <w:tcW w:w="1665" w:type="dxa"/>
            <w:noWrap w:val="0"/>
            <w:vAlign w:val="center"/>
          </w:tcPr>
          <w:p w14:paraId="0D4AC09E">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规格型号</w:t>
            </w:r>
          </w:p>
        </w:tc>
        <w:tc>
          <w:tcPr>
            <w:tcW w:w="1665" w:type="dxa"/>
            <w:noWrap w:val="0"/>
            <w:vAlign w:val="center"/>
          </w:tcPr>
          <w:p w14:paraId="26728321">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认证证书编号</w:t>
            </w:r>
          </w:p>
        </w:tc>
      </w:tr>
      <w:tr w14:paraId="24DDD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74" w:type="dxa"/>
            <w:noWrap w:val="0"/>
            <w:vAlign w:val="center"/>
          </w:tcPr>
          <w:p w14:paraId="5DAD4433">
            <w:pPr>
              <w:jc w:val="center"/>
              <w:rPr>
                <w:rFonts w:hint="eastAsia" w:ascii="宋体" w:hAnsi="宋体" w:eastAsia="宋体" w:cs="宋体"/>
                <w:b/>
                <w:bCs/>
                <w:color w:val="auto"/>
              </w:rPr>
            </w:pPr>
            <w:r>
              <w:rPr>
                <w:rFonts w:hint="eastAsia" w:ascii="宋体" w:hAnsi="宋体" w:eastAsia="宋体" w:cs="宋体"/>
                <w:b/>
                <w:bCs/>
                <w:color w:val="auto"/>
              </w:rPr>
              <w:t>一</w:t>
            </w:r>
          </w:p>
        </w:tc>
        <w:tc>
          <w:tcPr>
            <w:tcW w:w="2253" w:type="dxa"/>
            <w:noWrap w:val="0"/>
            <w:vAlign w:val="center"/>
          </w:tcPr>
          <w:p w14:paraId="6EC1D4B0">
            <w:pPr>
              <w:jc w:val="center"/>
              <w:rPr>
                <w:rFonts w:hint="eastAsia" w:ascii="宋体" w:hAnsi="宋体" w:eastAsia="宋体" w:cs="宋体"/>
                <w:b/>
                <w:bCs/>
                <w:color w:val="auto"/>
              </w:rPr>
            </w:pPr>
          </w:p>
        </w:tc>
        <w:tc>
          <w:tcPr>
            <w:tcW w:w="1740" w:type="dxa"/>
            <w:noWrap w:val="0"/>
            <w:vAlign w:val="center"/>
          </w:tcPr>
          <w:p w14:paraId="13C627DB">
            <w:pPr>
              <w:widowControl/>
              <w:jc w:val="center"/>
              <w:textAlignment w:val="center"/>
              <w:rPr>
                <w:rFonts w:hint="eastAsia" w:ascii="宋体" w:hAnsi="宋体" w:eastAsia="宋体" w:cs="宋体"/>
                <w:color w:val="auto"/>
                <w:kern w:val="0"/>
                <w:sz w:val="18"/>
                <w:szCs w:val="18"/>
                <w:lang w:bidi="ar"/>
              </w:rPr>
            </w:pPr>
          </w:p>
        </w:tc>
        <w:tc>
          <w:tcPr>
            <w:tcW w:w="1665" w:type="dxa"/>
            <w:noWrap w:val="0"/>
            <w:vAlign w:val="center"/>
          </w:tcPr>
          <w:p w14:paraId="47329E70">
            <w:pPr>
              <w:widowControl/>
              <w:jc w:val="center"/>
              <w:textAlignment w:val="center"/>
              <w:rPr>
                <w:rFonts w:hint="eastAsia" w:ascii="宋体" w:hAnsi="宋体" w:eastAsia="宋体" w:cs="宋体"/>
                <w:color w:val="auto"/>
                <w:kern w:val="0"/>
                <w:sz w:val="18"/>
                <w:szCs w:val="18"/>
                <w:lang w:bidi="ar"/>
              </w:rPr>
            </w:pPr>
          </w:p>
        </w:tc>
        <w:tc>
          <w:tcPr>
            <w:tcW w:w="1665" w:type="dxa"/>
            <w:noWrap w:val="0"/>
            <w:vAlign w:val="center"/>
          </w:tcPr>
          <w:p w14:paraId="09A89EE5">
            <w:pPr>
              <w:widowControl/>
              <w:jc w:val="center"/>
              <w:textAlignment w:val="center"/>
              <w:rPr>
                <w:rFonts w:hint="eastAsia" w:ascii="宋体" w:hAnsi="宋体" w:eastAsia="宋体" w:cs="宋体"/>
                <w:color w:val="auto"/>
                <w:kern w:val="0"/>
                <w:sz w:val="18"/>
                <w:szCs w:val="18"/>
                <w:lang w:bidi="ar"/>
              </w:rPr>
            </w:pPr>
          </w:p>
        </w:tc>
      </w:tr>
      <w:tr w14:paraId="5FF96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74" w:type="dxa"/>
            <w:noWrap w:val="0"/>
            <w:vAlign w:val="center"/>
          </w:tcPr>
          <w:p w14:paraId="0F8979F5">
            <w:pPr>
              <w:jc w:val="center"/>
              <w:rPr>
                <w:rFonts w:hint="eastAsia" w:ascii="宋体" w:hAnsi="宋体" w:eastAsia="宋体" w:cs="宋体"/>
                <w:color w:val="auto"/>
              </w:rPr>
            </w:pPr>
            <w:r>
              <w:rPr>
                <w:rFonts w:hint="eastAsia" w:ascii="宋体" w:hAnsi="宋体" w:eastAsia="宋体" w:cs="宋体"/>
                <w:color w:val="auto"/>
              </w:rPr>
              <w:t>1</w:t>
            </w:r>
          </w:p>
        </w:tc>
        <w:tc>
          <w:tcPr>
            <w:tcW w:w="2253" w:type="dxa"/>
            <w:noWrap w:val="0"/>
            <w:vAlign w:val="center"/>
          </w:tcPr>
          <w:p w14:paraId="70DE3411">
            <w:pPr>
              <w:jc w:val="center"/>
              <w:rPr>
                <w:rFonts w:hint="eastAsia" w:ascii="宋体" w:hAnsi="宋体" w:eastAsia="宋体" w:cs="宋体"/>
                <w:color w:val="auto"/>
              </w:rPr>
            </w:pPr>
          </w:p>
        </w:tc>
        <w:tc>
          <w:tcPr>
            <w:tcW w:w="1740" w:type="dxa"/>
            <w:noWrap w:val="0"/>
            <w:vAlign w:val="center"/>
          </w:tcPr>
          <w:p w14:paraId="04924407">
            <w:pPr>
              <w:widowControl/>
              <w:jc w:val="center"/>
              <w:textAlignment w:val="center"/>
              <w:rPr>
                <w:rFonts w:hint="eastAsia" w:ascii="宋体" w:hAnsi="宋体" w:eastAsia="宋体" w:cs="宋体"/>
                <w:color w:val="auto"/>
                <w:kern w:val="0"/>
                <w:sz w:val="18"/>
                <w:szCs w:val="18"/>
                <w:lang w:bidi="ar"/>
              </w:rPr>
            </w:pPr>
          </w:p>
        </w:tc>
        <w:tc>
          <w:tcPr>
            <w:tcW w:w="1665" w:type="dxa"/>
            <w:noWrap w:val="0"/>
            <w:vAlign w:val="center"/>
          </w:tcPr>
          <w:p w14:paraId="3B489688">
            <w:pPr>
              <w:widowControl/>
              <w:jc w:val="center"/>
              <w:textAlignment w:val="center"/>
              <w:rPr>
                <w:rFonts w:hint="eastAsia" w:ascii="宋体" w:hAnsi="宋体" w:eastAsia="宋体" w:cs="宋体"/>
                <w:color w:val="auto"/>
                <w:kern w:val="0"/>
                <w:sz w:val="18"/>
                <w:szCs w:val="18"/>
                <w:lang w:bidi="ar"/>
              </w:rPr>
            </w:pPr>
          </w:p>
        </w:tc>
        <w:tc>
          <w:tcPr>
            <w:tcW w:w="1665" w:type="dxa"/>
            <w:noWrap w:val="0"/>
            <w:vAlign w:val="center"/>
          </w:tcPr>
          <w:p w14:paraId="02D50596">
            <w:pPr>
              <w:widowControl/>
              <w:jc w:val="center"/>
              <w:textAlignment w:val="center"/>
              <w:rPr>
                <w:rFonts w:hint="eastAsia" w:ascii="宋体" w:hAnsi="宋体" w:eastAsia="宋体" w:cs="宋体"/>
                <w:color w:val="auto"/>
                <w:kern w:val="0"/>
                <w:sz w:val="18"/>
                <w:szCs w:val="18"/>
                <w:lang w:bidi="ar"/>
              </w:rPr>
            </w:pPr>
          </w:p>
        </w:tc>
      </w:tr>
      <w:tr w14:paraId="1110E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74" w:type="dxa"/>
            <w:noWrap w:val="0"/>
            <w:vAlign w:val="center"/>
          </w:tcPr>
          <w:p w14:paraId="09AEE559">
            <w:pPr>
              <w:jc w:val="center"/>
              <w:rPr>
                <w:rFonts w:hint="eastAsia" w:ascii="宋体" w:hAnsi="宋体" w:eastAsia="宋体" w:cs="宋体"/>
                <w:color w:val="auto"/>
              </w:rPr>
            </w:pPr>
            <w:r>
              <w:rPr>
                <w:rFonts w:hint="eastAsia" w:ascii="宋体" w:hAnsi="宋体" w:eastAsia="宋体" w:cs="宋体"/>
                <w:color w:val="auto"/>
              </w:rPr>
              <w:t>2</w:t>
            </w:r>
          </w:p>
        </w:tc>
        <w:tc>
          <w:tcPr>
            <w:tcW w:w="2253" w:type="dxa"/>
            <w:noWrap w:val="0"/>
            <w:vAlign w:val="center"/>
          </w:tcPr>
          <w:p w14:paraId="53531259">
            <w:pPr>
              <w:jc w:val="center"/>
              <w:rPr>
                <w:rFonts w:hint="eastAsia" w:ascii="宋体" w:hAnsi="宋体" w:eastAsia="宋体" w:cs="宋体"/>
                <w:color w:val="auto"/>
              </w:rPr>
            </w:pPr>
          </w:p>
        </w:tc>
        <w:tc>
          <w:tcPr>
            <w:tcW w:w="1740" w:type="dxa"/>
            <w:noWrap w:val="0"/>
            <w:vAlign w:val="center"/>
          </w:tcPr>
          <w:p w14:paraId="662029C2">
            <w:pPr>
              <w:widowControl/>
              <w:jc w:val="center"/>
              <w:textAlignment w:val="center"/>
              <w:rPr>
                <w:rFonts w:hint="eastAsia" w:ascii="宋体" w:hAnsi="宋体" w:eastAsia="宋体" w:cs="宋体"/>
                <w:color w:val="auto"/>
                <w:kern w:val="0"/>
                <w:sz w:val="18"/>
                <w:szCs w:val="18"/>
                <w:lang w:bidi="ar"/>
              </w:rPr>
            </w:pPr>
          </w:p>
        </w:tc>
        <w:tc>
          <w:tcPr>
            <w:tcW w:w="1665" w:type="dxa"/>
            <w:noWrap w:val="0"/>
            <w:vAlign w:val="center"/>
          </w:tcPr>
          <w:p w14:paraId="2D8FAF90">
            <w:pPr>
              <w:widowControl/>
              <w:jc w:val="center"/>
              <w:textAlignment w:val="center"/>
              <w:rPr>
                <w:rFonts w:hint="eastAsia" w:ascii="宋体" w:hAnsi="宋体" w:eastAsia="宋体" w:cs="宋体"/>
                <w:color w:val="auto"/>
                <w:kern w:val="0"/>
                <w:sz w:val="18"/>
                <w:szCs w:val="18"/>
                <w:lang w:bidi="ar"/>
              </w:rPr>
            </w:pPr>
          </w:p>
        </w:tc>
        <w:tc>
          <w:tcPr>
            <w:tcW w:w="1665" w:type="dxa"/>
            <w:noWrap w:val="0"/>
            <w:vAlign w:val="center"/>
          </w:tcPr>
          <w:p w14:paraId="52E7C5B1">
            <w:pPr>
              <w:widowControl/>
              <w:jc w:val="center"/>
              <w:textAlignment w:val="center"/>
              <w:rPr>
                <w:rFonts w:hint="eastAsia" w:ascii="宋体" w:hAnsi="宋体" w:eastAsia="宋体" w:cs="宋体"/>
                <w:color w:val="auto"/>
                <w:kern w:val="0"/>
                <w:sz w:val="18"/>
                <w:szCs w:val="18"/>
                <w:lang w:bidi="ar"/>
              </w:rPr>
            </w:pPr>
          </w:p>
        </w:tc>
      </w:tr>
      <w:tr w14:paraId="28EFC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874" w:type="dxa"/>
            <w:noWrap w:val="0"/>
            <w:vAlign w:val="center"/>
          </w:tcPr>
          <w:p w14:paraId="23DD261B">
            <w:pPr>
              <w:jc w:val="center"/>
              <w:rPr>
                <w:rFonts w:hint="eastAsia" w:ascii="宋体" w:hAnsi="宋体" w:eastAsia="宋体" w:cs="宋体"/>
                <w:color w:val="auto"/>
              </w:rPr>
            </w:pPr>
            <w:r>
              <w:rPr>
                <w:rFonts w:hint="eastAsia" w:ascii="宋体" w:hAnsi="宋体" w:cs="宋体"/>
                <w:color w:val="auto"/>
                <w:lang w:val="en-US" w:eastAsia="zh-CN"/>
              </w:rPr>
              <w:t>……</w:t>
            </w:r>
          </w:p>
        </w:tc>
        <w:tc>
          <w:tcPr>
            <w:tcW w:w="2253" w:type="dxa"/>
            <w:noWrap w:val="0"/>
            <w:vAlign w:val="center"/>
          </w:tcPr>
          <w:p w14:paraId="285A7B74">
            <w:pPr>
              <w:jc w:val="center"/>
              <w:rPr>
                <w:rFonts w:hint="eastAsia" w:ascii="宋体" w:hAnsi="宋体" w:eastAsia="宋体" w:cs="宋体"/>
                <w:color w:val="auto"/>
                <w:lang w:eastAsia="zh-CN"/>
              </w:rPr>
            </w:pPr>
            <w:r>
              <w:rPr>
                <w:rFonts w:hint="eastAsia" w:ascii="宋体" w:hAnsi="宋体" w:cs="宋体"/>
                <w:color w:val="auto"/>
                <w:lang w:val="en-US" w:eastAsia="zh-CN"/>
              </w:rPr>
              <w:t>……</w:t>
            </w:r>
          </w:p>
        </w:tc>
        <w:tc>
          <w:tcPr>
            <w:tcW w:w="1740" w:type="dxa"/>
            <w:noWrap w:val="0"/>
            <w:vAlign w:val="center"/>
          </w:tcPr>
          <w:p w14:paraId="66FA3326">
            <w:pPr>
              <w:widowControl/>
              <w:jc w:val="center"/>
              <w:textAlignment w:val="center"/>
              <w:rPr>
                <w:rFonts w:hint="eastAsia" w:ascii="宋体" w:hAnsi="宋体" w:eastAsia="宋体" w:cs="宋体"/>
                <w:color w:val="auto"/>
                <w:kern w:val="0"/>
                <w:sz w:val="18"/>
                <w:szCs w:val="18"/>
                <w:lang w:bidi="ar"/>
              </w:rPr>
            </w:pPr>
          </w:p>
        </w:tc>
        <w:tc>
          <w:tcPr>
            <w:tcW w:w="1665" w:type="dxa"/>
            <w:noWrap w:val="0"/>
            <w:vAlign w:val="center"/>
          </w:tcPr>
          <w:p w14:paraId="65DAAC7A">
            <w:pPr>
              <w:widowControl/>
              <w:jc w:val="center"/>
              <w:textAlignment w:val="center"/>
              <w:rPr>
                <w:rFonts w:hint="eastAsia" w:ascii="宋体" w:hAnsi="宋体" w:eastAsia="宋体" w:cs="宋体"/>
                <w:color w:val="auto"/>
                <w:kern w:val="0"/>
                <w:sz w:val="18"/>
                <w:szCs w:val="18"/>
                <w:lang w:bidi="ar"/>
              </w:rPr>
            </w:pPr>
          </w:p>
        </w:tc>
        <w:tc>
          <w:tcPr>
            <w:tcW w:w="1665" w:type="dxa"/>
            <w:noWrap w:val="0"/>
            <w:vAlign w:val="center"/>
          </w:tcPr>
          <w:p w14:paraId="3F38D075">
            <w:pPr>
              <w:widowControl/>
              <w:jc w:val="center"/>
              <w:textAlignment w:val="center"/>
              <w:rPr>
                <w:rFonts w:hint="eastAsia" w:ascii="宋体" w:hAnsi="宋体" w:eastAsia="宋体" w:cs="宋体"/>
                <w:color w:val="auto"/>
                <w:kern w:val="0"/>
                <w:sz w:val="18"/>
                <w:szCs w:val="18"/>
                <w:lang w:bidi="ar"/>
              </w:rPr>
            </w:pPr>
          </w:p>
        </w:tc>
      </w:tr>
    </w:tbl>
    <w:p w14:paraId="722737CA">
      <w:pPr>
        <w:adjustRightInd w:val="0"/>
        <w:snapToGrid w:val="0"/>
        <w:spacing w:before="319" w:beforeLines="100" w:after="319" w:afterLines="100"/>
        <w:ind w:right="105" w:rightChars="50"/>
        <w:jc w:val="left"/>
        <w:rPr>
          <w:rFonts w:hint="eastAsia" w:ascii="宋体" w:hAnsi="宋体" w:eastAsia="宋体" w:cs="宋体"/>
          <w:b/>
          <w:color w:val="auto"/>
          <w:sz w:val="20"/>
          <w:szCs w:val="21"/>
          <w:highlight w:val="green"/>
        </w:rPr>
      </w:pPr>
      <w:r>
        <w:rPr>
          <w:rFonts w:hint="eastAsia" w:ascii="宋体" w:hAnsi="宋体" w:eastAsia="宋体" w:cs="宋体"/>
          <w:b/>
          <w:color w:val="auto"/>
          <w:sz w:val="20"/>
          <w:szCs w:val="21"/>
        </w:rPr>
        <w:br w:type="page"/>
      </w:r>
      <w:r>
        <w:rPr>
          <w:rFonts w:hint="eastAsia" w:ascii="宋体" w:hAnsi="宋体" w:eastAsia="宋体" w:cs="宋体"/>
          <w:b/>
          <w:color w:val="auto"/>
          <w:sz w:val="20"/>
          <w:szCs w:val="21"/>
          <w:highlight w:val="green"/>
        </w:rPr>
        <w:t>举例如下</w:t>
      </w:r>
      <w:r>
        <w:rPr>
          <w:rFonts w:hint="eastAsia" w:ascii="宋体" w:hAnsi="宋体" w:cs="宋体"/>
          <w:b/>
          <w:color w:val="auto"/>
          <w:sz w:val="20"/>
          <w:szCs w:val="21"/>
          <w:highlight w:val="green"/>
          <w:lang w:eastAsia="zh-CN"/>
        </w:rPr>
        <w:t>（</w:t>
      </w:r>
      <w:r>
        <w:rPr>
          <w:rFonts w:hint="eastAsia" w:ascii="宋体" w:hAnsi="宋体" w:eastAsia="宋体" w:cs="宋体"/>
          <w:b/>
          <w:color w:val="auto"/>
          <w:sz w:val="20"/>
          <w:szCs w:val="21"/>
          <w:highlight w:val="green"/>
        </w:rPr>
        <w:t>供参考，具体产品以工程量清单为准</w:t>
      </w:r>
      <w:r>
        <w:rPr>
          <w:rFonts w:hint="eastAsia" w:ascii="宋体" w:hAnsi="宋体" w:cs="宋体"/>
          <w:b/>
          <w:color w:val="auto"/>
          <w:sz w:val="20"/>
          <w:szCs w:val="21"/>
          <w:highlight w:val="green"/>
          <w:lang w:eastAsia="zh-CN"/>
        </w:rPr>
        <w:t>）</w:t>
      </w:r>
      <w:r>
        <w:rPr>
          <w:rFonts w:hint="eastAsia" w:ascii="宋体" w:hAnsi="宋体" w:eastAsia="宋体" w:cs="宋体"/>
          <w:b/>
          <w:color w:val="auto"/>
          <w:sz w:val="20"/>
          <w:szCs w:val="21"/>
          <w:highlight w:val="green"/>
        </w:rPr>
        <w:t>:</w:t>
      </w:r>
    </w:p>
    <w:p w14:paraId="10BE1BCA">
      <w:pPr>
        <w:adjustRightInd w:val="0"/>
        <w:snapToGrid w:val="0"/>
        <w:spacing w:before="319" w:beforeLines="100" w:after="319" w:afterLines="100"/>
        <w:ind w:right="105" w:rightChars="50"/>
        <w:jc w:val="left"/>
        <w:rPr>
          <w:rFonts w:hint="eastAsia" w:ascii="宋体" w:hAnsi="宋体" w:eastAsia="宋体" w:cs="宋体"/>
          <w:b/>
          <w:color w:val="auto"/>
          <w:sz w:val="20"/>
          <w:szCs w:val="21"/>
          <w:highlight w:val="green"/>
        </w:rPr>
      </w:pPr>
      <w:r>
        <w:rPr>
          <w:rFonts w:hint="eastAsia" w:ascii="宋体" w:hAnsi="宋体" w:eastAsia="宋体" w:cs="宋体"/>
          <w:b/>
          <w:color w:val="auto"/>
          <w:sz w:val="20"/>
          <w:szCs w:val="21"/>
          <w:highlight w:val="green"/>
        </w:rPr>
        <w:t>室内空调机采用“格力”品牌，选用的产品型号为：</w:t>
      </w:r>
      <w:r>
        <w:rPr>
          <w:rFonts w:hint="eastAsia" w:ascii="宋体" w:hAnsi="宋体" w:eastAsia="宋体" w:cs="宋体"/>
          <w:b/>
          <w:color w:val="auto"/>
          <w:sz w:val="20"/>
          <w:szCs w:val="21"/>
          <w:highlight w:val="green"/>
          <w:u w:val="single"/>
        </w:rPr>
        <w:t>KFR-50GW/(50571)FNhAa-B2JY01</w:t>
      </w:r>
      <w:r>
        <w:rPr>
          <w:rFonts w:hint="eastAsia" w:ascii="宋体" w:hAnsi="宋体" w:eastAsia="宋体" w:cs="宋体"/>
          <w:b/>
          <w:color w:val="auto"/>
          <w:sz w:val="20"/>
          <w:szCs w:val="21"/>
          <w:highlight w:val="green"/>
        </w:rPr>
        <w:t>，具体证明材料如下：</w:t>
      </w:r>
    </w:p>
    <w:p w14:paraId="1D611306">
      <w:pPr>
        <w:adjustRightInd w:val="0"/>
        <w:snapToGrid w:val="0"/>
        <w:spacing w:before="319" w:beforeLines="100" w:after="319" w:afterLines="100"/>
        <w:ind w:right="105" w:rightChars="50"/>
        <w:jc w:val="left"/>
        <w:rPr>
          <w:rFonts w:hint="eastAsia" w:ascii="宋体" w:hAnsi="宋体" w:eastAsia="宋体" w:cs="宋体"/>
          <w:b/>
          <w:color w:val="auto"/>
          <w:szCs w:val="21"/>
          <w:highlight w:val="green"/>
        </w:rPr>
      </w:pPr>
      <w:r>
        <w:rPr>
          <w:rFonts w:hint="eastAsia" w:ascii="宋体" w:hAnsi="宋体" w:cs="宋体"/>
          <w:b/>
          <w:color w:val="auto"/>
          <w:szCs w:val="21"/>
          <w:highlight w:val="green"/>
          <w:lang w:eastAsia="zh-CN"/>
        </w:rPr>
        <w:t>1.</w:t>
      </w:r>
      <w:r>
        <w:rPr>
          <w:rFonts w:hint="eastAsia" w:ascii="宋体" w:hAnsi="宋体" w:eastAsia="宋体" w:cs="宋体"/>
          <w:b/>
          <w:color w:val="auto"/>
          <w:szCs w:val="21"/>
          <w:highlight w:val="green"/>
        </w:rPr>
        <w:t>节能产品认证证书</w:t>
      </w:r>
    </w:p>
    <w:p w14:paraId="759EC9BE">
      <w:pPr>
        <w:adjustRightInd w:val="0"/>
        <w:snapToGrid w:val="0"/>
        <w:spacing w:before="319" w:beforeLines="100" w:after="319" w:afterLines="100" w:line="360" w:lineRule="auto"/>
        <w:ind w:right="105" w:rightChars="50"/>
        <w:jc w:val="left"/>
        <w:rPr>
          <w:rFonts w:hint="eastAsia" w:ascii="宋体" w:hAnsi="宋体" w:eastAsia="宋体" w:cs="宋体"/>
          <w:b/>
          <w:color w:val="auto"/>
          <w:szCs w:val="21"/>
          <w:highlight w:val="green"/>
        </w:rPr>
      </w:pPr>
      <w:r>
        <w:rPr>
          <w:rFonts w:hint="eastAsia" w:ascii="宋体" w:hAnsi="宋体" w:eastAsia="宋体" w:cs="宋体"/>
          <w:b/>
          <w:color w:val="auto"/>
          <w:szCs w:val="21"/>
          <w:highlight w:val="green"/>
        </w:rPr>
        <w:drawing>
          <wp:inline distT="0" distB="0" distL="114300" distR="114300">
            <wp:extent cx="2312670" cy="3275965"/>
            <wp:effectExtent l="0" t="0" r="11430" b="635"/>
            <wp:docPr id="2" name="图片 6" descr="C:\Users\Administrator\xwechat_files\zhangdongni_87db\temp\InputTemp\f5bb801a-6360-4c33-9f4e-dccb8fa95c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descr="C:\Users\Administrator\xwechat_files\zhangdongni_87db\temp\InputTemp\f5bb801a-6360-4c33-9f4e-dccb8fa95c82.png"/>
                    <pic:cNvPicPr>
                      <a:picLocks noChangeAspect="1"/>
                    </pic:cNvPicPr>
                  </pic:nvPicPr>
                  <pic:blipFill>
                    <a:blip r:embed="rId71"/>
                    <a:stretch>
                      <a:fillRect/>
                    </a:stretch>
                  </pic:blipFill>
                  <pic:spPr>
                    <a:xfrm>
                      <a:off x="0" y="0"/>
                      <a:ext cx="2312670" cy="3275965"/>
                    </a:xfrm>
                    <a:prstGeom prst="rect">
                      <a:avLst/>
                    </a:prstGeom>
                    <a:noFill/>
                    <a:ln>
                      <a:noFill/>
                    </a:ln>
                  </pic:spPr>
                </pic:pic>
              </a:graphicData>
            </a:graphic>
          </wp:inline>
        </w:drawing>
      </w:r>
    </w:p>
    <w:p w14:paraId="32CC8284">
      <w:pPr>
        <w:adjustRightInd w:val="0"/>
        <w:snapToGrid w:val="0"/>
        <w:spacing w:before="319" w:beforeLines="100" w:after="319" w:afterLines="100"/>
        <w:ind w:right="105" w:rightChars="50"/>
        <w:jc w:val="left"/>
        <w:rPr>
          <w:rFonts w:hint="eastAsia" w:ascii="宋体" w:hAnsi="宋体" w:eastAsia="宋体" w:cs="宋体"/>
          <w:b/>
          <w:color w:val="auto"/>
          <w:szCs w:val="21"/>
          <w:highlight w:val="green"/>
        </w:rPr>
      </w:pPr>
      <w:r>
        <w:rPr>
          <w:rFonts w:hint="eastAsia" w:ascii="宋体" w:hAnsi="宋体" w:eastAsia="宋体" w:cs="宋体"/>
          <w:b/>
          <w:color w:val="auto"/>
          <w:szCs w:val="21"/>
          <w:highlight w:val="green"/>
        </w:rPr>
        <w:t>品目清单网络截图</w:t>
      </w:r>
    </w:p>
    <w:p w14:paraId="24526D79">
      <w:pPr>
        <w:bidi w:val="0"/>
        <w:rPr>
          <w:rFonts w:hint="eastAsia" w:ascii="宋体" w:hAnsi="宋体" w:eastAsia="宋体" w:cs="宋体"/>
          <w:color w:val="auto"/>
        </w:rPr>
      </w:pPr>
      <w:r>
        <w:rPr>
          <w:rFonts w:hint="eastAsia" w:ascii="宋体" w:hAnsi="宋体" w:eastAsia="宋体" w:cs="宋体"/>
          <w:color w:val="auto"/>
        </w:rPr>
        <w:drawing>
          <wp:inline distT="0" distB="0" distL="114300" distR="114300">
            <wp:extent cx="5234940" cy="2691130"/>
            <wp:effectExtent l="0" t="0" r="3810" b="13970"/>
            <wp:docPr id="4" name="图片 7" descr="C:\Users\Administrator\xwechat_files\zhangdongni_87db\temp\InputTemp\79e2dd63-daa8-4a5f-b81e-c887a901d0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descr="C:\Users\Administrator\xwechat_files\zhangdongni_87db\temp\InputTemp\79e2dd63-daa8-4a5f-b81e-c887a901d076.png"/>
                    <pic:cNvPicPr>
                      <a:picLocks noChangeAspect="1"/>
                    </pic:cNvPicPr>
                  </pic:nvPicPr>
                  <pic:blipFill>
                    <a:blip r:embed="rId72"/>
                    <a:stretch>
                      <a:fillRect/>
                    </a:stretch>
                  </pic:blipFill>
                  <pic:spPr>
                    <a:xfrm>
                      <a:off x="0" y="0"/>
                      <a:ext cx="5234940" cy="2691130"/>
                    </a:xfrm>
                    <a:prstGeom prst="rect">
                      <a:avLst/>
                    </a:prstGeom>
                    <a:noFill/>
                    <a:ln>
                      <a:noFill/>
                    </a:ln>
                  </pic:spPr>
                </pic:pic>
              </a:graphicData>
            </a:graphic>
          </wp:inline>
        </w:drawing>
      </w:r>
    </w:p>
    <w:p w14:paraId="2C617DB0">
      <w:pPr>
        <w:spacing w:before="319" w:beforeLines="100" w:after="319" w:afterLines="100" w:line="360" w:lineRule="auto"/>
        <w:rPr>
          <w:rFonts w:hint="eastAsia" w:ascii="宋体" w:hAnsi="宋体" w:eastAsia="宋体" w:cs="宋体"/>
          <w:b/>
          <w:bCs/>
          <w:color w:val="auto"/>
          <w:sz w:val="32"/>
          <w:szCs w:val="32"/>
        </w:rPr>
      </w:pPr>
      <w:r>
        <w:rPr>
          <w:rFonts w:hint="eastAsia" w:ascii="宋体" w:hAnsi="宋体" w:eastAsia="宋体" w:cs="宋体"/>
          <w:b/>
          <w:color w:val="auto"/>
          <w:szCs w:val="21"/>
        </w:rPr>
        <w:br w:type="page"/>
      </w:r>
    </w:p>
    <w:p w14:paraId="1813AA2E">
      <w:pPr>
        <w:adjustRightInd w:val="0"/>
        <w:snapToGrid w:val="0"/>
        <w:spacing w:before="319" w:beforeLines="100" w:after="319" w:afterLines="100" w:line="360" w:lineRule="auto"/>
        <w:ind w:right="105" w:rightChars="50"/>
        <w:jc w:val="center"/>
        <w:rPr>
          <w:rFonts w:hint="eastAsia" w:ascii="宋体" w:hAnsi="宋体" w:eastAsia="宋体" w:cs="宋体"/>
          <w:b/>
          <w:bCs/>
          <w:color w:val="auto"/>
          <w:sz w:val="32"/>
          <w:szCs w:val="32"/>
        </w:rPr>
      </w:pPr>
      <w:r>
        <w:rPr>
          <w:rFonts w:hint="eastAsia" w:ascii="宋体" w:hAnsi="宋体" w:eastAsia="宋体" w:cs="宋体"/>
          <w:b/>
          <w:bCs/>
          <w:color w:val="auto"/>
          <w:sz w:val="32"/>
          <w:szCs w:val="32"/>
        </w:rPr>
        <w:t>节能或环保产品证明材料（强制性节能产品除外）（如适用）</w:t>
      </w:r>
    </w:p>
    <w:p w14:paraId="2C09C009">
      <w:pPr>
        <w:spacing w:line="400" w:lineRule="exact"/>
        <w:rPr>
          <w:rFonts w:hint="eastAsia" w:ascii="宋体" w:hAnsi="宋体" w:eastAsia="宋体" w:cs="宋体"/>
          <w:color w:val="auto"/>
          <w:lang w:eastAsia="zh-CN"/>
        </w:rPr>
      </w:pPr>
      <w:r>
        <w:rPr>
          <w:rFonts w:hint="eastAsia" w:ascii="宋体" w:hAnsi="宋体" w:cs="宋体"/>
          <w:color w:val="auto"/>
          <w:lang w:eastAsia="zh-CN"/>
        </w:rPr>
        <w:t>（一）</w:t>
      </w:r>
      <w:r>
        <w:rPr>
          <w:rFonts w:hint="eastAsia" w:ascii="宋体" w:hAnsi="宋体" w:eastAsia="宋体" w:cs="宋体"/>
          <w:b/>
          <w:bCs/>
          <w:color w:val="auto"/>
          <w:sz w:val="32"/>
          <w:szCs w:val="32"/>
        </w:rPr>
        <w:t>节能产品（强制性节能产品除外）</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4"/>
        <w:gridCol w:w="2048"/>
        <w:gridCol w:w="1581"/>
        <w:gridCol w:w="1076"/>
        <w:gridCol w:w="1320"/>
        <w:gridCol w:w="1504"/>
      </w:tblGrid>
      <w:tr w14:paraId="46EE3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794" w:type="dxa"/>
            <w:noWrap w:val="0"/>
            <w:vAlign w:val="center"/>
          </w:tcPr>
          <w:p w14:paraId="4DCBD73B">
            <w:pPr>
              <w:jc w:val="center"/>
              <w:rPr>
                <w:rFonts w:hint="eastAsia" w:ascii="宋体" w:hAnsi="宋体" w:eastAsia="宋体" w:cs="宋体"/>
                <w:color w:val="auto"/>
                <w:kern w:val="0"/>
                <w:szCs w:val="21"/>
              </w:rPr>
            </w:pPr>
            <w:r>
              <w:rPr>
                <w:rFonts w:hint="eastAsia" w:ascii="宋体" w:hAnsi="宋体" w:eastAsia="宋体" w:cs="宋体"/>
                <w:color w:val="auto"/>
                <w:kern w:val="0"/>
                <w:szCs w:val="21"/>
              </w:rPr>
              <w:t>序号</w:t>
            </w:r>
          </w:p>
        </w:tc>
        <w:tc>
          <w:tcPr>
            <w:tcW w:w="2048" w:type="dxa"/>
            <w:noWrap w:val="0"/>
            <w:vAlign w:val="center"/>
          </w:tcPr>
          <w:p w14:paraId="1E39300D">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 w:val="18"/>
                <w:szCs w:val="18"/>
                <w:lang w:bidi="ar"/>
              </w:rPr>
              <w:t>非强制节能产品名称</w:t>
            </w:r>
          </w:p>
        </w:tc>
        <w:tc>
          <w:tcPr>
            <w:tcW w:w="1581" w:type="dxa"/>
            <w:noWrap w:val="0"/>
            <w:vAlign w:val="center"/>
          </w:tcPr>
          <w:p w14:paraId="381A47FA">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所投品牌</w:t>
            </w:r>
          </w:p>
        </w:tc>
        <w:tc>
          <w:tcPr>
            <w:tcW w:w="1076" w:type="dxa"/>
            <w:noWrap w:val="0"/>
            <w:vAlign w:val="center"/>
          </w:tcPr>
          <w:p w14:paraId="018206B5">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规格型号</w:t>
            </w:r>
          </w:p>
        </w:tc>
        <w:tc>
          <w:tcPr>
            <w:tcW w:w="1320" w:type="dxa"/>
            <w:noWrap w:val="0"/>
            <w:vAlign w:val="center"/>
          </w:tcPr>
          <w:p w14:paraId="23E59FF6">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认证证书编号</w:t>
            </w:r>
          </w:p>
        </w:tc>
        <w:tc>
          <w:tcPr>
            <w:tcW w:w="1504" w:type="dxa"/>
            <w:noWrap w:val="0"/>
            <w:vAlign w:val="center"/>
          </w:tcPr>
          <w:p w14:paraId="2628D0C4">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rPr>
              <w:t>节能产品</w:t>
            </w:r>
            <w:r>
              <w:rPr>
                <w:rFonts w:hint="eastAsia" w:ascii="宋体" w:hAnsi="宋体" w:eastAsia="宋体" w:cs="宋体"/>
                <w:color w:val="auto"/>
                <w:kern w:val="0"/>
                <w:sz w:val="18"/>
                <w:szCs w:val="18"/>
                <w:lang w:bidi="ar"/>
              </w:rPr>
              <w:t>总价（元）</w:t>
            </w:r>
          </w:p>
        </w:tc>
      </w:tr>
      <w:tr w14:paraId="32447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794" w:type="dxa"/>
            <w:noWrap w:val="0"/>
            <w:vAlign w:val="center"/>
          </w:tcPr>
          <w:p w14:paraId="56148984">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1</w:t>
            </w:r>
          </w:p>
        </w:tc>
        <w:tc>
          <w:tcPr>
            <w:tcW w:w="2048" w:type="dxa"/>
            <w:noWrap w:val="0"/>
            <w:vAlign w:val="center"/>
          </w:tcPr>
          <w:p w14:paraId="02038D07">
            <w:pPr>
              <w:jc w:val="center"/>
              <w:rPr>
                <w:rFonts w:hint="eastAsia" w:ascii="宋体" w:hAnsi="宋体" w:eastAsia="宋体" w:cs="宋体"/>
                <w:b/>
                <w:bCs/>
                <w:color w:val="auto"/>
              </w:rPr>
            </w:pPr>
          </w:p>
        </w:tc>
        <w:tc>
          <w:tcPr>
            <w:tcW w:w="1581" w:type="dxa"/>
            <w:noWrap w:val="0"/>
            <w:vAlign w:val="center"/>
          </w:tcPr>
          <w:p w14:paraId="261B79EF">
            <w:pPr>
              <w:widowControl/>
              <w:jc w:val="center"/>
              <w:textAlignment w:val="center"/>
              <w:rPr>
                <w:rFonts w:hint="eastAsia" w:ascii="宋体" w:hAnsi="宋体" w:eastAsia="宋体" w:cs="宋体"/>
                <w:color w:val="auto"/>
                <w:kern w:val="0"/>
                <w:sz w:val="18"/>
                <w:szCs w:val="18"/>
                <w:lang w:bidi="ar"/>
              </w:rPr>
            </w:pPr>
          </w:p>
        </w:tc>
        <w:tc>
          <w:tcPr>
            <w:tcW w:w="1076" w:type="dxa"/>
            <w:noWrap w:val="0"/>
            <w:vAlign w:val="center"/>
          </w:tcPr>
          <w:p w14:paraId="3C5F103E">
            <w:pPr>
              <w:widowControl/>
              <w:jc w:val="center"/>
              <w:textAlignment w:val="center"/>
              <w:rPr>
                <w:rFonts w:hint="eastAsia" w:ascii="宋体" w:hAnsi="宋体" w:eastAsia="宋体" w:cs="宋体"/>
                <w:color w:val="auto"/>
                <w:kern w:val="0"/>
                <w:sz w:val="18"/>
                <w:szCs w:val="18"/>
                <w:lang w:bidi="ar"/>
              </w:rPr>
            </w:pPr>
          </w:p>
        </w:tc>
        <w:tc>
          <w:tcPr>
            <w:tcW w:w="1320" w:type="dxa"/>
            <w:noWrap w:val="0"/>
            <w:vAlign w:val="center"/>
          </w:tcPr>
          <w:p w14:paraId="1FB97136">
            <w:pPr>
              <w:widowControl/>
              <w:jc w:val="center"/>
              <w:textAlignment w:val="center"/>
              <w:rPr>
                <w:rFonts w:hint="eastAsia" w:ascii="宋体" w:hAnsi="宋体" w:eastAsia="宋体" w:cs="宋体"/>
                <w:color w:val="auto"/>
                <w:kern w:val="0"/>
                <w:sz w:val="18"/>
                <w:szCs w:val="18"/>
                <w:lang w:bidi="ar"/>
              </w:rPr>
            </w:pPr>
          </w:p>
        </w:tc>
        <w:tc>
          <w:tcPr>
            <w:tcW w:w="1504" w:type="dxa"/>
            <w:noWrap w:val="0"/>
            <w:vAlign w:val="center"/>
          </w:tcPr>
          <w:p w14:paraId="4E1162B9">
            <w:pPr>
              <w:widowControl/>
              <w:jc w:val="center"/>
              <w:textAlignment w:val="center"/>
              <w:rPr>
                <w:rFonts w:hint="eastAsia" w:ascii="宋体" w:hAnsi="宋体" w:eastAsia="宋体" w:cs="宋体"/>
                <w:color w:val="auto"/>
                <w:kern w:val="0"/>
                <w:sz w:val="18"/>
                <w:szCs w:val="18"/>
                <w:lang w:bidi="ar"/>
              </w:rPr>
            </w:pPr>
          </w:p>
        </w:tc>
      </w:tr>
      <w:tr w14:paraId="7DD2F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794" w:type="dxa"/>
            <w:noWrap w:val="0"/>
            <w:vAlign w:val="center"/>
          </w:tcPr>
          <w:p w14:paraId="77B7C5BC">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2</w:t>
            </w:r>
          </w:p>
        </w:tc>
        <w:tc>
          <w:tcPr>
            <w:tcW w:w="2048" w:type="dxa"/>
            <w:noWrap w:val="0"/>
            <w:vAlign w:val="center"/>
          </w:tcPr>
          <w:p w14:paraId="3D59A7F5">
            <w:pPr>
              <w:jc w:val="center"/>
              <w:rPr>
                <w:rFonts w:hint="eastAsia" w:ascii="宋体" w:hAnsi="宋体" w:eastAsia="宋体" w:cs="宋体"/>
                <w:color w:val="auto"/>
              </w:rPr>
            </w:pPr>
          </w:p>
        </w:tc>
        <w:tc>
          <w:tcPr>
            <w:tcW w:w="1581" w:type="dxa"/>
            <w:noWrap w:val="0"/>
            <w:vAlign w:val="center"/>
          </w:tcPr>
          <w:p w14:paraId="498014C2">
            <w:pPr>
              <w:widowControl/>
              <w:jc w:val="center"/>
              <w:textAlignment w:val="center"/>
              <w:rPr>
                <w:rFonts w:hint="eastAsia" w:ascii="宋体" w:hAnsi="宋体" w:eastAsia="宋体" w:cs="宋体"/>
                <w:color w:val="auto"/>
                <w:kern w:val="0"/>
                <w:sz w:val="18"/>
                <w:szCs w:val="18"/>
                <w:lang w:bidi="ar"/>
              </w:rPr>
            </w:pPr>
          </w:p>
        </w:tc>
        <w:tc>
          <w:tcPr>
            <w:tcW w:w="1076" w:type="dxa"/>
            <w:noWrap w:val="0"/>
            <w:vAlign w:val="center"/>
          </w:tcPr>
          <w:p w14:paraId="058BC842">
            <w:pPr>
              <w:widowControl/>
              <w:jc w:val="center"/>
              <w:textAlignment w:val="center"/>
              <w:rPr>
                <w:rFonts w:hint="eastAsia" w:ascii="宋体" w:hAnsi="宋体" w:eastAsia="宋体" w:cs="宋体"/>
                <w:color w:val="auto"/>
                <w:kern w:val="0"/>
                <w:sz w:val="18"/>
                <w:szCs w:val="18"/>
                <w:lang w:bidi="ar"/>
              </w:rPr>
            </w:pPr>
          </w:p>
        </w:tc>
        <w:tc>
          <w:tcPr>
            <w:tcW w:w="1320" w:type="dxa"/>
            <w:noWrap w:val="0"/>
            <w:vAlign w:val="center"/>
          </w:tcPr>
          <w:p w14:paraId="3D8714E4">
            <w:pPr>
              <w:widowControl/>
              <w:jc w:val="center"/>
              <w:textAlignment w:val="center"/>
              <w:rPr>
                <w:rFonts w:hint="eastAsia" w:ascii="宋体" w:hAnsi="宋体" w:eastAsia="宋体" w:cs="宋体"/>
                <w:color w:val="auto"/>
                <w:kern w:val="0"/>
                <w:sz w:val="18"/>
                <w:szCs w:val="18"/>
                <w:lang w:bidi="ar"/>
              </w:rPr>
            </w:pPr>
          </w:p>
        </w:tc>
        <w:tc>
          <w:tcPr>
            <w:tcW w:w="1504" w:type="dxa"/>
            <w:noWrap w:val="0"/>
            <w:vAlign w:val="center"/>
          </w:tcPr>
          <w:p w14:paraId="7FE9E40D">
            <w:pPr>
              <w:widowControl/>
              <w:jc w:val="center"/>
              <w:textAlignment w:val="center"/>
              <w:rPr>
                <w:rFonts w:hint="eastAsia" w:ascii="宋体" w:hAnsi="宋体" w:eastAsia="宋体" w:cs="宋体"/>
                <w:color w:val="auto"/>
                <w:kern w:val="0"/>
                <w:sz w:val="18"/>
                <w:szCs w:val="18"/>
                <w:lang w:bidi="ar"/>
              </w:rPr>
            </w:pPr>
          </w:p>
        </w:tc>
      </w:tr>
      <w:tr w14:paraId="4B488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794" w:type="dxa"/>
            <w:noWrap w:val="0"/>
            <w:vAlign w:val="center"/>
          </w:tcPr>
          <w:p w14:paraId="6B2D9A8C">
            <w:pPr>
              <w:jc w:val="center"/>
              <w:rPr>
                <w:rFonts w:hint="eastAsia" w:ascii="宋体" w:hAnsi="宋体" w:eastAsia="宋体" w:cs="宋体"/>
                <w:color w:val="auto"/>
              </w:rPr>
            </w:pPr>
            <w:r>
              <w:rPr>
                <w:rFonts w:hint="eastAsia" w:ascii="宋体" w:hAnsi="宋体" w:cs="宋体"/>
                <w:color w:val="auto"/>
                <w:lang w:val="en-US" w:eastAsia="zh-CN"/>
              </w:rPr>
              <w:t>……</w:t>
            </w:r>
          </w:p>
        </w:tc>
        <w:tc>
          <w:tcPr>
            <w:tcW w:w="2048" w:type="dxa"/>
            <w:noWrap w:val="0"/>
            <w:vAlign w:val="center"/>
          </w:tcPr>
          <w:p w14:paraId="31EBF500">
            <w:pPr>
              <w:jc w:val="center"/>
              <w:rPr>
                <w:rFonts w:hint="eastAsia" w:ascii="宋体" w:hAnsi="宋体" w:eastAsia="宋体" w:cs="宋体"/>
                <w:color w:val="auto"/>
              </w:rPr>
            </w:pPr>
            <w:r>
              <w:rPr>
                <w:rFonts w:hint="eastAsia" w:ascii="宋体" w:hAnsi="宋体" w:cs="宋体"/>
                <w:color w:val="auto"/>
                <w:lang w:val="en-US" w:eastAsia="zh-CN"/>
              </w:rPr>
              <w:t>……</w:t>
            </w:r>
          </w:p>
        </w:tc>
        <w:tc>
          <w:tcPr>
            <w:tcW w:w="1581" w:type="dxa"/>
            <w:noWrap w:val="0"/>
            <w:vAlign w:val="center"/>
          </w:tcPr>
          <w:p w14:paraId="4575291F">
            <w:pPr>
              <w:widowControl/>
              <w:jc w:val="center"/>
              <w:textAlignment w:val="center"/>
              <w:rPr>
                <w:rFonts w:hint="eastAsia" w:ascii="宋体" w:hAnsi="宋体" w:eastAsia="宋体" w:cs="宋体"/>
                <w:color w:val="auto"/>
                <w:kern w:val="0"/>
                <w:sz w:val="18"/>
                <w:szCs w:val="18"/>
                <w:lang w:bidi="ar"/>
              </w:rPr>
            </w:pPr>
          </w:p>
        </w:tc>
        <w:tc>
          <w:tcPr>
            <w:tcW w:w="1076" w:type="dxa"/>
            <w:noWrap w:val="0"/>
            <w:vAlign w:val="center"/>
          </w:tcPr>
          <w:p w14:paraId="42A370AE">
            <w:pPr>
              <w:widowControl/>
              <w:jc w:val="center"/>
              <w:textAlignment w:val="center"/>
              <w:rPr>
                <w:rFonts w:hint="eastAsia" w:ascii="宋体" w:hAnsi="宋体" w:eastAsia="宋体" w:cs="宋体"/>
                <w:color w:val="auto"/>
                <w:kern w:val="0"/>
                <w:sz w:val="18"/>
                <w:szCs w:val="18"/>
                <w:lang w:bidi="ar"/>
              </w:rPr>
            </w:pPr>
          </w:p>
        </w:tc>
        <w:tc>
          <w:tcPr>
            <w:tcW w:w="1320" w:type="dxa"/>
            <w:noWrap w:val="0"/>
            <w:vAlign w:val="center"/>
          </w:tcPr>
          <w:p w14:paraId="39396F9F">
            <w:pPr>
              <w:widowControl/>
              <w:jc w:val="center"/>
              <w:textAlignment w:val="center"/>
              <w:rPr>
                <w:rFonts w:hint="eastAsia" w:ascii="宋体" w:hAnsi="宋体" w:eastAsia="宋体" w:cs="宋体"/>
                <w:color w:val="auto"/>
                <w:kern w:val="0"/>
                <w:sz w:val="18"/>
                <w:szCs w:val="18"/>
                <w:lang w:bidi="ar"/>
              </w:rPr>
            </w:pPr>
          </w:p>
        </w:tc>
        <w:tc>
          <w:tcPr>
            <w:tcW w:w="1504" w:type="dxa"/>
            <w:noWrap w:val="0"/>
            <w:vAlign w:val="center"/>
          </w:tcPr>
          <w:p w14:paraId="182937F8">
            <w:pPr>
              <w:widowControl/>
              <w:jc w:val="center"/>
              <w:textAlignment w:val="center"/>
              <w:rPr>
                <w:rFonts w:hint="eastAsia" w:ascii="宋体" w:hAnsi="宋体" w:eastAsia="宋体" w:cs="宋体"/>
                <w:color w:val="auto"/>
                <w:kern w:val="0"/>
                <w:sz w:val="18"/>
                <w:szCs w:val="18"/>
                <w:lang w:bidi="ar"/>
              </w:rPr>
            </w:pPr>
          </w:p>
        </w:tc>
      </w:tr>
      <w:tr w14:paraId="25D53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4423" w:type="dxa"/>
            <w:gridSpan w:val="3"/>
            <w:noWrap w:val="0"/>
            <w:vAlign w:val="center"/>
          </w:tcPr>
          <w:p w14:paraId="53C5AE6F">
            <w:pPr>
              <w:widowControl/>
              <w:jc w:val="center"/>
              <w:textAlignment w:val="center"/>
              <w:rPr>
                <w:rFonts w:hint="eastAsia" w:ascii="宋体" w:hAnsi="宋体" w:eastAsia="宋体" w:cs="宋体"/>
                <w:color w:val="auto"/>
                <w:kern w:val="0"/>
                <w:sz w:val="18"/>
                <w:szCs w:val="18"/>
                <w:lang w:eastAsia="zh-CN" w:bidi="ar"/>
              </w:rPr>
            </w:pPr>
            <w:r>
              <w:rPr>
                <w:rFonts w:hint="eastAsia" w:ascii="宋体" w:hAnsi="宋体" w:cs="宋体"/>
                <w:color w:val="auto"/>
                <w:kern w:val="0"/>
                <w:sz w:val="18"/>
                <w:szCs w:val="18"/>
                <w:lang w:eastAsia="zh-CN" w:bidi="ar"/>
              </w:rPr>
              <w:t>合计</w:t>
            </w:r>
            <w:r>
              <w:rPr>
                <w:rFonts w:hint="eastAsia" w:ascii="宋体" w:hAnsi="宋体" w:eastAsia="宋体" w:cs="宋体"/>
                <w:color w:val="auto"/>
                <w:kern w:val="0"/>
                <w:sz w:val="18"/>
                <w:szCs w:val="18"/>
                <w:lang w:bidi="ar"/>
              </w:rPr>
              <w:t>（元）</w:t>
            </w:r>
          </w:p>
        </w:tc>
        <w:tc>
          <w:tcPr>
            <w:tcW w:w="3900" w:type="dxa"/>
            <w:gridSpan w:val="3"/>
            <w:noWrap w:val="0"/>
            <w:vAlign w:val="center"/>
          </w:tcPr>
          <w:p w14:paraId="4CED7BDE">
            <w:pPr>
              <w:widowControl/>
              <w:jc w:val="center"/>
              <w:textAlignment w:val="center"/>
              <w:rPr>
                <w:rFonts w:hint="eastAsia" w:ascii="宋体" w:hAnsi="宋体" w:eastAsia="宋体" w:cs="宋体"/>
                <w:color w:val="auto"/>
                <w:kern w:val="0"/>
                <w:sz w:val="18"/>
                <w:szCs w:val="18"/>
                <w:lang w:bidi="ar"/>
              </w:rPr>
            </w:pPr>
          </w:p>
        </w:tc>
      </w:tr>
    </w:tbl>
    <w:p w14:paraId="1B9B2AE9">
      <w:pPr>
        <w:spacing w:line="400" w:lineRule="exact"/>
        <w:rPr>
          <w:rFonts w:hint="eastAsia" w:ascii="宋体" w:hAnsi="宋体" w:eastAsia="宋体" w:cs="宋体"/>
          <w:color w:val="auto"/>
          <w:lang w:eastAsia="zh-CN"/>
        </w:rPr>
      </w:pPr>
      <w:r>
        <w:rPr>
          <w:rFonts w:hint="eastAsia" w:ascii="宋体" w:hAnsi="宋体" w:eastAsia="宋体" w:cs="宋体"/>
          <w:color w:val="auto"/>
          <w:lang w:eastAsia="zh-CN"/>
        </w:rPr>
        <w:t>（二）</w:t>
      </w:r>
      <w:r>
        <w:rPr>
          <w:rFonts w:hint="eastAsia" w:ascii="宋体" w:hAnsi="宋体" w:cs="宋体"/>
          <w:b/>
          <w:bCs/>
          <w:color w:val="auto"/>
          <w:sz w:val="32"/>
          <w:szCs w:val="32"/>
          <w:lang w:eastAsia="zh-CN"/>
        </w:rPr>
        <w:t>环保</w:t>
      </w:r>
      <w:r>
        <w:rPr>
          <w:rFonts w:hint="eastAsia" w:ascii="宋体" w:hAnsi="宋体" w:eastAsia="宋体" w:cs="宋体"/>
          <w:b/>
          <w:bCs/>
          <w:color w:val="auto"/>
          <w:sz w:val="32"/>
          <w:szCs w:val="32"/>
        </w:rPr>
        <w:t>产品</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4"/>
        <w:gridCol w:w="2048"/>
        <w:gridCol w:w="1581"/>
        <w:gridCol w:w="1076"/>
        <w:gridCol w:w="1320"/>
        <w:gridCol w:w="1504"/>
      </w:tblGrid>
      <w:tr w14:paraId="4621E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794" w:type="dxa"/>
            <w:noWrap w:val="0"/>
            <w:vAlign w:val="center"/>
          </w:tcPr>
          <w:p w14:paraId="33877F17">
            <w:pPr>
              <w:jc w:val="center"/>
              <w:rPr>
                <w:rFonts w:hint="eastAsia" w:ascii="宋体" w:hAnsi="宋体" w:eastAsia="宋体" w:cs="宋体"/>
                <w:color w:val="auto"/>
                <w:kern w:val="0"/>
                <w:szCs w:val="21"/>
              </w:rPr>
            </w:pPr>
            <w:r>
              <w:rPr>
                <w:rFonts w:hint="eastAsia" w:ascii="宋体" w:hAnsi="宋体" w:eastAsia="宋体" w:cs="宋体"/>
                <w:color w:val="auto"/>
                <w:kern w:val="0"/>
                <w:szCs w:val="21"/>
              </w:rPr>
              <w:t>序号</w:t>
            </w:r>
          </w:p>
        </w:tc>
        <w:tc>
          <w:tcPr>
            <w:tcW w:w="2048" w:type="dxa"/>
            <w:noWrap w:val="0"/>
            <w:vAlign w:val="center"/>
          </w:tcPr>
          <w:p w14:paraId="1ADA7F36">
            <w:pPr>
              <w:widowControl/>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 w:val="18"/>
                <w:szCs w:val="18"/>
                <w:lang w:bidi="ar"/>
              </w:rPr>
              <w:t>环保产品名称</w:t>
            </w:r>
          </w:p>
        </w:tc>
        <w:tc>
          <w:tcPr>
            <w:tcW w:w="1581" w:type="dxa"/>
            <w:noWrap w:val="0"/>
            <w:vAlign w:val="center"/>
          </w:tcPr>
          <w:p w14:paraId="66EE01AE">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所投品牌</w:t>
            </w:r>
          </w:p>
        </w:tc>
        <w:tc>
          <w:tcPr>
            <w:tcW w:w="1076" w:type="dxa"/>
            <w:noWrap w:val="0"/>
            <w:vAlign w:val="center"/>
          </w:tcPr>
          <w:p w14:paraId="33145C41">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规格型号</w:t>
            </w:r>
          </w:p>
        </w:tc>
        <w:tc>
          <w:tcPr>
            <w:tcW w:w="1320" w:type="dxa"/>
            <w:noWrap w:val="0"/>
            <w:vAlign w:val="center"/>
          </w:tcPr>
          <w:p w14:paraId="73F710BE">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认证证书编号</w:t>
            </w:r>
          </w:p>
        </w:tc>
        <w:tc>
          <w:tcPr>
            <w:tcW w:w="1504" w:type="dxa"/>
            <w:noWrap w:val="0"/>
            <w:vAlign w:val="center"/>
          </w:tcPr>
          <w:p w14:paraId="2423AD59">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rPr>
              <w:t>环保产品</w:t>
            </w:r>
            <w:r>
              <w:rPr>
                <w:rFonts w:hint="eastAsia" w:ascii="宋体" w:hAnsi="宋体" w:eastAsia="宋体" w:cs="宋体"/>
                <w:color w:val="auto"/>
                <w:kern w:val="0"/>
                <w:sz w:val="18"/>
                <w:szCs w:val="18"/>
                <w:lang w:bidi="ar"/>
              </w:rPr>
              <w:t>总价（元）</w:t>
            </w:r>
          </w:p>
        </w:tc>
      </w:tr>
      <w:tr w14:paraId="33D15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794" w:type="dxa"/>
            <w:noWrap w:val="0"/>
            <w:vAlign w:val="center"/>
          </w:tcPr>
          <w:p w14:paraId="1123B71F">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1</w:t>
            </w:r>
          </w:p>
        </w:tc>
        <w:tc>
          <w:tcPr>
            <w:tcW w:w="2048" w:type="dxa"/>
            <w:noWrap w:val="0"/>
            <w:vAlign w:val="center"/>
          </w:tcPr>
          <w:p w14:paraId="77272264">
            <w:pPr>
              <w:jc w:val="center"/>
              <w:rPr>
                <w:rFonts w:hint="eastAsia" w:ascii="宋体" w:hAnsi="宋体" w:eastAsia="宋体" w:cs="宋体"/>
                <w:b/>
                <w:bCs/>
                <w:color w:val="auto"/>
              </w:rPr>
            </w:pPr>
          </w:p>
        </w:tc>
        <w:tc>
          <w:tcPr>
            <w:tcW w:w="1581" w:type="dxa"/>
            <w:noWrap w:val="0"/>
            <w:vAlign w:val="center"/>
          </w:tcPr>
          <w:p w14:paraId="67FE4D19">
            <w:pPr>
              <w:widowControl/>
              <w:jc w:val="center"/>
              <w:textAlignment w:val="center"/>
              <w:rPr>
                <w:rFonts w:hint="eastAsia" w:ascii="宋体" w:hAnsi="宋体" w:eastAsia="宋体" w:cs="宋体"/>
                <w:color w:val="auto"/>
                <w:kern w:val="0"/>
                <w:sz w:val="18"/>
                <w:szCs w:val="18"/>
                <w:lang w:bidi="ar"/>
              </w:rPr>
            </w:pPr>
          </w:p>
        </w:tc>
        <w:tc>
          <w:tcPr>
            <w:tcW w:w="1076" w:type="dxa"/>
            <w:noWrap w:val="0"/>
            <w:vAlign w:val="center"/>
          </w:tcPr>
          <w:p w14:paraId="10024EDB">
            <w:pPr>
              <w:widowControl/>
              <w:jc w:val="center"/>
              <w:textAlignment w:val="center"/>
              <w:rPr>
                <w:rFonts w:hint="eastAsia" w:ascii="宋体" w:hAnsi="宋体" w:eastAsia="宋体" w:cs="宋体"/>
                <w:color w:val="auto"/>
                <w:kern w:val="0"/>
                <w:sz w:val="18"/>
                <w:szCs w:val="18"/>
                <w:lang w:bidi="ar"/>
              </w:rPr>
            </w:pPr>
          </w:p>
        </w:tc>
        <w:tc>
          <w:tcPr>
            <w:tcW w:w="1320" w:type="dxa"/>
            <w:noWrap w:val="0"/>
            <w:vAlign w:val="center"/>
          </w:tcPr>
          <w:p w14:paraId="49999372">
            <w:pPr>
              <w:widowControl/>
              <w:jc w:val="center"/>
              <w:textAlignment w:val="center"/>
              <w:rPr>
                <w:rFonts w:hint="eastAsia" w:ascii="宋体" w:hAnsi="宋体" w:eastAsia="宋体" w:cs="宋体"/>
                <w:color w:val="auto"/>
                <w:kern w:val="0"/>
                <w:sz w:val="18"/>
                <w:szCs w:val="18"/>
                <w:lang w:bidi="ar"/>
              </w:rPr>
            </w:pPr>
          </w:p>
        </w:tc>
        <w:tc>
          <w:tcPr>
            <w:tcW w:w="1504" w:type="dxa"/>
            <w:noWrap w:val="0"/>
            <w:vAlign w:val="center"/>
          </w:tcPr>
          <w:p w14:paraId="5052F2FF">
            <w:pPr>
              <w:widowControl/>
              <w:jc w:val="center"/>
              <w:textAlignment w:val="center"/>
              <w:rPr>
                <w:rFonts w:hint="eastAsia" w:ascii="宋体" w:hAnsi="宋体" w:eastAsia="宋体" w:cs="宋体"/>
                <w:color w:val="auto"/>
                <w:kern w:val="0"/>
                <w:sz w:val="18"/>
                <w:szCs w:val="18"/>
                <w:lang w:bidi="ar"/>
              </w:rPr>
            </w:pPr>
          </w:p>
        </w:tc>
      </w:tr>
      <w:tr w14:paraId="20DA0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794" w:type="dxa"/>
            <w:noWrap w:val="0"/>
            <w:vAlign w:val="center"/>
          </w:tcPr>
          <w:p w14:paraId="100ADC26">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2</w:t>
            </w:r>
          </w:p>
        </w:tc>
        <w:tc>
          <w:tcPr>
            <w:tcW w:w="2048" w:type="dxa"/>
            <w:noWrap w:val="0"/>
            <w:vAlign w:val="center"/>
          </w:tcPr>
          <w:p w14:paraId="75AF08BD">
            <w:pPr>
              <w:jc w:val="center"/>
              <w:rPr>
                <w:rFonts w:hint="eastAsia" w:ascii="宋体" w:hAnsi="宋体" w:eastAsia="宋体" w:cs="宋体"/>
                <w:color w:val="auto"/>
              </w:rPr>
            </w:pPr>
          </w:p>
        </w:tc>
        <w:tc>
          <w:tcPr>
            <w:tcW w:w="1581" w:type="dxa"/>
            <w:noWrap w:val="0"/>
            <w:vAlign w:val="center"/>
          </w:tcPr>
          <w:p w14:paraId="3E226A5D">
            <w:pPr>
              <w:widowControl/>
              <w:jc w:val="center"/>
              <w:textAlignment w:val="center"/>
              <w:rPr>
                <w:rFonts w:hint="eastAsia" w:ascii="宋体" w:hAnsi="宋体" w:eastAsia="宋体" w:cs="宋体"/>
                <w:color w:val="auto"/>
                <w:kern w:val="0"/>
                <w:sz w:val="18"/>
                <w:szCs w:val="18"/>
                <w:lang w:bidi="ar"/>
              </w:rPr>
            </w:pPr>
          </w:p>
        </w:tc>
        <w:tc>
          <w:tcPr>
            <w:tcW w:w="1076" w:type="dxa"/>
            <w:noWrap w:val="0"/>
            <w:vAlign w:val="center"/>
          </w:tcPr>
          <w:p w14:paraId="602CA4CD">
            <w:pPr>
              <w:widowControl/>
              <w:jc w:val="center"/>
              <w:textAlignment w:val="center"/>
              <w:rPr>
                <w:rFonts w:hint="eastAsia" w:ascii="宋体" w:hAnsi="宋体" w:eastAsia="宋体" w:cs="宋体"/>
                <w:color w:val="auto"/>
                <w:kern w:val="0"/>
                <w:sz w:val="18"/>
                <w:szCs w:val="18"/>
                <w:lang w:bidi="ar"/>
              </w:rPr>
            </w:pPr>
          </w:p>
        </w:tc>
        <w:tc>
          <w:tcPr>
            <w:tcW w:w="1320" w:type="dxa"/>
            <w:noWrap w:val="0"/>
            <w:vAlign w:val="center"/>
          </w:tcPr>
          <w:p w14:paraId="5CE608AE">
            <w:pPr>
              <w:widowControl/>
              <w:jc w:val="center"/>
              <w:textAlignment w:val="center"/>
              <w:rPr>
                <w:rFonts w:hint="eastAsia" w:ascii="宋体" w:hAnsi="宋体" w:eastAsia="宋体" w:cs="宋体"/>
                <w:color w:val="auto"/>
                <w:kern w:val="0"/>
                <w:sz w:val="18"/>
                <w:szCs w:val="18"/>
                <w:lang w:bidi="ar"/>
              </w:rPr>
            </w:pPr>
          </w:p>
        </w:tc>
        <w:tc>
          <w:tcPr>
            <w:tcW w:w="1504" w:type="dxa"/>
            <w:noWrap w:val="0"/>
            <w:vAlign w:val="center"/>
          </w:tcPr>
          <w:p w14:paraId="0695B3E5">
            <w:pPr>
              <w:widowControl/>
              <w:jc w:val="center"/>
              <w:textAlignment w:val="center"/>
              <w:rPr>
                <w:rFonts w:hint="eastAsia" w:ascii="宋体" w:hAnsi="宋体" w:eastAsia="宋体" w:cs="宋体"/>
                <w:color w:val="auto"/>
                <w:kern w:val="0"/>
                <w:sz w:val="18"/>
                <w:szCs w:val="18"/>
                <w:lang w:bidi="ar"/>
              </w:rPr>
            </w:pPr>
          </w:p>
        </w:tc>
      </w:tr>
      <w:tr w14:paraId="4496B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794" w:type="dxa"/>
            <w:noWrap w:val="0"/>
            <w:vAlign w:val="center"/>
          </w:tcPr>
          <w:p w14:paraId="1FA5214F">
            <w:pPr>
              <w:jc w:val="center"/>
              <w:rPr>
                <w:rFonts w:hint="eastAsia" w:ascii="宋体" w:hAnsi="宋体" w:eastAsia="宋体" w:cs="宋体"/>
                <w:color w:val="auto"/>
              </w:rPr>
            </w:pPr>
            <w:r>
              <w:rPr>
                <w:rFonts w:hint="eastAsia" w:ascii="宋体" w:hAnsi="宋体" w:cs="宋体"/>
                <w:color w:val="auto"/>
                <w:lang w:val="en-US" w:eastAsia="zh-CN"/>
              </w:rPr>
              <w:t>……</w:t>
            </w:r>
          </w:p>
        </w:tc>
        <w:tc>
          <w:tcPr>
            <w:tcW w:w="2048" w:type="dxa"/>
            <w:noWrap w:val="0"/>
            <w:vAlign w:val="center"/>
          </w:tcPr>
          <w:p w14:paraId="74571C38">
            <w:pPr>
              <w:jc w:val="center"/>
              <w:rPr>
                <w:rFonts w:hint="eastAsia" w:ascii="宋体" w:hAnsi="宋体" w:eastAsia="宋体" w:cs="宋体"/>
                <w:color w:val="auto"/>
              </w:rPr>
            </w:pPr>
            <w:r>
              <w:rPr>
                <w:rFonts w:hint="eastAsia" w:ascii="宋体" w:hAnsi="宋体" w:cs="宋体"/>
                <w:color w:val="auto"/>
                <w:lang w:val="en-US" w:eastAsia="zh-CN"/>
              </w:rPr>
              <w:t>……</w:t>
            </w:r>
          </w:p>
        </w:tc>
        <w:tc>
          <w:tcPr>
            <w:tcW w:w="1581" w:type="dxa"/>
            <w:noWrap w:val="0"/>
            <w:vAlign w:val="center"/>
          </w:tcPr>
          <w:p w14:paraId="7F58546F">
            <w:pPr>
              <w:widowControl/>
              <w:jc w:val="center"/>
              <w:textAlignment w:val="center"/>
              <w:rPr>
                <w:rFonts w:hint="eastAsia" w:ascii="宋体" w:hAnsi="宋体" w:eastAsia="宋体" w:cs="宋体"/>
                <w:color w:val="auto"/>
                <w:kern w:val="0"/>
                <w:sz w:val="18"/>
                <w:szCs w:val="18"/>
                <w:lang w:bidi="ar"/>
              </w:rPr>
            </w:pPr>
          </w:p>
        </w:tc>
        <w:tc>
          <w:tcPr>
            <w:tcW w:w="1076" w:type="dxa"/>
            <w:noWrap w:val="0"/>
            <w:vAlign w:val="center"/>
          </w:tcPr>
          <w:p w14:paraId="356061AE">
            <w:pPr>
              <w:widowControl/>
              <w:jc w:val="center"/>
              <w:textAlignment w:val="center"/>
              <w:rPr>
                <w:rFonts w:hint="eastAsia" w:ascii="宋体" w:hAnsi="宋体" w:eastAsia="宋体" w:cs="宋体"/>
                <w:color w:val="auto"/>
                <w:kern w:val="0"/>
                <w:sz w:val="18"/>
                <w:szCs w:val="18"/>
                <w:lang w:bidi="ar"/>
              </w:rPr>
            </w:pPr>
          </w:p>
        </w:tc>
        <w:tc>
          <w:tcPr>
            <w:tcW w:w="1320" w:type="dxa"/>
            <w:noWrap w:val="0"/>
            <w:vAlign w:val="center"/>
          </w:tcPr>
          <w:p w14:paraId="1C1F899E">
            <w:pPr>
              <w:widowControl/>
              <w:jc w:val="center"/>
              <w:textAlignment w:val="center"/>
              <w:rPr>
                <w:rFonts w:hint="eastAsia" w:ascii="宋体" w:hAnsi="宋体" w:eastAsia="宋体" w:cs="宋体"/>
                <w:color w:val="auto"/>
                <w:kern w:val="0"/>
                <w:sz w:val="18"/>
                <w:szCs w:val="18"/>
                <w:lang w:bidi="ar"/>
              </w:rPr>
            </w:pPr>
          </w:p>
        </w:tc>
        <w:tc>
          <w:tcPr>
            <w:tcW w:w="1504" w:type="dxa"/>
            <w:noWrap w:val="0"/>
            <w:vAlign w:val="center"/>
          </w:tcPr>
          <w:p w14:paraId="46EFDB33">
            <w:pPr>
              <w:widowControl/>
              <w:jc w:val="center"/>
              <w:textAlignment w:val="center"/>
              <w:rPr>
                <w:rFonts w:hint="eastAsia" w:ascii="宋体" w:hAnsi="宋体" w:eastAsia="宋体" w:cs="宋体"/>
                <w:color w:val="auto"/>
                <w:kern w:val="0"/>
                <w:sz w:val="18"/>
                <w:szCs w:val="18"/>
                <w:lang w:bidi="ar"/>
              </w:rPr>
            </w:pPr>
          </w:p>
        </w:tc>
      </w:tr>
      <w:tr w14:paraId="167CC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4423" w:type="dxa"/>
            <w:gridSpan w:val="3"/>
            <w:noWrap w:val="0"/>
            <w:vAlign w:val="center"/>
          </w:tcPr>
          <w:p w14:paraId="59B34A7D">
            <w:pPr>
              <w:widowControl/>
              <w:jc w:val="center"/>
              <w:textAlignment w:val="center"/>
              <w:rPr>
                <w:rFonts w:hint="eastAsia" w:ascii="宋体" w:hAnsi="宋体" w:eastAsia="宋体" w:cs="宋体"/>
                <w:color w:val="auto"/>
                <w:kern w:val="0"/>
                <w:sz w:val="18"/>
                <w:szCs w:val="18"/>
                <w:lang w:bidi="ar"/>
              </w:rPr>
            </w:pPr>
            <w:r>
              <w:rPr>
                <w:rFonts w:hint="eastAsia" w:ascii="宋体" w:hAnsi="宋体" w:cs="宋体"/>
                <w:color w:val="auto"/>
                <w:kern w:val="0"/>
                <w:sz w:val="18"/>
                <w:szCs w:val="18"/>
                <w:lang w:eastAsia="zh-CN" w:bidi="ar"/>
              </w:rPr>
              <w:t>合计</w:t>
            </w:r>
            <w:r>
              <w:rPr>
                <w:rFonts w:hint="eastAsia" w:ascii="宋体" w:hAnsi="宋体" w:eastAsia="宋体" w:cs="宋体"/>
                <w:color w:val="auto"/>
                <w:kern w:val="0"/>
                <w:sz w:val="18"/>
                <w:szCs w:val="18"/>
                <w:lang w:bidi="ar"/>
              </w:rPr>
              <w:t>（元）</w:t>
            </w:r>
          </w:p>
        </w:tc>
        <w:tc>
          <w:tcPr>
            <w:tcW w:w="3900" w:type="dxa"/>
            <w:gridSpan w:val="3"/>
            <w:noWrap w:val="0"/>
            <w:vAlign w:val="center"/>
          </w:tcPr>
          <w:p w14:paraId="33DE64FB">
            <w:pPr>
              <w:widowControl/>
              <w:jc w:val="center"/>
              <w:textAlignment w:val="center"/>
              <w:rPr>
                <w:rFonts w:hint="eastAsia" w:ascii="宋体" w:hAnsi="宋体" w:eastAsia="宋体" w:cs="宋体"/>
                <w:color w:val="auto"/>
                <w:kern w:val="0"/>
                <w:sz w:val="18"/>
                <w:szCs w:val="18"/>
                <w:lang w:bidi="ar"/>
              </w:rPr>
            </w:pPr>
          </w:p>
        </w:tc>
      </w:tr>
    </w:tbl>
    <w:p w14:paraId="31EC54D5">
      <w:pPr>
        <w:spacing w:line="400" w:lineRule="exact"/>
        <w:rPr>
          <w:rFonts w:hint="eastAsia" w:ascii="宋体" w:hAnsi="宋体" w:eastAsia="宋体" w:cs="宋体"/>
          <w:color w:val="auto"/>
          <w:lang w:eastAsia="zh-CN"/>
        </w:rPr>
      </w:pPr>
    </w:p>
    <w:p w14:paraId="5D2E265D">
      <w:pPr>
        <w:spacing w:line="400" w:lineRule="exact"/>
        <w:ind w:firstLine="420" w:firstLineChars="200"/>
        <w:rPr>
          <w:rFonts w:hint="eastAsia" w:ascii="宋体" w:hAnsi="宋体" w:eastAsia="宋体" w:cs="宋体"/>
          <w:color w:val="auto"/>
          <w:kern w:val="0"/>
          <w:szCs w:val="21"/>
        </w:rPr>
      </w:pPr>
      <w:r>
        <w:rPr>
          <w:rFonts w:hint="eastAsia" w:ascii="宋体" w:hAnsi="宋体" w:eastAsia="宋体" w:cs="宋体"/>
          <w:color w:val="auto"/>
        </w:rPr>
        <w:t>如果</w:t>
      </w:r>
      <w:r>
        <w:rPr>
          <w:rFonts w:hint="eastAsia" w:ascii="宋体" w:hAnsi="宋体" w:eastAsia="宋体" w:cs="宋体"/>
          <w:color w:val="auto"/>
          <w:lang w:eastAsia="zh-CN"/>
        </w:rPr>
        <w:t>投标单位</w:t>
      </w:r>
      <w:r>
        <w:rPr>
          <w:rFonts w:hint="eastAsia" w:ascii="宋体" w:hAnsi="宋体" w:eastAsia="宋体" w:cs="宋体"/>
          <w:color w:val="auto"/>
        </w:rPr>
        <w:t>所投内容</w:t>
      </w:r>
      <w:r>
        <w:rPr>
          <w:rFonts w:hint="eastAsia" w:ascii="宋体" w:hAnsi="宋体" w:cs="宋体"/>
          <w:color w:val="auto"/>
          <w:lang w:eastAsia="zh-CN"/>
        </w:rPr>
        <w:t>涉及</w:t>
      </w:r>
      <w:r>
        <w:rPr>
          <w:rFonts w:hint="eastAsia" w:ascii="宋体" w:hAnsi="宋体" w:eastAsia="宋体" w:cs="宋体"/>
          <w:color w:val="auto"/>
          <w:szCs w:val="21"/>
        </w:rPr>
        <w:t>节能、环保产品的</w:t>
      </w:r>
      <w:r>
        <w:rPr>
          <w:rFonts w:hint="eastAsia" w:ascii="宋体" w:hAnsi="宋体" w:eastAsia="宋体" w:cs="宋体"/>
          <w:color w:val="auto"/>
        </w:rPr>
        <w:t>，须按表格列出明细并报出价格，</w:t>
      </w:r>
      <w:r>
        <w:rPr>
          <w:rFonts w:hint="eastAsia" w:ascii="宋体" w:hAnsi="宋体" w:eastAsia="宋体" w:cs="宋体"/>
          <w:b/>
          <w:bCs/>
          <w:color w:val="auto"/>
        </w:rPr>
        <w:t>同时提供下述证明材料</w:t>
      </w:r>
      <w:r>
        <w:rPr>
          <w:rFonts w:hint="eastAsia" w:ascii="宋体" w:hAnsi="宋体" w:eastAsia="宋体" w:cs="宋体"/>
          <w:b/>
          <w:bCs/>
          <w:color w:val="auto"/>
          <w:kern w:val="0"/>
          <w:szCs w:val="21"/>
        </w:rPr>
        <w:t>，如未明确列出金额或无法对应工程量清单内容或证明材料提供不全，均不给予价格加分。</w:t>
      </w:r>
    </w:p>
    <w:p w14:paraId="7E97ED6E">
      <w:pPr>
        <w:adjustRightInd w:val="0"/>
        <w:spacing w:line="360"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1</w:t>
      </w:r>
      <w:r>
        <w:rPr>
          <w:rFonts w:hint="eastAsia" w:ascii="宋体" w:hAnsi="宋体" w:eastAsia="宋体" w:cs="宋体"/>
          <w:bCs/>
          <w:color w:val="auto"/>
          <w:szCs w:val="21"/>
          <w:lang w:val="en-US" w:eastAsia="zh-CN"/>
        </w:rPr>
        <w:t>.</w:t>
      </w:r>
      <w:r>
        <w:rPr>
          <w:rFonts w:hint="eastAsia" w:ascii="宋体" w:hAnsi="宋体" w:eastAsia="宋体" w:cs="宋体"/>
          <w:bCs/>
          <w:color w:val="auto"/>
          <w:szCs w:val="21"/>
          <w:lang w:eastAsia="zh-CN"/>
        </w:rPr>
        <w:t>投标单位</w:t>
      </w:r>
      <w:r>
        <w:rPr>
          <w:rFonts w:hint="eastAsia" w:ascii="宋体" w:hAnsi="宋体" w:eastAsia="宋体" w:cs="宋体"/>
          <w:bCs/>
          <w:color w:val="auto"/>
          <w:szCs w:val="21"/>
        </w:rPr>
        <w:t>应提供国家确定的认证机构出具的、处于有效期之内的节能产品、环境标志产品认证证书。</w:t>
      </w:r>
    </w:p>
    <w:p w14:paraId="10AE54DB">
      <w:pPr>
        <w:keepNext w:val="0"/>
        <w:keepLines w:val="0"/>
        <w:pageBreakBefore w:val="0"/>
        <w:widowControl w:val="0"/>
        <w:kinsoku/>
        <w:wordWrap w:val="0"/>
        <w:overflowPunct/>
        <w:topLinePunct w:val="0"/>
        <w:autoSpaceDE/>
        <w:autoSpaceDN/>
        <w:bidi w:val="0"/>
        <w:adjustRightInd w:val="0"/>
        <w:snapToGrid/>
        <w:spacing w:line="360" w:lineRule="auto"/>
        <w:ind w:firstLine="420" w:firstLineChars="200"/>
        <w:jc w:val="left"/>
        <w:textAlignment w:val="auto"/>
        <w:rPr>
          <w:rFonts w:hint="eastAsia" w:ascii="宋体" w:hAnsi="宋体" w:eastAsia="宋体" w:cs="宋体"/>
          <w:bCs/>
          <w:color w:val="auto"/>
          <w:szCs w:val="21"/>
        </w:rPr>
      </w:pPr>
      <w:r>
        <w:rPr>
          <w:rFonts w:hint="eastAsia" w:ascii="宋体" w:hAnsi="宋体" w:eastAsia="宋体" w:cs="宋体"/>
          <w:bCs/>
          <w:color w:val="auto"/>
          <w:szCs w:val="21"/>
        </w:rPr>
        <w:t>2</w:t>
      </w:r>
      <w:r>
        <w:rPr>
          <w:rFonts w:hint="eastAsia" w:ascii="宋体" w:hAnsi="宋体" w:eastAsia="宋体" w:cs="宋体"/>
          <w:bCs/>
          <w:color w:val="auto"/>
          <w:szCs w:val="21"/>
          <w:lang w:val="en-US" w:eastAsia="zh-CN"/>
        </w:rPr>
        <w:t>.</w:t>
      </w:r>
      <w:r>
        <w:rPr>
          <w:rFonts w:hint="eastAsia" w:ascii="宋体" w:hAnsi="宋体" w:eastAsia="宋体" w:cs="宋体"/>
          <w:bCs/>
          <w:color w:val="auto"/>
          <w:szCs w:val="21"/>
          <w:lang w:eastAsia="zh-CN"/>
        </w:rPr>
        <w:t>投标单位</w:t>
      </w:r>
      <w:r>
        <w:rPr>
          <w:rFonts w:hint="eastAsia" w:ascii="宋体" w:hAnsi="宋体" w:eastAsia="宋体" w:cs="宋体"/>
          <w:bCs/>
          <w:color w:val="auto"/>
          <w:szCs w:val="21"/>
        </w:rPr>
        <w:t>应同时提供品目清单网络截图（如：节能产品认证查询列表https://cx.cnca.cn/CertECloud/energysaving/skipEnergysavingList?type=01&amp;currentPosition=%E8%8A%82%E8%83%BD%E4%BA%A7%E5%93%81%E6%B8%85%E5%8D%95；环境标志产品认证查询列表 https://cx.cnca.cn/CertECloud/energysaving/skipEnergysavingList?type=02&amp;currentPosition=%E7%8E%AF%E5%A2%83%E6%A0%87%E5%BF%97%E4%BA%A7%E5%93%81%E6%B8%85%E5%8D%95），并以明确标注所报产品信息和位置的方式；</w:t>
      </w:r>
    </w:p>
    <w:p w14:paraId="11387E9E">
      <w:pPr>
        <w:adjustRightInd w:val="0"/>
        <w:spacing w:line="360"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3</w:t>
      </w:r>
      <w:r>
        <w:rPr>
          <w:rFonts w:hint="eastAsia" w:ascii="宋体" w:hAnsi="宋体" w:eastAsia="宋体" w:cs="宋体"/>
          <w:bCs/>
          <w:color w:val="auto"/>
          <w:szCs w:val="21"/>
          <w:lang w:val="en-US" w:eastAsia="zh-CN"/>
        </w:rPr>
        <w:t>.</w:t>
      </w:r>
      <w:r>
        <w:rPr>
          <w:rFonts w:hint="eastAsia" w:ascii="宋体" w:hAnsi="宋体" w:eastAsia="宋体" w:cs="宋体"/>
          <w:bCs/>
          <w:color w:val="auto"/>
          <w:szCs w:val="21"/>
        </w:rPr>
        <w:t>认证机构和获证产品信息发布媒体：详见中国政府采购网（www.ccgp.gov.cn）建立的与认证结果信息发布平台的链接。</w:t>
      </w:r>
    </w:p>
    <w:p w14:paraId="603E6652">
      <w:pPr>
        <w:adjustRightInd w:val="0"/>
        <w:spacing w:line="360" w:lineRule="auto"/>
        <w:ind w:firstLine="420" w:firstLineChars="200"/>
        <w:rPr>
          <w:rFonts w:hint="eastAsia" w:ascii="宋体" w:hAnsi="宋体" w:eastAsia="宋体" w:cs="宋体"/>
          <w:bCs/>
          <w:color w:val="auto"/>
          <w:szCs w:val="21"/>
        </w:rPr>
      </w:pPr>
      <w:r>
        <w:rPr>
          <w:rFonts w:hint="eastAsia" w:ascii="宋体" w:hAnsi="宋体" w:eastAsia="宋体" w:cs="宋体"/>
          <w:color w:val="auto"/>
          <w:szCs w:val="21"/>
        </w:rPr>
        <w:t>4</w:t>
      </w:r>
      <w:r>
        <w:rPr>
          <w:rFonts w:hint="eastAsia" w:ascii="宋体" w:hAnsi="宋体" w:eastAsia="宋体" w:cs="宋体"/>
          <w:color w:val="auto"/>
          <w:szCs w:val="21"/>
          <w:lang w:val="en-US" w:eastAsia="zh-CN"/>
        </w:rPr>
        <w:t>.</w:t>
      </w:r>
      <w:r>
        <w:rPr>
          <w:rFonts w:hint="eastAsia" w:ascii="宋体" w:hAnsi="宋体" w:eastAsia="宋体" w:cs="宋体"/>
          <w:color w:val="auto"/>
          <w:szCs w:val="21"/>
          <w:lang w:eastAsia="zh-CN"/>
        </w:rPr>
        <w:t>招标人</w:t>
      </w:r>
      <w:r>
        <w:rPr>
          <w:rFonts w:hint="eastAsia" w:ascii="宋体" w:hAnsi="宋体" w:eastAsia="宋体" w:cs="宋体"/>
          <w:color w:val="auto"/>
          <w:szCs w:val="21"/>
        </w:rPr>
        <w:t>或代理机构可以根据此表查询</w:t>
      </w:r>
      <w:r>
        <w:rPr>
          <w:rFonts w:hint="eastAsia" w:ascii="宋体" w:hAnsi="宋体" w:eastAsia="宋体" w:cs="宋体"/>
          <w:color w:val="auto"/>
          <w:szCs w:val="21"/>
          <w:lang w:eastAsia="zh-CN"/>
        </w:rPr>
        <w:t>投标单位</w:t>
      </w:r>
      <w:r>
        <w:rPr>
          <w:rFonts w:hint="eastAsia" w:ascii="宋体" w:hAnsi="宋体" w:eastAsia="宋体" w:cs="宋体"/>
          <w:color w:val="auto"/>
          <w:szCs w:val="21"/>
        </w:rPr>
        <w:t>承诺事项，</w:t>
      </w:r>
      <w:r>
        <w:rPr>
          <w:rFonts w:hint="eastAsia" w:ascii="宋体" w:hAnsi="宋体" w:eastAsia="宋体" w:cs="宋体"/>
          <w:color w:val="auto"/>
          <w:szCs w:val="21"/>
          <w:lang w:eastAsia="zh-CN"/>
        </w:rPr>
        <w:t>投标单位</w:t>
      </w:r>
      <w:r>
        <w:rPr>
          <w:rFonts w:hint="eastAsia" w:ascii="宋体" w:hAnsi="宋体" w:eastAsia="宋体" w:cs="宋体"/>
          <w:color w:val="auto"/>
          <w:szCs w:val="21"/>
        </w:rPr>
        <w:t>的承诺和查询结果不一致的，以查询结果为准。</w:t>
      </w:r>
    </w:p>
    <w:p w14:paraId="6D08695F">
      <w:pPr>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lang w:eastAsia="zh-CN"/>
        </w:rPr>
        <w:t>投标单位</w:t>
      </w:r>
      <w:r>
        <w:rPr>
          <w:rFonts w:hint="eastAsia" w:ascii="宋体" w:hAnsi="宋体" w:eastAsia="宋体" w:cs="宋体"/>
          <w:b/>
          <w:color w:val="auto"/>
          <w:szCs w:val="21"/>
        </w:rPr>
        <w:t>承诺：以上产品信息真实有效，是经国家确定的认证机构出具的、处于有效期之内的节能、环境标志产品。</w:t>
      </w:r>
    </w:p>
    <w:p w14:paraId="3D982947">
      <w:pPr>
        <w:spacing w:line="440" w:lineRule="exact"/>
        <w:ind w:firstLine="3990" w:firstLineChars="1900"/>
        <w:rPr>
          <w:rFonts w:hint="eastAsia" w:ascii="宋体" w:hAnsi="宋体"/>
          <w:color w:val="auto"/>
          <w:szCs w:val="21"/>
        </w:rPr>
      </w:pPr>
      <w:r>
        <w:rPr>
          <w:rFonts w:hint="eastAsia" w:ascii="宋体" w:hAnsi="宋体"/>
          <w:color w:val="auto"/>
          <w:szCs w:val="21"/>
        </w:rPr>
        <w:t>投标人：</w:t>
      </w:r>
      <w:r>
        <w:rPr>
          <w:rFonts w:hint="eastAsia" w:ascii="宋体" w:hAnsi="宋体"/>
          <w:color w:val="auto"/>
          <w:szCs w:val="21"/>
          <w:u w:val="single"/>
        </w:rPr>
        <w:t xml:space="preserve">                      </w:t>
      </w:r>
      <w:r>
        <w:rPr>
          <w:rFonts w:hint="eastAsia" w:ascii="宋体" w:hAnsi="宋体"/>
          <w:color w:val="auto"/>
          <w:szCs w:val="21"/>
        </w:rPr>
        <w:t>（盖单位章）</w:t>
      </w:r>
    </w:p>
    <w:p w14:paraId="6D778C94">
      <w:pPr>
        <w:spacing w:line="440" w:lineRule="exact"/>
        <w:ind w:firstLine="2730" w:firstLineChars="1300"/>
        <w:rPr>
          <w:rFonts w:hint="eastAsia" w:ascii="宋体" w:hAnsi="宋体"/>
          <w:color w:val="auto"/>
          <w:szCs w:val="21"/>
        </w:rPr>
      </w:pPr>
      <w:r>
        <w:rPr>
          <w:rFonts w:hint="eastAsia" w:ascii="宋体" w:hAnsi="宋体"/>
          <w:color w:val="auto"/>
          <w:szCs w:val="21"/>
        </w:rPr>
        <w:t>法定代表人或授权委托人：</w:t>
      </w:r>
      <w:r>
        <w:rPr>
          <w:rFonts w:hint="eastAsia" w:ascii="宋体" w:hAnsi="宋体"/>
          <w:color w:val="auto"/>
          <w:szCs w:val="21"/>
          <w:u w:val="single"/>
        </w:rPr>
        <w:t xml:space="preserve">                      </w:t>
      </w:r>
      <w:r>
        <w:rPr>
          <w:rFonts w:hint="eastAsia" w:ascii="宋体" w:hAnsi="宋体"/>
          <w:color w:val="auto"/>
          <w:szCs w:val="21"/>
        </w:rPr>
        <w:t>（签章）</w:t>
      </w:r>
    </w:p>
    <w:p w14:paraId="55DB8DBB">
      <w:pPr>
        <w:spacing w:line="480" w:lineRule="auto"/>
        <w:rPr>
          <w:rStyle w:val="20"/>
          <w:rFonts w:hint="eastAsia" w:ascii="黑体" w:hAnsi="黑体" w:eastAsia="黑体" w:cs="黑体"/>
          <w:b/>
          <w:color w:val="auto"/>
          <w:sz w:val="32"/>
          <w:lang w:eastAsia="zh-CN"/>
        </w:rPr>
      </w:pPr>
      <w:r>
        <w:rPr>
          <w:rStyle w:val="20"/>
          <w:rFonts w:hint="eastAsia" w:ascii="黑体" w:hAnsi="黑体" w:eastAsia="黑体" w:cs="黑体"/>
          <w:b/>
          <w:color w:val="auto"/>
          <w:sz w:val="32"/>
          <w:lang w:eastAsia="zh-CN"/>
        </w:rPr>
        <w:br w:type="page"/>
      </w:r>
    </w:p>
    <w:p w14:paraId="02A14955">
      <w:pPr>
        <w:pStyle w:val="47"/>
        <w:jc w:val="left"/>
        <w:outlineLvl w:val="9"/>
        <w:rPr>
          <w:rStyle w:val="20"/>
          <w:rFonts w:hint="eastAsia" w:ascii="黑体" w:hAnsi="黑体" w:eastAsia="黑体" w:cs="黑体"/>
          <w:b/>
          <w:color w:val="auto"/>
          <w:sz w:val="32"/>
          <w:lang w:eastAsia="zh-CN"/>
        </w:rPr>
      </w:pPr>
    </w:p>
    <w:p w14:paraId="12AE1329">
      <w:pPr>
        <w:pStyle w:val="47"/>
        <w:jc w:val="left"/>
        <w:outlineLvl w:val="1"/>
        <w:rPr>
          <w:rStyle w:val="20"/>
          <w:rFonts w:hint="eastAsia" w:ascii="黑体" w:hAnsi="黑体" w:eastAsia="黑体" w:cs="黑体"/>
          <w:b/>
          <w:color w:val="auto"/>
          <w:sz w:val="32"/>
          <w:lang w:eastAsia="zh-CN"/>
        </w:rPr>
      </w:pPr>
      <w:r>
        <w:rPr>
          <w:rStyle w:val="20"/>
          <w:rFonts w:hint="eastAsia" w:ascii="黑体" w:hAnsi="黑体" w:eastAsia="黑体" w:cs="黑体"/>
          <w:b/>
          <w:color w:val="auto"/>
          <w:sz w:val="32"/>
          <w:lang w:eastAsia="zh-CN"/>
        </w:rPr>
        <w:t>（四）投标人认为还需提供的其他材料</w:t>
      </w:r>
      <w:bookmarkEnd w:id="2078"/>
    </w:p>
    <w:sectPr>
      <w:pgSz w:w="11906" w:h="16838"/>
      <w:pgMar w:top="1440" w:right="1797" w:bottom="1440" w:left="179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4770D056-C929-4AC3-968A-5EE13718A8C7}"/>
  </w:font>
  <w:font w:name="黑体">
    <w:panose1 w:val="02010609060101010101"/>
    <w:charset w:val="86"/>
    <w:family w:val="auto"/>
    <w:pitch w:val="default"/>
    <w:sig w:usb0="800002BF" w:usb1="38CF7CFA" w:usb2="00000016" w:usb3="00000000" w:csb0="00040001" w:csb1="00000000"/>
    <w:embedRegular r:id="rId2" w:fontKey="{6B98BD0C-D5BD-4FC8-8927-E9DB33AFA1E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6078BADE-6492-4A81-A5BF-56760FF8BC8B}"/>
  </w:font>
  <w:font w:name="仿宋_GB2312">
    <w:panose1 w:val="02010609030101010101"/>
    <w:charset w:val="86"/>
    <w:family w:val="modern"/>
    <w:pitch w:val="default"/>
    <w:sig w:usb0="00000001" w:usb1="080E0000" w:usb2="00000000" w:usb3="00000000" w:csb0="00040000" w:csb1="00000000"/>
    <w:embedRegular r:id="rId4" w:fontKey="{5C5A5741-3E4F-4A1C-A5BB-A5007E390FE7}"/>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embedRegular r:id="rId5" w:fontKey="{16943474-C9F3-44BC-81E7-6BABAED26EC5}"/>
  </w:font>
  <w:font w:name="Segoe UI Symbol">
    <w:panose1 w:val="020B0502040204020203"/>
    <w:charset w:val="00"/>
    <w:family w:val="swiss"/>
    <w:pitch w:val="default"/>
    <w:sig w:usb0="8000006F" w:usb1="1200FBEF" w:usb2="0064C000" w:usb3="00000002" w:csb0="00000001" w:csb1="40000000"/>
    <w:embedRegular r:id="rId6" w:fontKey="{4B15A0BC-4BE1-45EB-B0DE-71754FDC0D7C}"/>
  </w:font>
  <w:font w:name="微软雅黑">
    <w:panose1 w:val="020B0503020204020204"/>
    <w:charset w:val="86"/>
    <w:family w:val="swiss"/>
    <w:pitch w:val="default"/>
    <w:sig w:usb0="80000287" w:usb1="280F3C52" w:usb2="00000016" w:usb3="00000000" w:csb0="0004001F" w:csb1="00000000"/>
    <w:embedRegular r:id="rId7" w:fontKey="{6FA05830-41DE-4222-B783-4884FB92AA7E}"/>
  </w:font>
  <w:font w:name="楷体_GB2312">
    <w:panose1 w:val="02010609030101010101"/>
    <w:charset w:val="86"/>
    <w:family w:val="modern"/>
    <w:pitch w:val="default"/>
    <w:sig w:usb0="00000001" w:usb1="080E0000" w:usb2="00000000" w:usb3="00000000" w:csb0="00040000" w:csb1="00000000"/>
    <w:embedRegular r:id="rId8" w:fontKey="{5B013A37-0E5F-47DB-A727-9D56B895E743}"/>
  </w:font>
  <w:font w:name="WPSEMBED1">
    <w:panose1 w:val="02010600040101010101"/>
    <w:charset w:val="86"/>
    <w:family w:val="auto"/>
    <w:pitch w:val="default"/>
    <w:sig w:usb0="00000287" w:usb1="080F0000" w:usb2="00000000" w:usb3="00000000" w:csb0="0004009F" w:csb1="DFD70000"/>
  </w:font>
  <w:font w:name="WPSEMBED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8CDDE">
    <w:pPr>
      <w:pStyle w:val="13"/>
      <w:jc w:val="center"/>
      <w:rPr>
        <w:rFonts w:hint="eastAsia"/>
        <w:sz w:val="21"/>
        <w:szCs w:val="21"/>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78D67">
    <w:pPr>
      <w:pStyle w:val="13"/>
      <w:framePr w:wrap="around" w:vAnchor="text" w:hAnchor="margin" w:xAlign="center" w:y="1"/>
      <w:rPr>
        <w:rStyle w:val="22"/>
        <w:rFonts w:ascii="仿宋_GB2312" w:eastAsia="仿宋_GB2312"/>
        <w:sz w:val="21"/>
        <w:szCs w:val="21"/>
      </w:rPr>
    </w:pPr>
    <w:r>
      <w:rPr>
        <w:rStyle w:val="22"/>
        <w:rFonts w:hint="eastAsia" w:ascii="仿宋_GB2312" w:eastAsia="仿宋_GB2312"/>
        <w:sz w:val="21"/>
        <w:szCs w:val="21"/>
      </w:rPr>
      <w:fldChar w:fldCharType="begin"/>
    </w:r>
    <w:r>
      <w:rPr>
        <w:rStyle w:val="22"/>
        <w:rFonts w:hint="eastAsia" w:ascii="仿宋_GB2312" w:eastAsia="仿宋_GB2312"/>
        <w:sz w:val="21"/>
        <w:szCs w:val="21"/>
      </w:rPr>
      <w:instrText xml:space="preserve">PAGE  </w:instrText>
    </w:r>
    <w:r>
      <w:rPr>
        <w:rStyle w:val="22"/>
        <w:rFonts w:hint="eastAsia" w:ascii="仿宋_GB2312" w:eastAsia="仿宋_GB2312"/>
        <w:sz w:val="21"/>
        <w:szCs w:val="21"/>
      </w:rPr>
      <w:fldChar w:fldCharType="separate"/>
    </w:r>
    <w:r>
      <w:rPr>
        <w:rStyle w:val="22"/>
        <w:rFonts w:hint="eastAsia" w:ascii="仿宋_GB2312" w:eastAsia="仿宋_GB2312"/>
        <w:sz w:val="21"/>
        <w:szCs w:val="21"/>
      </w:rPr>
      <w:t>85</w:t>
    </w:r>
    <w:r>
      <w:rPr>
        <w:rStyle w:val="22"/>
        <w:rFonts w:hint="eastAsia" w:ascii="仿宋_GB2312" w:eastAsia="仿宋_GB2312"/>
        <w:sz w:val="21"/>
        <w:szCs w:val="21"/>
      </w:rPr>
      <w:fldChar w:fldCharType="end"/>
    </w:r>
  </w:p>
  <w:p w14:paraId="7D767E1F">
    <w:pPr>
      <w:pStyle w:val="13"/>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172D3">
    <w:pPr>
      <w:pStyle w:val="13"/>
      <w:framePr w:wrap="around" w:vAnchor="text" w:hAnchor="margin" w:xAlign="center" w:y="1"/>
      <w:rPr>
        <w:rStyle w:val="22"/>
      </w:rPr>
    </w:pPr>
    <w:r>
      <w:rPr>
        <w:rStyle w:val="22"/>
      </w:rPr>
      <w:fldChar w:fldCharType="begin"/>
    </w:r>
    <w:r>
      <w:rPr>
        <w:rStyle w:val="22"/>
      </w:rPr>
      <w:instrText xml:space="preserve">PAGE  </w:instrText>
    </w:r>
    <w:r>
      <w:rPr>
        <w:rStyle w:val="22"/>
      </w:rPr>
      <w:fldChar w:fldCharType="separate"/>
    </w:r>
    <w:r>
      <w:rPr>
        <w:rStyle w:val="22"/>
      </w:rPr>
      <w:fldChar w:fldCharType="end"/>
    </w:r>
  </w:p>
  <w:p w14:paraId="61CEDC5E">
    <w:pPr>
      <w:pStyle w:val="13"/>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E2ED5">
    <w:pPr>
      <w:pStyle w:val="13"/>
      <w:framePr w:wrap="around" w:vAnchor="text" w:hAnchor="margin" w:xAlign="center" w:y="1"/>
      <w:rPr>
        <w:rStyle w:val="22"/>
        <w:rFonts w:ascii="仿宋_GB2312" w:eastAsia="仿宋_GB2312"/>
        <w:sz w:val="21"/>
        <w:szCs w:val="21"/>
      </w:rPr>
    </w:pPr>
    <w:r>
      <w:rPr>
        <w:rStyle w:val="22"/>
        <w:rFonts w:hint="eastAsia" w:ascii="仿宋_GB2312" w:eastAsia="仿宋_GB2312"/>
        <w:sz w:val="21"/>
        <w:szCs w:val="21"/>
      </w:rPr>
      <w:fldChar w:fldCharType="begin"/>
    </w:r>
    <w:r>
      <w:rPr>
        <w:rStyle w:val="22"/>
        <w:rFonts w:hint="eastAsia" w:ascii="仿宋_GB2312" w:eastAsia="仿宋_GB2312"/>
        <w:sz w:val="21"/>
        <w:szCs w:val="21"/>
      </w:rPr>
      <w:instrText xml:space="preserve">PAGE  </w:instrText>
    </w:r>
    <w:r>
      <w:rPr>
        <w:rStyle w:val="22"/>
        <w:rFonts w:hint="eastAsia" w:ascii="仿宋_GB2312" w:eastAsia="仿宋_GB2312"/>
        <w:sz w:val="21"/>
        <w:szCs w:val="21"/>
      </w:rPr>
      <w:fldChar w:fldCharType="separate"/>
    </w:r>
    <w:r>
      <w:rPr>
        <w:rStyle w:val="22"/>
        <w:rFonts w:hint="eastAsia" w:ascii="仿宋_GB2312" w:eastAsia="仿宋_GB2312"/>
        <w:sz w:val="21"/>
        <w:szCs w:val="21"/>
      </w:rPr>
      <w:t>87</w:t>
    </w:r>
    <w:r>
      <w:rPr>
        <w:rStyle w:val="22"/>
        <w:rFonts w:hint="eastAsia" w:ascii="仿宋_GB2312" w:eastAsia="仿宋_GB2312"/>
        <w:sz w:val="21"/>
        <w:szCs w:val="21"/>
      </w:rPr>
      <w:fldChar w:fldCharType="end"/>
    </w:r>
  </w:p>
  <w:p w14:paraId="1DCA42C1">
    <w:pPr>
      <w:pStyle w:val="13"/>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D449F">
    <w:pPr>
      <w:pStyle w:val="13"/>
      <w:jc w:val="center"/>
      <w:rPr>
        <w:rFonts w:ascii="Times New Roman" w:eastAsia="仿宋_GB2312"/>
        <w:sz w:val="24"/>
      </w:rPr>
    </w:pPr>
    <w:r>
      <w:rPr>
        <w:rFonts w:ascii="Times New Roman" w:eastAsia="仿宋_GB2312"/>
        <w:sz w:val="24"/>
      </w:rPr>
      <w:fldChar w:fldCharType="begin"/>
    </w:r>
    <w:r>
      <w:rPr>
        <w:rFonts w:ascii="Times New Roman" w:eastAsia="仿宋_GB2312"/>
        <w:sz w:val="24"/>
      </w:rPr>
      <w:instrText xml:space="preserve"> PAGE  \* MERGEFORMAT </w:instrText>
    </w:r>
    <w:r>
      <w:rPr>
        <w:rFonts w:ascii="Times New Roman" w:eastAsia="仿宋_GB2312"/>
        <w:sz w:val="24"/>
      </w:rPr>
      <w:fldChar w:fldCharType="separate"/>
    </w:r>
    <w:r>
      <w:t>2</w:t>
    </w:r>
    <w:r>
      <w:rPr>
        <w:rFonts w:ascii="Times New Roman" w:eastAsia="仿宋_GB2312"/>
        <w:sz w:val="24"/>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3A720">
    <w:pPr>
      <w:jc w:val="center"/>
      <w:rPr>
        <w:rFonts w:hint="eastAsia"/>
      </w:rPr>
    </w:pPr>
    <w:r>
      <w:rPr>
        <w:rFonts w:hint="eastAsia"/>
      </w:rPr>
      <w:fldChar w:fldCharType="begin"/>
    </w:r>
    <w:r>
      <w:rPr>
        <w:rFonts w:hint="eastAsia"/>
      </w:rPr>
      <w:instrText xml:space="preserve"> PAGE  \* MERGEFORMAT </w:instrText>
    </w:r>
    <w:r>
      <w:rPr>
        <w:rFonts w:hint="eastAsia"/>
      </w:rPr>
      <w:fldChar w:fldCharType="separate"/>
    </w:r>
    <w:r>
      <w:t>161</w:t>
    </w:r>
    <w:r>
      <w:rPr>
        <w:rFonts w:hint="eastAsia"/>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8A03B">
    <w:pPr>
      <w:pStyle w:val="13"/>
      <w:framePr w:wrap="around" w:vAnchor="text" w:hAnchor="margin" w:xAlign="center" w:y="1"/>
      <w:rPr>
        <w:rStyle w:val="22"/>
        <w:rFonts w:ascii="仿宋_GB2312" w:eastAsia="仿宋_GB2312"/>
      </w:rPr>
    </w:pPr>
    <w:r>
      <w:rPr>
        <w:rStyle w:val="22"/>
        <w:rFonts w:hint="eastAsia" w:ascii="仿宋_GB2312" w:eastAsia="仿宋_GB2312"/>
      </w:rPr>
      <w:fldChar w:fldCharType="begin"/>
    </w:r>
    <w:r>
      <w:rPr>
        <w:rStyle w:val="22"/>
        <w:rFonts w:hint="eastAsia" w:ascii="仿宋_GB2312" w:eastAsia="仿宋_GB2312"/>
      </w:rPr>
      <w:instrText xml:space="preserve">PAGE  </w:instrText>
    </w:r>
    <w:r>
      <w:rPr>
        <w:rStyle w:val="22"/>
        <w:rFonts w:hint="eastAsia" w:ascii="仿宋_GB2312" w:eastAsia="仿宋_GB2312"/>
      </w:rPr>
      <w:fldChar w:fldCharType="separate"/>
    </w:r>
    <w:r>
      <w:rPr>
        <w:rStyle w:val="22"/>
        <w:rFonts w:hint="eastAsia" w:ascii="仿宋_GB2312" w:eastAsia="仿宋_GB2312"/>
      </w:rPr>
      <w:t>185</w:t>
    </w:r>
    <w:r>
      <w:rPr>
        <w:rStyle w:val="22"/>
        <w:rFonts w:hint="eastAsia" w:ascii="仿宋_GB2312" w:eastAsia="仿宋_GB2312"/>
      </w:rPr>
      <w:fldChar w:fldCharType="end"/>
    </w:r>
  </w:p>
  <w:p w14:paraId="0DEB5D19">
    <w:pPr>
      <w:pStyle w:val="13"/>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CDCF5">
    <w:pPr>
      <w:pStyle w:val="13"/>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7308256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1BF6FC">
                          <w:pPr>
                            <w:pStyle w:val="13"/>
                          </w:pPr>
                          <w:r>
                            <w:fldChar w:fldCharType="begin"/>
                          </w:r>
                          <w:r>
                            <w:instrText xml:space="preserve"> PAGE  \* MERGEFORMAT </w:instrText>
                          </w:r>
                          <w:r>
                            <w:fldChar w:fldCharType="separate"/>
                          </w:r>
                          <w:r>
                            <w:t>190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q/gUzAgAAXQQAAA4AAAAAAAAAAQAgAAAAHwEAAGRycy9lMm9Eb2MueG1sUEsF&#10;BgAAAAAGAAYAWQEAAMQFAAAAAA==&#10;">
              <v:fill on="f" focussize="0,0"/>
              <v:stroke on="f" weight="0.5pt"/>
              <v:imagedata o:title=""/>
              <o:lock v:ext="edit" aspectratio="f"/>
              <v:textbox inset="0mm,0mm,0mm,0mm" style="mso-fit-shape-to-text:t;">
                <w:txbxContent>
                  <w:p w14:paraId="711BF6FC">
                    <w:pPr>
                      <w:pStyle w:val="13"/>
                    </w:pPr>
                    <w:r>
                      <w:fldChar w:fldCharType="begin"/>
                    </w:r>
                    <w:r>
                      <w:instrText xml:space="preserve"> PAGE  \* MERGEFORMAT </w:instrText>
                    </w:r>
                    <w:r>
                      <w:fldChar w:fldCharType="separate"/>
                    </w:r>
                    <w:r>
                      <w:t>190</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A0713">
    <w:pPr>
      <w:pStyle w:val="13"/>
      <w:ind w:firstLine="360"/>
      <w:jc w:val="center"/>
    </w:pPr>
    <w:r>
      <w:fldChar w:fldCharType="begin"/>
    </w:r>
    <w:r>
      <w:instrText xml:space="preserve">PAGE   \* MERGEFORMAT</w:instrText>
    </w:r>
    <w:r>
      <w:fldChar w:fldCharType="separate"/>
    </w:r>
    <w:r>
      <w:rPr>
        <w:lang w:val="zh-CN"/>
      </w:rPr>
      <w:t>134</w:t>
    </w:r>
    <w: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27DF5">
    <w:pPr>
      <w:pStyle w:val="13"/>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4883539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AA7C40">
                          <w:pPr>
                            <w:pStyle w:val="13"/>
                          </w:pPr>
                          <w:r>
                            <w:fldChar w:fldCharType="begin"/>
                          </w:r>
                          <w:r>
                            <w:instrText xml:space="preserve"> PAGE  \* MERGEFORMAT </w:instrText>
                          </w:r>
                          <w:r>
                            <w:fldChar w:fldCharType="separate"/>
                          </w:r>
                          <w:r>
                            <w:t>137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rVfL0zAgAAXQQAAA4AAAAAAAAAAQAgAAAAHwEAAGRycy9lMm9Eb2MueG1sUEsF&#10;BgAAAAAGAAYAWQEAAMQFAAAAAA==&#10;">
              <v:fill on="f" focussize="0,0"/>
              <v:stroke on="f" weight="0.5pt"/>
              <v:imagedata o:title=""/>
              <o:lock v:ext="edit" aspectratio="f"/>
              <v:textbox inset="0mm,0mm,0mm,0mm" style="mso-fit-shape-to-text:t;">
                <w:txbxContent>
                  <w:p w14:paraId="6CAA7C40">
                    <w:pPr>
                      <w:pStyle w:val="13"/>
                    </w:pPr>
                    <w:r>
                      <w:fldChar w:fldCharType="begin"/>
                    </w:r>
                    <w:r>
                      <w:instrText xml:space="preserve"> PAGE  \* MERGEFORMAT </w:instrText>
                    </w:r>
                    <w:r>
                      <w:fldChar w:fldCharType="separate"/>
                    </w:r>
                    <w:r>
                      <w:t>137</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CB03A">
    <w:pPr>
      <w:pStyle w:val="13"/>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1131674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F846B1">
                          <w:pPr>
                            <w:pStyle w:val="13"/>
                            <w:rPr>
                              <w:rFonts w:hint="default"/>
                            </w:rPr>
                          </w:pPr>
                          <w:r>
                            <w:fldChar w:fldCharType="begin"/>
                          </w:r>
                          <w:r>
                            <w:instrText xml:space="preserve"> PAGE  \* MERGEFORMAT </w:instrText>
                          </w:r>
                          <w:r>
                            <w:fldChar w:fldCharType="separate"/>
                          </w:r>
                          <w:r>
                            <w:t>138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qPbOUzAgAAXgQAAA4AAAAAAAAAAQAgAAAAHwEAAGRycy9lMm9Eb2MueG1sUEsF&#10;BgAAAAAGAAYAWQEAAMQFAAAAAA==&#10;">
              <v:fill on="f" focussize="0,0"/>
              <v:stroke on="f" weight="0.5pt"/>
              <v:imagedata o:title=""/>
              <o:lock v:ext="edit" aspectratio="f"/>
              <v:textbox inset="0mm,0mm,0mm,0mm" style="mso-fit-shape-to-text:t;">
                <w:txbxContent>
                  <w:p w14:paraId="6BF846B1">
                    <w:pPr>
                      <w:pStyle w:val="13"/>
                      <w:rPr>
                        <w:rFonts w:hint="default"/>
                      </w:rPr>
                    </w:pPr>
                    <w:r>
                      <w:fldChar w:fldCharType="begin"/>
                    </w:r>
                    <w:r>
                      <w:instrText xml:space="preserve"> PAGE  \* MERGEFORMAT </w:instrText>
                    </w:r>
                    <w:r>
                      <w:fldChar w:fldCharType="separate"/>
                    </w:r>
                    <w:r>
                      <w:t>138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A4AE0">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CCB882">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BCCB882">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1777C">
    <w:pPr>
      <w:pStyle w:val="13"/>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7368997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C21DC0">
                          <w:pPr>
                            <w:pStyle w:val="13"/>
                            <w:rPr>
                              <w:rFonts w:hint="default"/>
                            </w:rPr>
                          </w:pPr>
                          <w:r>
                            <w:fldChar w:fldCharType="begin"/>
                          </w:r>
                          <w:r>
                            <w:instrText xml:space="preserve"> PAGE  \* MERGEFORMAT </w:instrText>
                          </w:r>
                          <w:r>
                            <w:fldChar w:fldCharType="separate"/>
                          </w:r>
                          <w:r>
                            <w:t>139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dtqX4zAgAAXAQAAA4AAAAAAAAAAQAgAAAAHwEAAGRycy9lMm9Eb2MueG1sUEsF&#10;BgAAAAAGAAYAWQEAAMQFAAAAAA==&#10;">
              <v:fill on="f" focussize="0,0"/>
              <v:stroke on="f" weight="0.5pt"/>
              <v:imagedata o:title=""/>
              <o:lock v:ext="edit" aspectratio="f"/>
              <v:textbox inset="0mm,0mm,0mm,0mm" style="mso-fit-shape-to-text:t;">
                <w:txbxContent>
                  <w:p w14:paraId="14C21DC0">
                    <w:pPr>
                      <w:pStyle w:val="13"/>
                      <w:rPr>
                        <w:rFonts w:hint="default"/>
                      </w:rPr>
                    </w:pPr>
                    <w:r>
                      <w:fldChar w:fldCharType="begin"/>
                    </w:r>
                    <w:r>
                      <w:instrText xml:space="preserve"> PAGE  \* MERGEFORMAT </w:instrText>
                    </w:r>
                    <w:r>
                      <w:fldChar w:fldCharType="separate"/>
                    </w:r>
                    <w:r>
                      <w:t>139</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2BE06">
    <w:pPr>
      <w:pStyle w:val="13"/>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9204032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C695A9">
                          <w:pPr>
                            <w:pStyle w:val="13"/>
                            <w:rPr>
                              <w:rFonts w:hint="default"/>
                            </w:rPr>
                          </w:pPr>
                          <w:r>
                            <w:fldChar w:fldCharType="begin"/>
                          </w:r>
                          <w:r>
                            <w:instrText xml:space="preserve"> PAGE  \* MERGEFORMAT </w:instrText>
                          </w:r>
                          <w:r>
                            <w:fldChar w:fldCharType="separate"/>
                          </w:r>
                          <w:r>
                            <w:t>140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9n4fszAgAAXQQAAA4AAAAAAAAAAQAgAAAAHwEAAGRycy9lMm9Eb2MueG1sUEsF&#10;BgAAAAAGAAYAWQEAAMQFAAAAAA==&#10;">
              <v:fill on="f" focussize="0,0"/>
              <v:stroke on="f" weight="0.5pt"/>
              <v:imagedata o:title=""/>
              <o:lock v:ext="edit" aspectratio="f"/>
              <v:textbox inset="0mm,0mm,0mm,0mm" style="mso-fit-shape-to-text:t;">
                <w:txbxContent>
                  <w:p w14:paraId="6CC695A9">
                    <w:pPr>
                      <w:pStyle w:val="13"/>
                      <w:rPr>
                        <w:rFonts w:hint="default"/>
                      </w:rPr>
                    </w:pPr>
                    <w:r>
                      <w:fldChar w:fldCharType="begin"/>
                    </w:r>
                    <w:r>
                      <w:instrText xml:space="preserve"> PAGE  \* MERGEFORMAT </w:instrText>
                    </w:r>
                    <w:r>
                      <w:fldChar w:fldCharType="separate"/>
                    </w:r>
                    <w:r>
                      <w:t>140</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89D14">
    <w:pPr>
      <w:pStyle w:val="13"/>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91667397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B87C74">
                          <w:pPr>
                            <w:pStyle w:val="13"/>
                            <w:rPr>
                              <w:rFonts w:hint="default"/>
                            </w:rPr>
                          </w:pPr>
                          <w:r>
                            <w:fldChar w:fldCharType="begin"/>
                          </w:r>
                          <w:r>
                            <w:instrText xml:space="preserve"> PAGE  \* MERGEFORMAT </w:instrText>
                          </w:r>
                          <w:r>
                            <w:fldChar w:fldCharType="separate"/>
                          </w:r>
                          <w:r>
                            <w:t>141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WsXVkNAIAAF0EAAAOAAAAAAAAAAEAIAAAAB8BAABkcnMvZTJvRG9jLnhtbFBL&#10;BQYAAAAABgAGAFkBAADFBQAAAAA=&#10;">
              <v:fill on="f" focussize="0,0"/>
              <v:stroke on="f" weight="0.5pt"/>
              <v:imagedata o:title=""/>
              <o:lock v:ext="edit" aspectratio="f"/>
              <v:textbox inset="0mm,0mm,0mm,0mm" style="mso-fit-shape-to-text:t;">
                <w:txbxContent>
                  <w:p w14:paraId="74B87C74">
                    <w:pPr>
                      <w:pStyle w:val="13"/>
                      <w:rPr>
                        <w:rFonts w:hint="default"/>
                      </w:rPr>
                    </w:pPr>
                    <w:r>
                      <w:fldChar w:fldCharType="begin"/>
                    </w:r>
                    <w:r>
                      <w:instrText xml:space="preserve"> PAGE  \* MERGEFORMAT </w:instrText>
                    </w:r>
                    <w:r>
                      <w:fldChar w:fldCharType="separate"/>
                    </w:r>
                    <w:r>
                      <w:t>141</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E46A1">
    <w:pPr>
      <w:pStyle w:val="13"/>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7066215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400BAD">
                          <w:pPr>
                            <w:pStyle w:val="13"/>
                          </w:pPr>
                          <w:r>
                            <w:fldChar w:fldCharType="begin"/>
                          </w:r>
                          <w:r>
                            <w:instrText xml:space="preserve"> PAGE  \* MERGEFORMAT </w:instrText>
                          </w:r>
                          <w:r>
                            <w:fldChar w:fldCharType="separate"/>
                          </w:r>
                          <w:r>
                            <w:t>142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KNPFnTICAABdBAAADgAAAAAAAAABACAAAAAfAQAAZHJzL2Uyb0RvYy54bWxQSwUG&#10;AAAAAAYABgBZAQAAwwUAAAAA&#10;">
              <v:fill on="f" focussize="0,0"/>
              <v:stroke on="f" weight="0.5pt"/>
              <v:imagedata o:title=""/>
              <o:lock v:ext="edit" aspectratio="f"/>
              <v:textbox inset="0mm,0mm,0mm,0mm" style="mso-fit-shape-to-text:t;">
                <w:txbxContent>
                  <w:p w14:paraId="6B400BAD">
                    <w:pPr>
                      <w:pStyle w:val="13"/>
                    </w:pPr>
                    <w:r>
                      <w:fldChar w:fldCharType="begin"/>
                    </w:r>
                    <w:r>
                      <w:instrText xml:space="preserve"> PAGE  \* MERGEFORMAT </w:instrText>
                    </w:r>
                    <w:r>
                      <w:fldChar w:fldCharType="separate"/>
                    </w:r>
                    <w:r>
                      <w:t>142</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92475">
    <w:pPr>
      <w:pStyle w:val="13"/>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7063057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392DD8">
                          <w:pPr>
                            <w:pStyle w:val="13"/>
                            <w:rPr>
                              <w:rFonts w:hint="default"/>
                            </w:rPr>
                          </w:pPr>
                          <w:r>
                            <w:fldChar w:fldCharType="begin"/>
                          </w:r>
                          <w:r>
                            <w:instrText xml:space="preserve"> PAGE  \* MERGEFORMAT </w:instrText>
                          </w:r>
                          <w:r>
                            <w:fldChar w:fldCharType="separate"/>
                          </w:r>
                          <w:r>
                            <w:t>143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q9onNNAIAAF4EAAAOAAAAAAAAAAEAIAAAAB8BAABkcnMvZTJvRG9jLnhtbFBL&#10;BQYAAAAABgAGAFkBAADFBQAAAAA=&#10;">
              <v:fill on="f" focussize="0,0"/>
              <v:stroke on="f" weight="0.5pt"/>
              <v:imagedata o:title=""/>
              <o:lock v:ext="edit" aspectratio="f"/>
              <v:textbox inset="0mm,0mm,0mm,0mm" style="mso-fit-shape-to-text:t;">
                <w:txbxContent>
                  <w:p w14:paraId="6E392DD8">
                    <w:pPr>
                      <w:pStyle w:val="13"/>
                      <w:rPr>
                        <w:rFonts w:hint="default"/>
                      </w:rPr>
                    </w:pPr>
                    <w:r>
                      <w:fldChar w:fldCharType="begin"/>
                    </w:r>
                    <w:r>
                      <w:instrText xml:space="preserve"> PAGE  \* MERGEFORMAT </w:instrText>
                    </w:r>
                    <w:r>
                      <w:fldChar w:fldCharType="separate"/>
                    </w:r>
                    <w:r>
                      <w:t>143</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228E9">
    <w:pPr>
      <w:pStyle w:val="13"/>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30752525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6096C0">
                          <w:pPr>
                            <w:pStyle w:val="13"/>
                            <w:rPr>
                              <w:rFonts w:hint="default"/>
                            </w:rPr>
                          </w:pPr>
                          <w:r>
                            <w:fldChar w:fldCharType="begin"/>
                          </w:r>
                          <w:r>
                            <w:instrText xml:space="preserve"> PAGE  \* MERGEFORMAT </w:instrText>
                          </w:r>
                          <w:r>
                            <w:fldChar w:fldCharType="separate"/>
                          </w:r>
                          <w:r>
                            <w:t>144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DTEhEzAgAAXQQAAA4AAAAAAAAAAQAgAAAAHwEAAGRycy9lMm9Eb2MueG1sUEsF&#10;BgAAAAAGAAYAWQEAAMQFAAAAAA==&#10;">
              <v:fill on="f" focussize="0,0"/>
              <v:stroke on="f" weight="0.5pt"/>
              <v:imagedata o:title=""/>
              <o:lock v:ext="edit" aspectratio="f"/>
              <v:textbox inset="0mm,0mm,0mm,0mm" style="mso-fit-shape-to-text:t;">
                <w:txbxContent>
                  <w:p w14:paraId="406096C0">
                    <w:pPr>
                      <w:pStyle w:val="13"/>
                      <w:rPr>
                        <w:rFonts w:hint="default"/>
                      </w:rPr>
                    </w:pPr>
                    <w:r>
                      <w:fldChar w:fldCharType="begin"/>
                    </w:r>
                    <w:r>
                      <w:instrText xml:space="preserve"> PAGE  \* MERGEFORMAT </w:instrText>
                    </w:r>
                    <w:r>
                      <w:fldChar w:fldCharType="separate"/>
                    </w:r>
                    <w:r>
                      <w:t>144</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61D9B">
    <w:pPr>
      <w:pStyle w:val="13"/>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3672447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84CAE7">
                          <w:pPr>
                            <w:pStyle w:val="13"/>
                            <w:rPr>
                              <w:rFonts w:hint="default"/>
                            </w:rPr>
                          </w:pPr>
                          <w:r>
                            <w:fldChar w:fldCharType="begin"/>
                          </w:r>
                          <w:r>
                            <w:instrText xml:space="preserve"> PAGE  \* MERGEFORMAT </w:instrText>
                          </w:r>
                          <w:r>
                            <w:fldChar w:fldCharType="separate"/>
                          </w:r>
                          <w:r>
                            <w:t>145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8KDCANAIAAF4EAAAOAAAAAAAAAAEAIAAAAB8BAABkcnMvZTJvRG9jLnhtbFBL&#10;BQYAAAAABgAGAFkBAADFBQAAAAA=&#10;">
              <v:fill on="f" focussize="0,0"/>
              <v:stroke on="f" weight="0.5pt"/>
              <v:imagedata o:title=""/>
              <o:lock v:ext="edit" aspectratio="f"/>
              <v:textbox inset="0mm,0mm,0mm,0mm" style="mso-fit-shape-to-text:t;">
                <w:txbxContent>
                  <w:p w14:paraId="1984CAE7">
                    <w:pPr>
                      <w:pStyle w:val="13"/>
                      <w:rPr>
                        <w:rFonts w:hint="default"/>
                      </w:rPr>
                    </w:pPr>
                    <w:r>
                      <w:fldChar w:fldCharType="begin"/>
                    </w:r>
                    <w:r>
                      <w:instrText xml:space="preserve"> PAGE  \* MERGEFORMAT </w:instrText>
                    </w:r>
                    <w:r>
                      <w:fldChar w:fldCharType="separate"/>
                    </w:r>
                    <w:r>
                      <w:t>145</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D88DF">
    <w:pPr>
      <w:pStyle w:val="13"/>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6838773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2C4AD4">
                          <w:pPr>
                            <w:pStyle w:val="13"/>
                            <w:rPr>
                              <w:rFonts w:hint="default"/>
                            </w:rPr>
                          </w:pPr>
                          <w:r>
                            <w:fldChar w:fldCharType="begin"/>
                          </w:r>
                          <w:r>
                            <w:instrText xml:space="preserve"> PAGE  \* MERGEFORMAT </w:instrText>
                          </w:r>
                          <w:r>
                            <w:fldChar w:fldCharType="separate"/>
                          </w:r>
                          <w:r>
                            <w:t>146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voe10zAgAAXgQAAA4AAAAAAAAAAQAgAAAAHwEAAGRycy9lMm9Eb2MueG1sUEsF&#10;BgAAAAAGAAYAWQEAAMQFAAAAAA==&#10;">
              <v:fill on="f" focussize="0,0"/>
              <v:stroke on="f" weight="0.5pt"/>
              <v:imagedata o:title=""/>
              <o:lock v:ext="edit" aspectratio="f"/>
              <v:textbox inset="0mm,0mm,0mm,0mm" style="mso-fit-shape-to-text:t;">
                <w:txbxContent>
                  <w:p w14:paraId="7B2C4AD4">
                    <w:pPr>
                      <w:pStyle w:val="13"/>
                      <w:rPr>
                        <w:rFonts w:hint="default"/>
                      </w:rPr>
                    </w:pPr>
                    <w:r>
                      <w:fldChar w:fldCharType="begin"/>
                    </w:r>
                    <w:r>
                      <w:instrText xml:space="preserve"> PAGE  \* MERGEFORMAT </w:instrText>
                    </w:r>
                    <w:r>
                      <w:fldChar w:fldCharType="separate"/>
                    </w:r>
                    <w:r>
                      <w:t>146</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6D20E">
    <w:pPr>
      <w:pStyle w:val="13"/>
      <w:rPr>
        <w:rFonts w:hint="default"/>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47185160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11C00A">
                          <w:pPr>
                            <w:pStyle w:val="13"/>
                            <w:rPr>
                              <w:rFonts w:hint="default"/>
                            </w:rPr>
                          </w:pPr>
                          <w:r>
                            <w:fldChar w:fldCharType="begin"/>
                          </w:r>
                          <w:r>
                            <w:instrText xml:space="preserve"> PAGE  \* MERGEFORMAT </w:instrText>
                          </w:r>
                          <w:r>
                            <w:fldChar w:fldCharType="separate"/>
                          </w:r>
                          <w:r>
                            <w:t>148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EoyRMzAgAAXQQAAA4AAAAAAAAAAQAgAAAAHwEAAGRycy9lMm9Eb2MueG1sUEsF&#10;BgAAAAAGAAYAWQEAAMQFAAAAAA==&#10;">
              <v:fill on="f" focussize="0,0"/>
              <v:stroke on="f" weight="0.5pt"/>
              <v:imagedata o:title=""/>
              <o:lock v:ext="edit" aspectratio="f"/>
              <v:textbox inset="0mm,0mm,0mm,0mm" style="mso-fit-shape-to-text:t;">
                <w:txbxContent>
                  <w:p w14:paraId="7111C00A">
                    <w:pPr>
                      <w:pStyle w:val="13"/>
                      <w:rPr>
                        <w:rFonts w:hint="default"/>
                      </w:rPr>
                    </w:pPr>
                    <w:r>
                      <w:fldChar w:fldCharType="begin"/>
                    </w:r>
                    <w:r>
                      <w:instrText xml:space="preserve"> PAGE  \* MERGEFORMAT </w:instrText>
                    </w:r>
                    <w:r>
                      <w:fldChar w:fldCharType="separate"/>
                    </w:r>
                    <w:r>
                      <w:t>148</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76138">
    <w:pPr>
      <w:pStyle w:val="13"/>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0038277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869055">
                          <w:pPr>
                            <w:pStyle w:val="13"/>
                            <w:rPr>
                              <w:rFonts w:hint="default"/>
                            </w:rPr>
                          </w:pPr>
                          <w:r>
                            <w:fldChar w:fldCharType="begin"/>
                          </w:r>
                          <w:r>
                            <w:instrText xml:space="preserve"> PAGE  \* MERGEFORMAT </w:instrText>
                          </w:r>
                          <w:r>
                            <w:fldChar w:fldCharType="separate"/>
                          </w:r>
                          <w:r>
                            <w:t>149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aCjRkzAgAAXgQAAA4AAAAAAAAAAQAgAAAAHwEAAGRycy9lMm9Eb2MueG1sUEsF&#10;BgAAAAAGAAYAWQEAAMQFAAAAAA==&#10;">
              <v:fill on="f" focussize="0,0"/>
              <v:stroke on="f" weight="0.5pt"/>
              <v:imagedata o:title=""/>
              <o:lock v:ext="edit" aspectratio="f"/>
              <v:textbox inset="0mm,0mm,0mm,0mm" style="mso-fit-shape-to-text:t;">
                <w:txbxContent>
                  <w:p w14:paraId="22869055">
                    <w:pPr>
                      <w:pStyle w:val="13"/>
                      <w:rPr>
                        <w:rFonts w:hint="default"/>
                      </w:rPr>
                    </w:pPr>
                    <w:r>
                      <w:fldChar w:fldCharType="begin"/>
                    </w:r>
                    <w:r>
                      <w:instrText xml:space="preserve"> PAGE  \* MERGEFORMAT </w:instrText>
                    </w:r>
                    <w:r>
                      <w:fldChar w:fldCharType="separate"/>
                    </w:r>
                    <w:r>
                      <w:t>149</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72FE7">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5496812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F616EE">
                          <w:pPr>
                            <w:pStyle w:val="13"/>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3Zl6FNAIAAF4EAAAOAAAAAAAAAAEAIAAAAB8BAABkcnMvZTJvRG9jLnhtbFBL&#10;BQYAAAAABgAGAFkBAADFBQAAAAA=&#10;">
              <v:fill on="f" focussize="0,0"/>
              <v:stroke on="f" weight="0.5pt"/>
              <v:imagedata o:title=""/>
              <o:lock v:ext="edit" aspectratio="f"/>
              <v:textbox inset="0mm,0mm,0mm,0mm" style="mso-fit-shape-to-text:t;">
                <w:txbxContent>
                  <w:p w14:paraId="1CF616EE">
                    <w:pPr>
                      <w:pStyle w:val="13"/>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D7958">
    <w:pPr>
      <w:pStyle w:val="13"/>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0273257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FF1B2F">
                          <w:pPr>
                            <w:pStyle w:val="13"/>
                            <w:rPr>
                              <w:rFonts w:hint="default"/>
                            </w:rPr>
                          </w:pPr>
                          <w:r>
                            <w:fldChar w:fldCharType="begin"/>
                          </w:r>
                          <w:r>
                            <w:instrText xml:space="preserve"> PAGE  \* MERGEFORMAT </w:instrText>
                          </w:r>
                          <w:r>
                            <w:fldChar w:fldCharType="separate"/>
                          </w:r>
                          <w:r>
                            <w:t>150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VDD0xNAIAAF4EAAAOAAAAAAAAAAEAIAAAAB8BAABkcnMvZTJvRG9jLnhtbFBL&#10;BQYAAAAABgAGAFkBAADFBQAAAAA=&#10;">
              <v:fill on="f" focussize="0,0"/>
              <v:stroke on="f" weight="0.5pt"/>
              <v:imagedata o:title=""/>
              <o:lock v:ext="edit" aspectratio="f"/>
              <v:textbox inset="0mm,0mm,0mm,0mm" style="mso-fit-shape-to-text:t;">
                <w:txbxContent>
                  <w:p w14:paraId="3EFF1B2F">
                    <w:pPr>
                      <w:pStyle w:val="13"/>
                      <w:rPr>
                        <w:rFonts w:hint="default"/>
                      </w:rPr>
                    </w:pPr>
                    <w:r>
                      <w:fldChar w:fldCharType="begin"/>
                    </w:r>
                    <w:r>
                      <w:instrText xml:space="preserve"> PAGE  \* MERGEFORMAT </w:instrText>
                    </w:r>
                    <w:r>
                      <w:fldChar w:fldCharType="separate"/>
                    </w:r>
                    <w:r>
                      <w:t>150</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FB831">
    <w:pPr>
      <w:pStyle w:val="13"/>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92474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F7C3A2">
                          <w:pPr>
                            <w:pStyle w:val="13"/>
                            <w:rPr>
                              <w:rFonts w:hint="default"/>
                            </w:rPr>
                          </w:pPr>
                          <w:r>
                            <w:fldChar w:fldCharType="begin"/>
                          </w:r>
                          <w:r>
                            <w:instrText xml:space="preserve"> PAGE  \* MERGEFORMAT </w:instrText>
                          </w:r>
                          <w:r>
                            <w:fldChar w:fldCharType="separate"/>
                          </w:r>
                          <w:r>
                            <w:t>151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5D+2jICAABcBAAADgAAAAAAAAABACAAAAAfAQAAZHJzL2Uyb0RvYy54bWxQSwUG&#10;AAAAAAYABgBZAQAAwwUAAAAA&#10;">
              <v:fill on="f" focussize="0,0"/>
              <v:stroke on="f" weight="0.5pt"/>
              <v:imagedata o:title=""/>
              <o:lock v:ext="edit" aspectratio="f"/>
              <v:textbox inset="0mm,0mm,0mm,0mm" style="mso-fit-shape-to-text:t;">
                <w:txbxContent>
                  <w:p w14:paraId="33F7C3A2">
                    <w:pPr>
                      <w:pStyle w:val="13"/>
                      <w:rPr>
                        <w:rFonts w:hint="default"/>
                      </w:rPr>
                    </w:pPr>
                    <w:r>
                      <w:fldChar w:fldCharType="begin"/>
                    </w:r>
                    <w:r>
                      <w:instrText xml:space="preserve"> PAGE  \* MERGEFORMAT </w:instrText>
                    </w:r>
                    <w:r>
                      <w:fldChar w:fldCharType="separate"/>
                    </w:r>
                    <w:r>
                      <w:t>151</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44406">
    <w:pPr>
      <w:pStyle w:val="13"/>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64631548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A07578">
                          <w:pPr>
                            <w:pStyle w:val="13"/>
                            <w:rPr>
                              <w:rFonts w:hint="default"/>
                            </w:rPr>
                          </w:pPr>
                          <w:r>
                            <w:fldChar w:fldCharType="begin"/>
                          </w:r>
                          <w:r>
                            <w:instrText xml:space="preserve"> PAGE  \* MERGEFORMAT </w:instrText>
                          </w:r>
                          <w:r>
                            <w:fldChar w:fldCharType="separate"/>
                          </w:r>
                          <w:r>
                            <w:t>152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iTyczAgAAXQQAAA4AAAAAAAAAAQAgAAAAHwEAAGRycy9lMm9Eb2MueG1sUEsF&#10;BgAAAAAGAAYAWQEAAMQFAAAAAA==&#10;">
              <v:fill on="f" focussize="0,0"/>
              <v:stroke on="f" weight="0.5pt"/>
              <v:imagedata o:title=""/>
              <o:lock v:ext="edit" aspectratio="f"/>
              <v:textbox inset="0mm,0mm,0mm,0mm" style="mso-fit-shape-to-text:t;">
                <w:txbxContent>
                  <w:p w14:paraId="4CA07578">
                    <w:pPr>
                      <w:pStyle w:val="13"/>
                      <w:rPr>
                        <w:rFonts w:hint="default"/>
                      </w:rPr>
                    </w:pPr>
                    <w:r>
                      <w:fldChar w:fldCharType="begin"/>
                    </w:r>
                    <w:r>
                      <w:instrText xml:space="preserve"> PAGE  \* MERGEFORMAT </w:instrText>
                    </w:r>
                    <w:r>
                      <w:fldChar w:fldCharType="separate"/>
                    </w:r>
                    <w:r>
                      <w:t>152</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36443">
    <w:pPr>
      <w:pStyle w:val="13"/>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0047806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67B9D7">
                          <w:pPr>
                            <w:pStyle w:val="13"/>
                            <w:rPr>
                              <w:rFonts w:hint="default"/>
                            </w:rPr>
                          </w:pPr>
                          <w:r>
                            <w:fldChar w:fldCharType="begin"/>
                          </w:r>
                          <w:r>
                            <w:instrText xml:space="preserve"> PAGE  \* MERGEFORMAT </w:instrText>
                          </w:r>
                          <w:r>
                            <w:fldChar w:fldCharType="separate"/>
                          </w:r>
                          <w:r>
                            <w:t>153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ev+bjICAABeBAAADgAAAAAAAAABACAAAAAfAQAAZHJzL2Uyb0RvYy54bWxQSwUG&#10;AAAAAAYABgBZAQAAwwUAAAAA&#10;">
              <v:fill on="f" focussize="0,0"/>
              <v:stroke on="f" weight="0.5pt"/>
              <v:imagedata o:title=""/>
              <o:lock v:ext="edit" aspectratio="f"/>
              <v:textbox inset="0mm,0mm,0mm,0mm" style="mso-fit-shape-to-text:t;">
                <w:txbxContent>
                  <w:p w14:paraId="0967B9D7">
                    <w:pPr>
                      <w:pStyle w:val="13"/>
                      <w:rPr>
                        <w:rFonts w:hint="default"/>
                      </w:rPr>
                    </w:pPr>
                    <w:r>
                      <w:fldChar w:fldCharType="begin"/>
                    </w:r>
                    <w:r>
                      <w:instrText xml:space="preserve"> PAGE  \* MERGEFORMAT </w:instrText>
                    </w:r>
                    <w:r>
                      <w:fldChar w:fldCharType="separate"/>
                    </w:r>
                    <w:r>
                      <w:t>153</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FFA3A">
    <w:pPr>
      <w:pStyle w:val="13"/>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0284934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1A4F65">
                          <w:pPr>
                            <w:pStyle w:val="13"/>
                            <w:rPr>
                              <w:rFonts w:hint="default"/>
                            </w:rPr>
                          </w:pPr>
                          <w:r>
                            <w:fldChar w:fldCharType="begin"/>
                          </w:r>
                          <w:r>
                            <w:instrText xml:space="preserve"> PAGE  \* MERGEFORMAT </w:instrText>
                          </w:r>
                          <w:r>
                            <w:fldChar w:fldCharType="separate"/>
                          </w:r>
                          <w:r>
                            <w:t>154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KYmEMNAIAAF4EAAAOAAAAAAAAAAEAIAAAAB8BAABkcnMvZTJvRG9jLnhtbFBL&#10;BQYAAAAABgAGAFkBAADFBQAAAAA=&#10;">
              <v:fill on="f" focussize="0,0"/>
              <v:stroke on="f" weight="0.5pt"/>
              <v:imagedata o:title=""/>
              <o:lock v:ext="edit" aspectratio="f"/>
              <v:textbox inset="0mm,0mm,0mm,0mm" style="mso-fit-shape-to-text:t;">
                <w:txbxContent>
                  <w:p w14:paraId="231A4F65">
                    <w:pPr>
                      <w:pStyle w:val="13"/>
                      <w:rPr>
                        <w:rFonts w:hint="default"/>
                      </w:rPr>
                    </w:pPr>
                    <w:r>
                      <w:fldChar w:fldCharType="begin"/>
                    </w:r>
                    <w:r>
                      <w:instrText xml:space="preserve"> PAGE  \* MERGEFORMAT </w:instrText>
                    </w:r>
                    <w:r>
                      <w:fldChar w:fldCharType="separate"/>
                    </w:r>
                    <w:r>
                      <w:t>154</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E011C">
    <w:pPr>
      <w:pStyle w:val="13"/>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032906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3423AE">
                          <w:pPr>
                            <w:pStyle w:val="13"/>
                            <w:rPr>
                              <w:rFonts w:hint="default"/>
                            </w:rPr>
                          </w:pPr>
                          <w:r>
                            <w:fldChar w:fldCharType="begin"/>
                          </w:r>
                          <w:r>
                            <w:instrText xml:space="preserve"> PAGE  \* MERGEFORMAT </w:instrText>
                          </w:r>
                          <w:r>
                            <w:fldChar w:fldCharType="separate"/>
                          </w:r>
                          <w:r>
                            <w:t>155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9z4VYzAgAAXgQAAA4AAAAAAAAAAQAgAAAAHwEAAGRycy9lMm9Eb2MueG1sUEsF&#10;BgAAAAAGAAYAWQEAAMQFAAAAAA==&#10;">
              <v:fill on="f" focussize="0,0"/>
              <v:stroke on="f" weight="0.5pt"/>
              <v:imagedata o:title=""/>
              <o:lock v:ext="edit" aspectratio="f"/>
              <v:textbox inset="0mm,0mm,0mm,0mm" style="mso-fit-shape-to-text:t;">
                <w:txbxContent>
                  <w:p w14:paraId="0D3423AE">
                    <w:pPr>
                      <w:pStyle w:val="13"/>
                      <w:rPr>
                        <w:rFonts w:hint="default"/>
                      </w:rPr>
                    </w:pPr>
                    <w:r>
                      <w:fldChar w:fldCharType="begin"/>
                    </w:r>
                    <w:r>
                      <w:instrText xml:space="preserve"> PAGE  \* MERGEFORMAT </w:instrText>
                    </w:r>
                    <w:r>
                      <w:fldChar w:fldCharType="separate"/>
                    </w:r>
                    <w:r>
                      <w:t>155</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2060B">
    <w:pPr>
      <w:pStyle w:val="13"/>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8210530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9912C2">
                          <w:pPr>
                            <w:pStyle w:val="13"/>
                            <w:rPr>
                              <w:rFonts w:hint="default"/>
                            </w:rPr>
                          </w:pPr>
                          <w:r>
                            <w:fldChar w:fldCharType="begin"/>
                          </w:r>
                          <w:r>
                            <w:instrText xml:space="preserve"> PAGE  \* MERGEFORMAT </w:instrText>
                          </w:r>
                          <w:r>
                            <w:fldChar w:fldCharType="separate"/>
                          </w:r>
                          <w:r>
                            <w:t>156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biYnYzAgAAXgQAAA4AAAAAAAAAAQAgAAAAHwEAAGRycy9lMm9Eb2MueG1sUEsF&#10;BgAAAAAGAAYAWQEAAMQFAAAAAA==&#10;">
              <v:fill on="f" focussize="0,0"/>
              <v:stroke on="f" weight="0.5pt"/>
              <v:imagedata o:title=""/>
              <o:lock v:ext="edit" aspectratio="f"/>
              <v:textbox inset="0mm,0mm,0mm,0mm" style="mso-fit-shape-to-text:t;">
                <w:txbxContent>
                  <w:p w14:paraId="2D9912C2">
                    <w:pPr>
                      <w:pStyle w:val="13"/>
                      <w:rPr>
                        <w:rFonts w:hint="default"/>
                      </w:rPr>
                    </w:pPr>
                    <w:r>
                      <w:fldChar w:fldCharType="begin"/>
                    </w:r>
                    <w:r>
                      <w:instrText xml:space="preserve"> PAGE  \* MERGEFORMAT </w:instrText>
                    </w:r>
                    <w:r>
                      <w:fldChar w:fldCharType="separate"/>
                    </w:r>
                    <w:r>
                      <w:t>156</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72BBC5">
    <w:pPr>
      <w:pStyle w:val="13"/>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999870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5E4DBE">
                          <w:pPr>
                            <w:pStyle w:val="13"/>
                            <w:rPr>
                              <w:rFonts w:hint="default"/>
                            </w:rPr>
                          </w:pPr>
                          <w:r>
                            <w:fldChar w:fldCharType="begin"/>
                          </w:r>
                          <w:r>
                            <w:instrText xml:space="preserve"> PAGE  \* MERGEFORMAT </w:instrText>
                          </w:r>
                          <w:r>
                            <w:fldChar w:fldCharType="separate"/>
                          </w:r>
                          <w:r>
                            <w:t>157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XP7B4zAgAAXQQAAA4AAAAAAAAAAQAgAAAAHwEAAGRycy9lMm9Eb2MueG1sUEsF&#10;BgAAAAAGAAYAWQEAAMQFAAAAAA==&#10;">
              <v:fill on="f" focussize="0,0"/>
              <v:stroke on="f" weight="0.5pt"/>
              <v:imagedata o:title=""/>
              <o:lock v:ext="edit" aspectratio="f"/>
              <v:textbox inset="0mm,0mm,0mm,0mm" style="mso-fit-shape-to-text:t;">
                <w:txbxContent>
                  <w:p w14:paraId="335E4DBE">
                    <w:pPr>
                      <w:pStyle w:val="13"/>
                      <w:rPr>
                        <w:rFonts w:hint="default"/>
                      </w:rPr>
                    </w:pPr>
                    <w:r>
                      <w:fldChar w:fldCharType="begin"/>
                    </w:r>
                    <w:r>
                      <w:instrText xml:space="preserve"> PAGE  \* MERGEFORMAT </w:instrText>
                    </w:r>
                    <w:r>
                      <w:fldChar w:fldCharType="separate"/>
                    </w:r>
                    <w:r>
                      <w:t>157</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2AC1A">
    <w:pPr>
      <w:pStyle w:val="13"/>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2708055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4DAE62">
                          <w:pPr>
                            <w:pStyle w:val="13"/>
                            <w:rPr>
                              <w:rFonts w:hint="default"/>
                            </w:rPr>
                          </w:pPr>
                          <w:r>
                            <w:fldChar w:fldCharType="begin"/>
                          </w:r>
                          <w:r>
                            <w:instrText xml:space="preserve"> PAGE  \* MERGEFORMAT </w:instrText>
                          </w:r>
                          <w:r>
                            <w:fldChar w:fldCharType="separate"/>
                          </w:r>
                          <w:r>
                            <w:t>158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4qk28zAgAAXQQAAA4AAAAAAAAAAQAgAAAAHwEAAGRycy9lMm9Eb2MueG1sUEsF&#10;BgAAAAAGAAYAWQEAAMQFAAAAAA==&#10;">
              <v:fill on="f" focussize="0,0"/>
              <v:stroke on="f" weight="0.5pt"/>
              <v:imagedata o:title=""/>
              <o:lock v:ext="edit" aspectratio="f"/>
              <v:textbox inset="0mm,0mm,0mm,0mm" style="mso-fit-shape-to-text:t;">
                <w:txbxContent>
                  <w:p w14:paraId="644DAE62">
                    <w:pPr>
                      <w:pStyle w:val="13"/>
                      <w:rPr>
                        <w:rFonts w:hint="default"/>
                      </w:rPr>
                    </w:pPr>
                    <w:r>
                      <w:fldChar w:fldCharType="begin"/>
                    </w:r>
                    <w:r>
                      <w:instrText xml:space="preserve"> PAGE  \* MERGEFORMAT </w:instrText>
                    </w:r>
                    <w:r>
                      <w:fldChar w:fldCharType="separate"/>
                    </w:r>
                    <w:r>
                      <w:t>158</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CED90">
    <w:pPr>
      <w:pStyle w:val="13"/>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7369033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D2F583">
                          <w:pPr>
                            <w:pStyle w:val="13"/>
                            <w:rPr>
                              <w:rFonts w:hint="default"/>
                            </w:rPr>
                          </w:pPr>
                          <w:r>
                            <w:fldChar w:fldCharType="begin"/>
                          </w:r>
                          <w:r>
                            <w:instrText xml:space="preserve"> PAGE  \* MERGEFORMAT </w:instrText>
                          </w:r>
                          <w:r>
                            <w:fldChar w:fldCharType="separate"/>
                          </w:r>
                          <w:r>
                            <w:t>160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imR6kzAgAAXgQAAA4AAAAAAAAAAQAgAAAAHwEAAGRycy9lMm9Eb2MueG1sUEsF&#10;BgAAAAAGAAYAWQEAAMQFAAAAAA==&#10;">
              <v:fill on="f" focussize="0,0"/>
              <v:stroke on="f" weight="0.5pt"/>
              <v:imagedata o:title=""/>
              <o:lock v:ext="edit" aspectratio="f"/>
              <v:textbox inset="0mm,0mm,0mm,0mm" style="mso-fit-shape-to-text:t;">
                <w:txbxContent>
                  <w:p w14:paraId="5FD2F583">
                    <w:pPr>
                      <w:pStyle w:val="13"/>
                      <w:rPr>
                        <w:rFonts w:hint="default"/>
                      </w:rPr>
                    </w:pPr>
                    <w:r>
                      <w:fldChar w:fldCharType="begin"/>
                    </w:r>
                    <w:r>
                      <w:instrText xml:space="preserve"> PAGE  \* MERGEFORMAT </w:instrText>
                    </w:r>
                    <w:r>
                      <w:fldChar w:fldCharType="separate"/>
                    </w:r>
                    <w:r>
                      <w:t>160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DBB304">
    <w:pPr>
      <w:pStyle w:val="1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0660410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A0EF87">
                          <w:pPr>
                            <w:pStyle w:val="13"/>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0V/OfTICAABeBAAADgAAAAAAAAABACAAAAAfAQAAZHJzL2Uyb0RvYy54bWxQSwUG&#10;AAAAAAYABgBZAQAAwwUAAAAA&#10;">
              <v:fill on="f" focussize="0,0"/>
              <v:stroke on="f" weight="0.5pt"/>
              <v:imagedata o:title=""/>
              <o:lock v:ext="edit" aspectratio="f"/>
              <v:textbox inset="0mm,0mm,0mm,0mm" style="mso-fit-shape-to-text:t;">
                <w:txbxContent>
                  <w:p w14:paraId="27A0EF87">
                    <w:pPr>
                      <w:pStyle w:val="13"/>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E48D3">
    <w:pPr>
      <w:pStyle w:val="13"/>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9232226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B8580">
                          <w:pPr>
                            <w:pStyle w:val="13"/>
                            <w:rPr>
                              <w:rFonts w:hint="default"/>
                            </w:rPr>
                          </w:pPr>
                          <w:r>
                            <w:fldChar w:fldCharType="begin"/>
                          </w:r>
                          <w:r>
                            <w:instrText xml:space="preserve"> PAGE  \* MERGEFORMAT </w:instrText>
                          </w:r>
                          <w:r>
                            <w:fldChar w:fldCharType="separate"/>
                          </w:r>
                          <w:r>
                            <w:t>161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TLHDszAgAAXQQAAA4AAAAAAAAAAQAgAAAAHwEAAGRycy9lMm9Eb2MueG1sUEsF&#10;BgAAAAAGAAYAWQEAAMQFAAAAAA==&#10;">
              <v:fill on="f" focussize="0,0"/>
              <v:stroke on="f" weight="0.5pt"/>
              <v:imagedata o:title=""/>
              <o:lock v:ext="edit" aspectratio="f"/>
              <v:textbox inset="0mm,0mm,0mm,0mm" style="mso-fit-shape-to-text:t;">
                <w:txbxContent>
                  <w:p w14:paraId="483B8580">
                    <w:pPr>
                      <w:pStyle w:val="13"/>
                      <w:rPr>
                        <w:rFonts w:hint="default"/>
                      </w:rPr>
                    </w:pPr>
                    <w:r>
                      <w:fldChar w:fldCharType="begin"/>
                    </w:r>
                    <w:r>
                      <w:instrText xml:space="preserve"> PAGE  \* MERGEFORMAT </w:instrText>
                    </w:r>
                    <w:r>
                      <w:fldChar w:fldCharType="separate"/>
                    </w:r>
                    <w:r>
                      <w:t>161</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34407D">
    <w:pPr>
      <w:pStyle w:val="13"/>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3031029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CF4F60">
                          <w:pPr>
                            <w:pStyle w:val="13"/>
                            <w:rPr>
                              <w:rFonts w:hint="default"/>
                            </w:rPr>
                          </w:pPr>
                          <w:r>
                            <w:fldChar w:fldCharType="begin"/>
                          </w:r>
                          <w:r>
                            <w:instrText xml:space="preserve"> PAGE  \* MERGEFORMAT </w:instrText>
                          </w:r>
                          <w:r>
                            <w:fldChar w:fldCharType="separate"/>
                          </w:r>
                          <w:r>
                            <w:t>162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lp4OwzAgAAXgQAAA4AAAAAAAAAAQAgAAAAHwEAAGRycy9lMm9Eb2MueG1sUEsF&#10;BgAAAAAGAAYAWQEAAMQFAAAAAA==&#10;">
              <v:fill on="f" focussize="0,0"/>
              <v:stroke on="f" weight="0.5pt"/>
              <v:imagedata o:title=""/>
              <o:lock v:ext="edit" aspectratio="f"/>
              <v:textbox inset="0mm,0mm,0mm,0mm" style="mso-fit-shape-to-text:t;">
                <w:txbxContent>
                  <w:p w14:paraId="6ECF4F60">
                    <w:pPr>
                      <w:pStyle w:val="13"/>
                      <w:rPr>
                        <w:rFonts w:hint="default"/>
                      </w:rPr>
                    </w:pPr>
                    <w:r>
                      <w:fldChar w:fldCharType="begin"/>
                    </w:r>
                    <w:r>
                      <w:instrText xml:space="preserve"> PAGE  \* MERGEFORMAT </w:instrText>
                    </w:r>
                    <w:r>
                      <w:fldChar w:fldCharType="separate"/>
                    </w:r>
                    <w:r>
                      <w:t>162</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91AE91">
    <w:pPr>
      <w:pStyle w:val="13"/>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4174563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66BA8D">
                          <w:pPr>
                            <w:pStyle w:val="13"/>
                            <w:rPr>
                              <w:rFonts w:hint="default"/>
                            </w:rPr>
                          </w:pPr>
                          <w:r>
                            <w:fldChar w:fldCharType="begin"/>
                          </w:r>
                          <w:r>
                            <w:instrText xml:space="preserve"> PAGE  \* MERGEFORMAT </w:instrText>
                          </w:r>
                          <w:r>
                            <w:fldChar w:fldCharType="separate"/>
                          </w:r>
                          <w:r>
                            <w:t>164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Xq2T/NAIAAF4EAAAOAAAAAAAAAAEAIAAAAB8BAABkcnMvZTJvRG9jLnhtbFBL&#10;BQYAAAAABgAGAFkBAADFBQAAAAA=&#10;">
              <v:fill on="f" focussize="0,0"/>
              <v:stroke on="f" weight="0.5pt"/>
              <v:imagedata o:title=""/>
              <o:lock v:ext="edit" aspectratio="f"/>
              <v:textbox inset="0mm,0mm,0mm,0mm" style="mso-fit-shape-to-text:t;">
                <w:txbxContent>
                  <w:p w14:paraId="1666BA8D">
                    <w:pPr>
                      <w:pStyle w:val="13"/>
                      <w:rPr>
                        <w:rFonts w:hint="default"/>
                      </w:rPr>
                    </w:pPr>
                    <w:r>
                      <w:fldChar w:fldCharType="begin"/>
                    </w:r>
                    <w:r>
                      <w:instrText xml:space="preserve"> PAGE  \* MERGEFORMAT </w:instrText>
                    </w:r>
                    <w:r>
                      <w:fldChar w:fldCharType="separate"/>
                    </w:r>
                    <w:r>
                      <w:t>164</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60F68">
    <w:pPr>
      <w:pStyle w:val="13"/>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323948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E09F04">
                          <w:pPr>
                            <w:pStyle w:val="13"/>
                            <w:rPr>
                              <w:rFonts w:hint="default"/>
                            </w:rPr>
                          </w:pPr>
                          <w:r>
                            <w:fldChar w:fldCharType="begin"/>
                          </w:r>
                          <w:r>
                            <w:instrText xml:space="preserve"> PAGE  \* MERGEFORMAT </w:instrText>
                          </w:r>
                          <w:r>
                            <w:fldChar w:fldCharType="separate"/>
                          </w:r>
                          <w:r>
                            <w:t>166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0NbQ4jICAABdBAAADgAAAAAAAAABACAAAAAfAQAAZHJzL2Uyb0RvYy54bWxQSwUG&#10;AAAAAAYABgBZAQAAwwUAAAAA&#10;">
              <v:fill on="f" focussize="0,0"/>
              <v:stroke on="f" weight="0.5pt"/>
              <v:imagedata o:title=""/>
              <o:lock v:ext="edit" aspectratio="f"/>
              <v:textbox inset="0mm,0mm,0mm,0mm" style="mso-fit-shape-to-text:t;">
                <w:txbxContent>
                  <w:p w14:paraId="0EE09F04">
                    <w:pPr>
                      <w:pStyle w:val="13"/>
                      <w:rPr>
                        <w:rFonts w:hint="default"/>
                      </w:rPr>
                    </w:pPr>
                    <w:r>
                      <w:fldChar w:fldCharType="begin"/>
                    </w:r>
                    <w:r>
                      <w:instrText xml:space="preserve"> PAGE  \* MERGEFORMAT </w:instrText>
                    </w:r>
                    <w:r>
                      <w:fldChar w:fldCharType="separate"/>
                    </w:r>
                    <w:r>
                      <w:t>166</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C0F1C">
    <w:pPr>
      <w:pStyle w:val="13"/>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6572779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37B4C5">
                          <w:pPr>
                            <w:pStyle w:val="13"/>
                            <w:rPr>
                              <w:rFonts w:hint="default"/>
                            </w:rPr>
                          </w:pPr>
                          <w:r>
                            <w:fldChar w:fldCharType="begin"/>
                          </w:r>
                          <w:r>
                            <w:instrText xml:space="preserve"> PAGE  \* MERGEFORMAT </w:instrText>
                          </w:r>
                          <w:r>
                            <w:fldChar w:fldCharType="separate"/>
                          </w:r>
                          <w:r>
                            <w:t>167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RUhMYzAgAAXgQAAA4AAAAAAAAAAQAgAAAAHwEAAGRycy9lMm9Eb2MueG1sUEsF&#10;BgAAAAAGAAYAWQEAAMQFAAAAAA==&#10;">
              <v:fill on="f" focussize="0,0"/>
              <v:stroke on="f" weight="0.5pt"/>
              <v:imagedata o:title=""/>
              <o:lock v:ext="edit" aspectratio="f"/>
              <v:textbox inset="0mm,0mm,0mm,0mm" style="mso-fit-shape-to-text:t;">
                <w:txbxContent>
                  <w:p w14:paraId="4A37B4C5">
                    <w:pPr>
                      <w:pStyle w:val="13"/>
                      <w:rPr>
                        <w:rFonts w:hint="default"/>
                      </w:rPr>
                    </w:pPr>
                    <w:r>
                      <w:fldChar w:fldCharType="begin"/>
                    </w:r>
                    <w:r>
                      <w:instrText xml:space="preserve"> PAGE  \* MERGEFORMAT </w:instrText>
                    </w:r>
                    <w:r>
                      <w:fldChar w:fldCharType="separate"/>
                    </w:r>
                    <w:r>
                      <w:t>167</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C56E2">
    <w:pPr>
      <w:pStyle w:val="13"/>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2824492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CF0663">
                          <w:pPr>
                            <w:pStyle w:val="13"/>
                            <w:rPr>
                              <w:rFonts w:hint="default"/>
                            </w:rPr>
                          </w:pPr>
                          <w:r>
                            <w:fldChar w:fldCharType="begin"/>
                          </w:r>
                          <w:r>
                            <w:instrText xml:space="preserve"> PAGE  \* MERGEFORMAT </w:instrText>
                          </w:r>
                          <w:r>
                            <w:fldChar w:fldCharType="separate"/>
                          </w:r>
                          <w:r>
                            <w:t>168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CdcScNAIAAF4EAAAOAAAAAAAAAAEAIAAAAB8BAABkcnMvZTJvRG9jLnhtbFBL&#10;BQYAAAAABgAGAFkBAADFBQAAAAA=&#10;">
              <v:fill on="f" focussize="0,0"/>
              <v:stroke on="f" weight="0.5pt"/>
              <v:imagedata o:title=""/>
              <o:lock v:ext="edit" aspectratio="f"/>
              <v:textbox inset="0mm,0mm,0mm,0mm" style="mso-fit-shape-to-text:t;">
                <w:txbxContent>
                  <w:p w14:paraId="6BCF0663">
                    <w:pPr>
                      <w:pStyle w:val="13"/>
                      <w:rPr>
                        <w:rFonts w:hint="default"/>
                      </w:rPr>
                    </w:pPr>
                    <w:r>
                      <w:fldChar w:fldCharType="begin"/>
                    </w:r>
                    <w:r>
                      <w:instrText xml:space="preserve"> PAGE  \* MERGEFORMAT </w:instrText>
                    </w:r>
                    <w:r>
                      <w:fldChar w:fldCharType="separate"/>
                    </w:r>
                    <w:r>
                      <w:t>168</w:t>
                    </w:r>
                    <w:r>
                      <w:fldChar w:fldCharType="end"/>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0574F">
    <w:pPr>
      <w:pStyle w:val="13"/>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1728283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316F36">
                          <w:pPr>
                            <w:pStyle w:val="13"/>
                            <w:rPr>
                              <w:rFonts w:hint="default"/>
                            </w:rPr>
                          </w:pPr>
                          <w:r>
                            <w:fldChar w:fldCharType="begin"/>
                          </w:r>
                          <w:r>
                            <w:instrText xml:space="preserve"> PAGE  \* MERGEFORMAT </w:instrText>
                          </w:r>
                          <w:r>
                            <w:fldChar w:fldCharType="separate"/>
                          </w:r>
                          <w:r>
                            <w:t>169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QrkAhzICAABeBAAADgAAAAAAAAABACAAAAAfAQAAZHJzL2Uyb0RvYy54bWxQSwUG&#10;AAAAAAYABgBZAQAAwwUAAAAA&#10;">
              <v:fill on="f" focussize="0,0"/>
              <v:stroke on="f" weight="0.5pt"/>
              <v:imagedata o:title=""/>
              <o:lock v:ext="edit" aspectratio="f"/>
              <v:textbox inset="0mm,0mm,0mm,0mm" style="mso-fit-shape-to-text:t;">
                <w:txbxContent>
                  <w:p w14:paraId="2F316F36">
                    <w:pPr>
                      <w:pStyle w:val="13"/>
                      <w:rPr>
                        <w:rFonts w:hint="default"/>
                      </w:rPr>
                    </w:pPr>
                    <w:r>
                      <w:fldChar w:fldCharType="begin"/>
                    </w:r>
                    <w:r>
                      <w:instrText xml:space="preserve"> PAGE  \* MERGEFORMAT </w:instrText>
                    </w:r>
                    <w:r>
                      <w:fldChar w:fldCharType="separate"/>
                    </w:r>
                    <w:r>
                      <w:t>169</w:t>
                    </w:r>
                    <w:r>
                      <w:fldChar w:fldCharType="end"/>
                    </w:r>
                  </w:p>
                </w:txbxContent>
              </v:textbox>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59AD8">
    <w:pPr>
      <w:pStyle w:val="13"/>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207013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66F2D1">
                          <w:pPr>
                            <w:pStyle w:val="13"/>
                            <w:rPr>
                              <w:rFonts w:hint="default"/>
                            </w:rPr>
                          </w:pPr>
                          <w:r>
                            <w:fldChar w:fldCharType="begin"/>
                          </w:r>
                          <w:r>
                            <w:instrText xml:space="preserve"> PAGE  \* MERGEFORMAT </w:instrText>
                          </w:r>
                          <w:r>
                            <w:fldChar w:fldCharType="separate"/>
                          </w:r>
                          <w:r>
                            <w:t>170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k1xrDICAABdBAAADgAAAAAAAAABACAAAAAfAQAAZHJzL2Uyb0RvYy54bWxQSwUG&#10;AAAAAAYABgBZAQAAwwUAAAAA&#10;">
              <v:fill on="f" focussize="0,0"/>
              <v:stroke on="f" weight="0.5pt"/>
              <v:imagedata o:title=""/>
              <o:lock v:ext="edit" aspectratio="f"/>
              <v:textbox inset="0mm,0mm,0mm,0mm" style="mso-fit-shape-to-text:t;">
                <w:txbxContent>
                  <w:p w14:paraId="6B66F2D1">
                    <w:pPr>
                      <w:pStyle w:val="13"/>
                      <w:rPr>
                        <w:rFonts w:hint="default"/>
                      </w:rPr>
                    </w:pPr>
                    <w:r>
                      <w:fldChar w:fldCharType="begin"/>
                    </w:r>
                    <w:r>
                      <w:instrText xml:space="preserve"> PAGE  \* MERGEFORMAT </w:instrText>
                    </w:r>
                    <w:r>
                      <w:fldChar w:fldCharType="separate"/>
                    </w:r>
                    <w:r>
                      <w:t>170</w:t>
                    </w:r>
                    <w:r>
                      <w:fldChar w:fldCharType="end"/>
                    </w:r>
                  </w:p>
                </w:txbxContent>
              </v:textbox>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B3B6E">
    <w:pPr>
      <w:pStyle w:val="13"/>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4393314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62A7F7">
                          <w:pPr>
                            <w:pStyle w:val="13"/>
                            <w:rPr>
                              <w:rFonts w:hint="default"/>
                            </w:rPr>
                          </w:pPr>
                          <w:r>
                            <w:fldChar w:fldCharType="begin"/>
                          </w:r>
                          <w:r>
                            <w:instrText xml:space="preserve"> PAGE  \* MERGEFORMAT </w:instrText>
                          </w:r>
                          <w:r>
                            <w:fldChar w:fldCharType="separate"/>
                          </w:r>
                          <w:r>
                            <w:t>171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pBHfONAIAAF4EAAAOAAAAAAAAAAEAIAAAAB8BAABkcnMvZTJvRG9jLnhtbFBL&#10;BQYAAAAABgAGAFkBAADFBQAAAAA=&#10;">
              <v:fill on="f" focussize="0,0"/>
              <v:stroke on="f" weight="0.5pt"/>
              <v:imagedata o:title=""/>
              <o:lock v:ext="edit" aspectratio="f"/>
              <v:textbox inset="0mm,0mm,0mm,0mm" style="mso-fit-shape-to-text:t;">
                <w:txbxContent>
                  <w:p w14:paraId="1162A7F7">
                    <w:pPr>
                      <w:pStyle w:val="13"/>
                      <w:rPr>
                        <w:rFonts w:hint="default"/>
                      </w:rPr>
                    </w:pPr>
                    <w:r>
                      <w:fldChar w:fldCharType="begin"/>
                    </w:r>
                    <w:r>
                      <w:instrText xml:space="preserve"> PAGE  \* MERGEFORMAT </w:instrText>
                    </w:r>
                    <w:r>
                      <w:fldChar w:fldCharType="separate"/>
                    </w:r>
                    <w:r>
                      <w:t>171</w:t>
                    </w:r>
                    <w:r>
                      <w:fldChar w:fldCharType="end"/>
                    </w:r>
                  </w:p>
                </w:txbxContent>
              </v:textbox>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705FC">
    <w:pPr>
      <w:pStyle w:val="13"/>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45832004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92CC0B">
                          <w:pPr>
                            <w:pStyle w:val="13"/>
                            <w:rPr>
                              <w:rFonts w:hint="default"/>
                            </w:rPr>
                          </w:pPr>
                          <w:r>
                            <w:fldChar w:fldCharType="begin"/>
                          </w:r>
                          <w:r>
                            <w:instrText xml:space="preserve"> PAGE  \* MERGEFORMAT </w:instrText>
                          </w:r>
                          <w:r>
                            <w:fldChar w:fldCharType="separate"/>
                          </w:r>
                          <w:r>
                            <w:t>172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mq2fgzAgAAXQQAAA4AAAAAAAAAAQAgAAAAHwEAAGRycy9lMm9Eb2MueG1sUEsF&#10;BgAAAAAGAAYAWQEAAMQFAAAAAA==&#10;">
              <v:fill on="f" focussize="0,0"/>
              <v:stroke on="f" weight="0.5pt"/>
              <v:imagedata o:title=""/>
              <o:lock v:ext="edit" aspectratio="f"/>
              <v:textbox inset="0mm,0mm,0mm,0mm" style="mso-fit-shape-to-text:t;">
                <w:txbxContent>
                  <w:p w14:paraId="1F92CC0B">
                    <w:pPr>
                      <w:pStyle w:val="13"/>
                      <w:rPr>
                        <w:rFonts w:hint="default"/>
                      </w:rPr>
                    </w:pPr>
                    <w:r>
                      <w:fldChar w:fldCharType="begin"/>
                    </w:r>
                    <w:r>
                      <w:instrText xml:space="preserve"> PAGE  \* MERGEFORMAT </w:instrText>
                    </w:r>
                    <w:r>
                      <w:fldChar w:fldCharType="separate"/>
                    </w:r>
                    <w:r>
                      <w:t>172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3A1C8">
    <w:pPr>
      <w:pStyle w:val="13"/>
      <w:framePr w:wrap="around" w:vAnchor="text" w:hAnchor="margin" w:xAlign="center" w:y="1"/>
      <w:rPr>
        <w:rStyle w:val="22"/>
        <w:rFonts w:ascii="仿宋_GB2312" w:eastAsia="仿宋_GB2312"/>
        <w:sz w:val="21"/>
        <w:szCs w:val="21"/>
      </w:rPr>
    </w:pPr>
    <w:r>
      <w:rPr>
        <w:rStyle w:val="22"/>
        <w:rFonts w:hint="eastAsia" w:ascii="仿宋_GB2312" w:eastAsia="仿宋_GB2312"/>
        <w:sz w:val="21"/>
        <w:szCs w:val="21"/>
      </w:rPr>
      <w:fldChar w:fldCharType="begin"/>
    </w:r>
    <w:r>
      <w:rPr>
        <w:rStyle w:val="22"/>
        <w:rFonts w:hint="eastAsia" w:ascii="仿宋_GB2312" w:eastAsia="仿宋_GB2312"/>
        <w:sz w:val="21"/>
        <w:szCs w:val="21"/>
      </w:rPr>
      <w:instrText xml:space="preserve">PAGE  </w:instrText>
    </w:r>
    <w:r>
      <w:rPr>
        <w:rStyle w:val="22"/>
        <w:rFonts w:hint="eastAsia" w:ascii="仿宋_GB2312" w:eastAsia="仿宋_GB2312"/>
        <w:sz w:val="21"/>
        <w:szCs w:val="21"/>
      </w:rPr>
      <w:fldChar w:fldCharType="separate"/>
    </w:r>
    <w:r>
      <w:rPr>
        <w:rStyle w:val="22"/>
        <w:rFonts w:hint="eastAsia" w:ascii="仿宋_GB2312" w:eastAsia="仿宋_GB2312"/>
        <w:sz w:val="21"/>
        <w:szCs w:val="21"/>
      </w:rPr>
      <w:t>40</w:t>
    </w:r>
    <w:r>
      <w:rPr>
        <w:rStyle w:val="22"/>
        <w:rFonts w:hint="eastAsia" w:ascii="仿宋_GB2312" w:eastAsia="仿宋_GB2312"/>
        <w:sz w:val="21"/>
        <w:szCs w:val="21"/>
      </w:rPr>
      <w:fldChar w:fldCharType="end"/>
    </w:r>
  </w:p>
  <w:p w14:paraId="78B56001">
    <w:pPr>
      <w:pStyle w:val="13"/>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9FAD0">
    <w:pPr>
      <w:pStyle w:val="13"/>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7137310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E2C4B6">
                          <w:pPr>
                            <w:pStyle w:val="13"/>
                          </w:pPr>
                          <w:r>
                            <w:fldChar w:fldCharType="begin"/>
                          </w:r>
                          <w:r>
                            <w:instrText xml:space="preserve"> PAGE  \* MERGEFORMAT </w:instrText>
                          </w:r>
                          <w:r>
                            <w:fldChar w:fldCharType="separate"/>
                          </w:r>
                          <w:r>
                            <w:t>175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VmvcwNAIAAF4EAAAOAAAAAAAAAAEAIAAAAB8BAABkcnMvZTJvRG9jLnhtbFBL&#10;BQYAAAAABgAGAFkBAADFBQAAAAA=&#10;">
              <v:fill on="f" focussize="0,0"/>
              <v:stroke on="f" weight="0.5pt"/>
              <v:imagedata o:title=""/>
              <o:lock v:ext="edit" aspectratio="f"/>
              <v:textbox inset="0mm,0mm,0mm,0mm" style="mso-fit-shape-to-text:t;">
                <w:txbxContent>
                  <w:p w14:paraId="21E2C4B6">
                    <w:pPr>
                      <w:pStyle w:val="13"/>
                    </w:pPr>
                    <w:r>
                      <w:fldChar w:fldCharType="begin"/>
                    </w:r>
                    <w:r>
                      <w:instrText xml:space="preserve"> PAGE  \* MERGEFORMAT </w:instrText>
                    </w:r>
                    <w:r>
                      <w:fldChar w:fldCharType="separate"/>
                    </w:r>
                    <w:r>
                      <w:t>175</w:t>
                    </w:r>
                    <w:r>
                      <w:fldChar w:fldCharType="end"/>
                    </w:r>
                  </w:p>
                </w:txbxContent>
              </v:textbox>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503E7">
    <w:pPr>
      <w:pStyle w:val="13"/>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2491906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F4AA50">
                          <w:pPr>
                            <w:pStyle w:val="13"/>
                            <w:rPr>
                              <w:rFonts w:hint="default"/>
                            </w:rPr>
                          </w:pPr>
                          <w:r>
                            <w:fldChar w:fldCharType="begin"/>
                          </w:r>
                          <w:r>
                            <w:instrText xml:space="preserve"> PAGE  \* MERGEFORMAT </w:instrText>
                          </w:r>
                          <w:r>
                            <w:fldChar w:fldCharType="separate"/>
                          </w:r>
                          <w:r>
                            <w:t>184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eGfqTNAIAAF4EAAAOAAAAAAAAAAEAIAAAAB8BAABkcnMvZTJvRG9jLnhtbFBL&#10;BQYAAAAABgAGAFkBAADFBQAAAAA=&#10;">
              <v:fill on="f" focussize="0,0"/>
              <v:stroke on="f" weight="0.5pt"/>
              <v:imagedata o:title=""/>
              <o:lock v:ext="edit" aspectratio="f"/>
              <v:textbox inset="0mm,0mm,0mm,0mm" style="mso-fit-shape-to-text:t;">
                <w:txbxContent>
                  <w:p w14:paraId="34F4AA50">
                    <w:pPr>
                      <w:pStyle w:val="13"/>
                      <w:rPr>
                        <w:rFonts w:hint="default"/>
                      </w:rPr>
                    </w:pPr>
                    <w:r>
                      <w:fldChar w:fldCharType="begin"/>
                    </w:r>
                    <w:r>
                      <w:instrText xml:space="preserve"> PAGE  \* MERGEFORMAT </w:instrText>
                    </w:r>
                    <w:r>
                      <w:fldChar w:fldCharType="separate"/>
                    </w:r>
                    <w:r>
                      <w:t>184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FB53D">
    <w:pPr>
      <w:pStyle w:val="13"/>
      <w:framePr w:wrap="around" w:vAnchor="text" w:hAnchor="margin" w:xAlign="center" w:y="1"/>
      <w:rPr>
        <w:rStyle w:val="22"/>
      </w:rPr>
    </w:pPr>
    <w:r>
      <w:rPr>
        <w:rStyle w:val="22"/>
      </w:rPr>
      <w:fldChar w:fldCharType="begin"/>
    </w:r>
    <w:r>
      <w:rPr>
        <w:rStyle w:val="22"/>
      </w:rPr>
      <w:instrText xml:space="preserve">PAGE  </w:instrText>
    </w:r>
    <w:r>
      <w:rPr>
        <w:rStyle w:val="22"/>
      </w:rPr>
      <w:fldChar w:fldCharType="separate"/>
    </w:r>
    <w:r>
      <w:rPr>
        <w:rStyle w:val="22"/>
      </w:rPr>
      <w:t>1</w:t>
    </w:r>
    <w:r>
      <w:rPr>
        <w:rStyle w:val="22"/>
      </w:rPr>
      <w:fldChar w:fldCharType="end"/>
    </w:r>
  </w:p>
  <w:p w14:paraId="2EF4CA5E">
    <w:pPr>
      <w:pStyle w:val="1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FC966">
    <w:pPr>
      <w:pStyle w:val="13"/>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F647FB">
                          <w:pPr>
                            <w:pStyle w:val="13"/>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04F647FB">
                    <w:pPr>
                      <w:pStyle w:val="13"/>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1D8D3">
    <w:pPr>
      <w:pStyle w:val="13"/>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1829456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170060">
                          <w:pPr>
                            <w:pStyle w:val="13"/>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6AF4zAgAAXgQAAA4AAAAAAAAAAQAgAAAAHwEAAGRycy9lMm9Eb2MueG1sUEsF&#10;BgAAAAAGAAYAWQEAAMQFAAAAAA==&#10;">
              <v:fill on="f" focussize="0,0"/>
              <v:stroke on="f" weight="0.5pt"/>
              <v:imagedata o:title=""/>
              <o:lock v:ext="edit" aspectratio="f"/>
              <v:textbox inset="0mm,0mm,0mm,0mm" style="mso-fit-shape-to-text:t;">
                <w:txbxContent>
                  <w:p w14:paraId="1F170060">
                    <w:pPr>
                      <w:pStyle w:val="13"/>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506D2">
    <w:pPr>
      <w:pStyle w:val="13"/>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1428638"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FC434E">
                          <w:pPr>
                            <w:pStyle w:val="13"/>
                            <w:rPr>
                              <w:rStyle w:val="22"/>
                              <w:rFonts w:ascii="仿宋_GB2312" w:eastAsia="仿宋_GB2312"/>
                            </w:rPr>
                          </w:pPr>
                          <w:r>
                            <w:rPr>
                              <w:rStyle w:val="22"/>
                              <w:rFonts w:hint="eastAsia" w:ascii="仿宋_GB2312" w:eastAsia="仿宋_GB2312"/>
                            </w:rPr>
                            <w:fldChar w:fldCharType="begin"/>
                          </w:r>
                          <w:r>
                            <w:rPr>
                              <w:rStyle w:val="22"/>
                              <w:rFonts w:hint="eastAsia" w:ascii="仿宋_GB2312" w:eastAsia="仿宋_GB2312"/>
                            </w:rPr>
                            <w:instrText xml:space="preserve">PAGE  </w:instrText>
                          </w:r>
                          <w:r>
                            <w:rPr>
                              <w:rStyle w:val="22"/>
                              <w:rFonts w:hint="eastAsia" w:ascii="仿宋_GB2312" w:eastAsia="仿宋_GB2312"/>
                            </w:rPr>
                            <w:fldChar w:fldCharType="separate"/>
                          </w:r>
                          <w:r>
                            <w:rPr>
                              <w:rStyle w:val="22"/>
                              <w:rFonts w:hint="eastAsia" w:ascii="仿宋_GB2312" w:eastAsia="仿宋_GB2312"/>
                            </w:rPr>
                            <w:t>67</w:t>
                          </w:r>
                          <w:r>
                            <w:rPr>
                              <w:rStyle w:val="22"/>
                              <w:rFonts w:hint="eastAsia" w:ascii="仿宋_GB2312" w:eastAsia="仿宋_GB231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sJETICAABdBAAADgAAAAAAAAABACAAAAAfAQAAZHJzL2Uyb0RvYy54bWxQSwUG&#10;AAAAAAYABgBZAQAAwwUAAAAA&#10;">
              <v:fill on="f" focussize="0,0"/>
              <v:stroke on="f" weight="0.5pt"/>
              <v:imagedata o:title=""/>
              <o:lock v:ext="edit" aspectratio="f"/>
              <v:textbox inset="0mm,0mm,0mm,0mm" style="mso-fit-shape-to-text:t;">
                <w:txbxContent>
                  <w:p w14:paraId="12FC434E">
                    <w:pPr>
                      <w:pStyle w:val="13"/>
                      <w:rPr>
                        <w:rStyle w:val="22"/>
                        <w:rFonts w:ascii="仿宋_GB2312" w:eastAsia="仿宋_GB2312"/>
                      </w:rPr>
                    </w:pPr>
                    <w:r>
                      <w:rPr>
                        <w:rStyle w:val="22"/>
                        <w:rFonts w:hint="eastAsia" w:ascii="仿宋_GB2312" w:eastAsia="仿宋_GB2312"/>
                      </w:rPr>
                      <w:fldChar w:fldCharType="begin"/>
                    </w:r>
                    <w:r>
                      <w:rPr>
                        <w:rStyle w:val="22"/>
                        <w:rFonts w:hint="eastAsia" w:ascii="仿宋_GB2312" w:eastAsia="仿宋_GB2312"/>
                      </w:rPr>
                      <w:instrText xml:space="preserve">PAGE  </w:instrText>
                    </w:r>
                    <w:r>
                      <w:rPr>
                        <w:rStyle w:val="22"/>
                        <w:rFonts w:hint="eastAsia" w:ascii="仿宋_GB2312" w:eastAsia="仿宋_GB2312"/>
                      </w:rPr>
                      <w:fldChar w:fldCharType="separate"/>
                    </w:r>
                    <w:r>
                      <w:rPr>
                        <w:rStyle w:val="22"/>
                        <w:rFonts w:hint="eastAsia" w:ascii="仿宋_GB2312" w:eastAsia="仿宋_GB2312"/>
                      </w:rPr>
                      <w:t>67</w:t>
                    </w:r>
                    <w:r>
                      <w:rPr>
                        <w:rStyle w:val="22"/>
                        <w:rFonts w:hint="eastAsia" w:ascii="仿宋_GB2312" w:eastAsia="仿宋_GB2312"/>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1598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F227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185B9"/>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ADACA">
    <w:pPr>
      <w:pStyle w:val="14"/>
      <w:pBdr>
        <w:top w:val="none" w:color="auto" w:sz="0" w:space="0"/>
        <w:left w:val="none" w:color="auto" w:sz="0" w:space="0"/>
        <w:bottom w:val="none" w:color="auto" w:sz="0" w:space="1"/>
        <w:right w:val="none" w:color="auto" w:sz="0" w:space="0"/>
        <w:between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6612B">
    <w:pPr>
      <w:pStyle w:val="1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80F47">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1C9BA4"/>
    <w:multiLevelType w:val="singleLevel"/>
    <w:tmpl w:val="891C9BA4"/>
    <w:lvl w:ilvl="0" w:tentative="0">
      <w:start w:val="1"/>
      <w:numFmt w:val="chineseCounting"/>
      <w:suff w:val="nothing"/>
      <w:lvlText w:val="%1、"/>
      <w:lvlJc w:val="left"/>
      <w:rPr>
        <w:rFonts w:hint="eastAsia"/>
      </w:rPr>
    </w:lvl>
  </w:abstractNum>
  <w:abstractNum w:abstractNumId="1">
    <w:nsid w:val="92B83EA4"/>
    <w:multiLevelType w:val="singleLevel"/>
    <w:tmpl w:val="92B83EA4"/>
    <w:lvl w:ilvl="0" w:tentative="0">
      <w:start w:val="1"/>
      <w:numFmt w:val="chineseCounting"/>
      <w:suff w:val="nothing"/>
      <w:lvlText w:val="%1、"/>
      <w:lvlJc w:val="left"/>
      <w:rPr>
        <w:rFonts w:hint="eastAsia"/>
      </w:rPr>
    </w:lvl>
  </w:abstractNum>
  <w:abstractNum w:abstractNumId="2">
    <w:nsid w:val="00000006"/>
    <w:multiLevelType w:val="singleLevel"/>
    <w:tmpl w:val="00000006"/>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Y0MzQwNDM3NzMyOTAwZGViMTFjZmY0M2U4NTllMzgifQ=="/>
    <w:docVar w:name="KSO_WPS_MARK_KEY" w:val="1ee1cfb0-9732-4c32-a2b3-953fc5492c81"/>
  </w:docVars>
  <w:rsids>
    <w:rsidRoot w:val="00000000"/>
    <w:rsid w:val="03701540"/>
    <w:rsid w:val="03F92894"/>
    <w:rsid w:val="05950355"/>
    <w:rsid w:val="06A5160A"/>
    <w:rsid w:val="08103EC9"/>
    <w:rsid w:val="08AF6E15"/>
    <w:rsid w:val="09102F38"/>
    <w:rsid w:val="0A721553"/>
    <w:rsid w:val="0ADD0EC6"/>
    <w:rsid w:val="0B0E3D93"/>
    <w:rsid w:val="0C0F3D1A"/>
    <w:rsid w:val="0CB802CE"/>
    <w:rsid w:val="0D980B70"/>
    <w:rsid w:val="0DCD1CE3"/>
    <w:rsid w:val="0F1113BF"/>
    <w:rsid w:val="0F857E0D"/>
    <w:rsid w:val="0FCC313E"/>
    <w:rsid w:val="10CA0ED4"/>
    <w:rsid w:val="111B4CDB"/>
    <w:rsid w:val="12140787"/>
    <w:rsid w:val="13476C60"/>
    <w:rsid w:val="142D135B"/>
    <w:rsid w:val="17F6182D"/>
    <w:rsid w:val="18561F16"/>
    <w:rsid w:val="1A007797"/>
    <w:rsid w:val="1A8C1CDF"/>
    <w:rsid w:val="1D340B4D"/>
    <w:rsid w:val="1D561BA1"/>
    <w:rsid w:val="1DDD5FED"/>
    <w:rsid w:val="1DFA67FC"/>
    <w:rsid w:val="1E4C3118"/>
    <w:rsid w:val="1E5B2A9A"/>
    <w:rsid w:val="1F053CF4"/>
    <w:rsid w:val="1F171D31"/>
    <w:rsid w:val="24DE5462"/>
    <w:rsid w:val="252316B0"/>
    <w:rsid w:val="26282E39"/>
    <w:rsid w:val="26296BB1"/>
    <w:rsid w:val="268D2989"/>
    <w:rsid w:val="270D0E39"/>
    <w:rsid w:val="276B398E"/>
    <w:rsid w:val="28127C06"/>
    <w:rsid w:val="28AC5F6D"/>
    <w:rsid w:val="2B5A166A"/>
    <w:rsid w:val="2B8211F5"/>
    <w:rsid w:val="2CF43554"/>
    <w:rsid w:val="2D510703"/>
    <w:rsid w:val="2DC25921"/>
    <w:rsid w:val="2E2741BA"/>
    <w:rsid w:val="2F503401"/>
    <w:rsid w:val="2FAC4ADB"/>
    <w:rsid w:val="303E36F6"/>
    <w:rsid w:val="304940D8"/>
    <w:rsid w:val="30C167DB"/>
    <w:rsid w:val="321150C9"/>
    <w:rsid w:val="32B06690"/>
    <w:rsid w:val="33263FCB"/>
    <w:rsid w:val="347E3D7B"/>
    <w:rsid w:val="35C13D43"/>
    <w:rsid w:val="36161736"/>
    <w:rsid w:val="36434783"/>
    <w:rsid w:val="366D6A2D"/>
    <w:rsid w:val="36794874"/>
    <w:rsid w:val="36DA1DF1"/>
    <w:rsid w:val="36E5586C"/>
    <w:rsid w:val="37416376"/>
    <w:rsid w:val="375335FD"/>
    <w:rsid w:val="3840761B"/>
    <w:rsid w:val="387602DD"/>
    <w:rsid w:val="38767AC6"/>
    <w:rsid w:val="38B0660F"/>
    <w:rsid w:val="38D21E2E"/>
    <w:rsid w:val="38E00D8C"/>
    <w:rsid w:val="39AC09C1"/>
    <w:rsid w:val="3A2E01FB"/>
    <w:rsid w:val="3B914B85"/>
    <w:rsid w:val="3CF204A3"/>
    <w:rsid w:val="3EE9499F"/>
    <w:rsid w:val="40170111"/>
    <w:rsid w:val="405A40DF"/>
    <w:rsid w:val="406E6EF9"/>
    <w:rsid w:val="409A509C"/>
    <w:rsid w:val="411C3F99"/>
    <w:rsid w:val="41240C79"/>
    <w:rsid w:val="420A4299"/>
    <w:rsid w:val="428F069B"/>
    <w:rsid w:val="448A41C7"/>
    <w:rsid w:val="45592659"/>
    <w:rsid w:val="464473C4"/>
    <w:rsid w:val="46EB783F"/>
    <w:rsid w:val="483B5A3C"/>
    <w:rsid w:val="494D196A"/>
    <w:rsid w:val="49D12759"/>
    <w:rsid w:val="4A031344"/>
    <w:rsid w:val="4B326D54"/>
    <w:rsid w:val="4B5628F6"/>
    <w:rsid w:val="4B9F2B15"/>
    <w:rsid w:val="4C3457E4"/>
    <w:rsid w:val="501B01A6"/>
    <w:rsid w:val="50AC638F"/>
    <w:rsid w:val="50E020DB"/>
    <w:rsid w:val="50F11284"/>
    <w:rsid w:val="514E14DA"/>
    <w:rsid w:val="51B0616C"/>
    <w:rsid w:val="528E2290"/>
    <w:rsid w:val="52BF7C2A"/>
    <w:rsid w:val="53AB13E1"/>
    <w:rsid w:val="53BF5C94"/>
    <w:rsid w:val="55AB73EA"/>
    <w:rsid w:val="56120E10"/>
    <w:rsid w:val="562B0503"/>
    <w:rsid w:val="56B751B3"/>
    <w:rsid w:val="5A1153B7"/>
    <w:rsid w:val="5A581E35"/>
    <w:rsid w:val="5B3F4E69"/>
    <w:rsid w:val="5B4D0671"/>
    <w:rsid w:val="5B8439F4"/>
    <w:rsid w:val="5C175C45"/>
    <w:rsid w:val="5DD63BC9"/>
    <w:rsid w:val="5EBD3C1E"/>
    <w:rsid w:val="5F5157B7"/>
    <w:rsid w:val="5F7153CB"/>
    <w:rsid w:val="5F772160"/>
    <w:rsid w:val="5F8F1727"/>
    <w:rsid w:val="60A54AAB"/>
    <w:rsid w:val="613B08AA"/>
    <w:rsid w:val="621E52C5"/>
    <w:rsid w:val="63464323"/>
    <w:rsid w:val="63C464CF"/>
    <w:rsid w:val="642340A6"/>
    <w:rsid w:val="64911D90"/>
    <w:rsid w:val="65283796"/>
    <w:rsid w:val="65D810A8"/>
    <w:rsid w:val="660D1128"/>
    <w:rsid w:val="68626785"/>
    <w:rsid w:val="68C27F38"/>
    <w:rsid w:val="68ED3493"/>
    <w:rsid w:val="69895A3D"/>
    <w:rsid w:val="69E96078"/>
    <w:rsid w:val="6A534AF2"/>
    <w:rsid w:val="6B085834"/>
    <w:rsid w:val="6B8F4146"/>
    <w:rsid w:val="6C7C7FAF"/>
    <w:rsid w:val="6D4E7DB2"/>
    <w:rsid w:val="6E44242A"/>
    <w:rsid w:val="6E872C2D"/>
    <w:rsid w:val="6EA45A26"/>
    <w:rsid w:val="6F101C89"/>
    <w:rsid w:val="6FF849B2"/>
    <w:rsid w:val="704433BB"/>
    <w:rsid w:val="715E6CDC"/>
    <w:rsid w:val="71917360"/>
    <w:rsid w:val="719B7F30"/>
    <w:rsid w:val="71ED0359"/>
    <w:rsid w:val="72F96B8A"/>
    <w:rsid w:val="74C46025"/>
    <w:rsid w:val="74E92D60"/>
    <w:rsid w:val="75141839"/>
    <w:rsid w:val="75A01819"/>
    <w:rsid w:val="77D577B5"/>
    <w:rsid w:val="791C321B"/>
    <w:rsid w:val="79802F91"/>
    <w:rsid w:val="7A725F9F"/>
    <w:rsid w:val="7B0A2743"/>
    <w:rsid w:val="7B655F79"/>
    <w:rsid w:val="7BB85107"/>
    <w:rsid w:val="7C3748BC"/>
    <w:rsid w:val="7C6C79C2"/>
    <w:rsid w:val="7C824B04"/>
    <w:rsid w:val="7C9F643B"/>
    <w:rsid w:val="7F4A5C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4"/>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6"/>
    <w:qFormat/>
    <w:uiPriority w:val="0"/>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0"/>
    <w:pPr>
      <w:keepNext/>
      <w:keepLines/>
      <w:spacing w:before="280" w:after="290" w:line="372" w:lineRule="auto"/>
      <w:outlineLvl w:val="3"/>
    </w:pPr>
    <w:rPr>
      <w:rFonts w:ascii="Arial" w:hAnsi="Arial" w:eastAsia="黑体"/>
      <w:b/>
      <w:sz w:val="28"/>
    </w:rPr>
  </w:style>
  <w:style w:type="paragraph" w:styleId="6">
    <w:name w:val="heading 5"/>
    <w:basedOn w:val="1"/>
    <w:next w:val="1"/>
    <w:semiHidden/>
    <w:unhideWhenUsed/>
    <w:qFormat/>
    <w:uiPriority w:val="0"/>
    <w:pPr>
      <w:keepNext/>
      <w:keepLines/>
      <w:spacing w:before="280" w:after="290" w:line="372" w:lineRule="auto"/>
      <w:outlineLvl w:val="4"/>
    </w:pPr>
    <w:rPr>
      <w:b/>
      <w:sz w:val="28"/>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7">
    <w:name w:val="annotation text"/>
    <w:basedOn w:val="1"/>
    <w:qFormat/>
    <w:uiPriority w:val="0"/>
    <w:pPr>
      <w:jc w:val="left"/>
    </w:pPr>
  </w:style>
  <w:style w:type="paragraph" w:styleId="8">
    <w:name w:val="Body Text"/>
    <w:basedOn w:val="9"/>
    <w:next w:val="10"/>
    <w:qFormat/>
    <w:uiPriority w:val="0"/>
    <w:pPr>
      <w:spacing w:after="120"/>
    </w:pPr>
  </w:style>
  <w:style w:type="paragraph" w:customStyle="1" w:styleId="9">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styleId="11">
    <w:name w:val="toc 3"/>
    <w:basedOn w:val="1"/>
    <w:next w:val="1"/>
    <w:autoRedefine/>
    <w:qFormat/>
    <w:uiPriority w:val="0"/>
    <w:pPr>
      <w:ind w:left="480"/>
    </w:pPr>
  </w:style>
  <w:style w:type="paragraph" w:styleId="12">
    <w:name w:val="Plain Text"/>
    <w:basedOn w:val="1"/>
    <w:link w:val="28"/>
    <w:qFormat/>
    <w:uiPriority w:val="99"/>
    <w:pPr>
      <w:spacing w:line="305" w:lineRule="auto"/>
      <w:ind w:firstLine="420"/>
    </w:pPr>
    <w:rPr>
      <w:rFonts w:ascii="宋体" w:hAnsi="Courier New" w:cs="Courier New"/>
      <w:szCs w:val="21"/>
    </w:rPr>
  </w:style>
  <w:style w:type="paragraph" w:styleId="13">
    <w:name w:val="footer"/>
    <w:basedOn w:val="1"/>
    <w:qFormat/>
    <w:uiPriority w:val="99"/>
    <w:pPr>
      <w:tabs>
        <w:tab w:val="center" w:pos="4153"/>
        <w:tab w:val="right" w:pos="8306"/>
      </w:tabs>
      <w:snapToGrid w:val="0"/>
      <w:jc w:val="left"/>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autoRedefine/>
    <w:qFormat/>
    <w:uiPriority w:val="0"/>
  </w:style>
  <w:style w:type="paragraph" w:styleId="16">
    <w:name w:val="toc 4"/>
    <w:basedOn w:val="1"/>
    <w:next w:val="1"/>
    <w:qFormat/>
    <w:uiPriority w:val="0"/>
    <w:pPr>
      <w:tabs>
        <w:tab w:val="right" w:leader="dot" w:pos="8302"/>
      </w:tabs>
      <w:spacing w:line="360" w:lineRule="auto"/>
      <w:ind w:left="540"/>
    </w:pPr>
  </w:style>
  <w:style w:type="paragraph" w:styleId="17">
    <w:name w:val="toc 2"/>
    <w:basedOn w:val="1"/>
    <w:next w:val="1"/>
    <w:autoRedefine/>
    <w:qFormat/>
    <w:uiPriority w:val="0"/>
    <w:pPr>
      <w:ind w:left="240"/>
    </w:pPr>
  </w:style>
  <w:style w:type="table" w:styleId="19">
    <w:name w:val="Table Grid"/>
    <w:basedOn w:val="18"/>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page number"/>
    <w:basedOn w:val="20"/>
    <w:qFormat/>
    <w:uiPriority w:val="0"/>
  </w:style>
  <w:style w:type="character" w:styleId="23">
    <w:name w:val="Hyperlink"/>
    <w:basedOn w:val="20"/>
    <w:qFormat/>
    <w:uiPriority w:val="0"/>
    <w:rPr>
      <w:color w:val="0000FF"/>
      <w:u w:val="single"/>
    </w:rPr>
  </w:style>
  <w:style w:type="character" w:customStyle="1" w:styleId="24">
    <w:name w:val="标题 2 字符"/>
    <w:link w:val="3"/>
    <w:qFormat/>
    <w:uiPriority w:val="0"/>
    <w:rPr>
      <w:rFonts w:ascii="Arial" w:hAnsi="Arial" w:eastAsia="黑体" w:cs="Times New Roman"/>
      <w:b/>
      <w:bCs/>
      <w:kern w:val="2"/>
      <w:sz w:val="32"/>
      <w:szCs w:val="32"/>
      <w:lang w:eastAsia="zh-CN"/>
    </w:rPr>
  </w:style>
  <w:style w:type="paragraph" w:customStyle="1" w:styleId="25">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character" w:customStyle="1" w:styleId="26">
    <w:name w:val="标题 3 字符"/>
    <w:link w:val="4"/>
    <w:qFormat/>
    <w:uiPriority w:val="0"/>
    <w:rPr>
      <w:rFonts w:ascii="Times New Roman" w:hAnsi="Times New Roman" w:eastAsia="宋体" w:cs="Times New Roman"/>
      <w:b/>
      <w:bCs/>
      <w:kern w:val="2"/>
      <w:sz w:val="32"/>
      <w:szCs w:val="32"/>
      <w:lang w:eastAsia="zh-CN"/>
    </w:rPr>
  </w:style>
  <w:style w:type="paragraph" w:customStyle="1" w:styleId="27">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character" w:customStyle="1" w:styleId="28">
    <w:name w:val="纯文本 字符"/>
    <w:link w:val="12"/>
    <w:qFormat/>
    <w:uiPriority w:val="0"/>
    <w:rPr>
      <w:rFonts w:ascii="宋体" w:hAnsi="Courier New" w:eastAsia="宋体" w:cs="Courier New"/>
      <w:kern w:val="2"/>
      <w:sz w:val="21"/>
      <w:szCs w:val="21"/>
      <w:lang w:eastAsia="zh-CN"/>
    </w:rPr>
  </w:style>
  <w:style w:type="paragraph" w:styleId="29">
    <w:name w:val="List Paragraph"/>
    <w:basedOn w:val="1"/>
    <w:autoRedefine/>
    <w:qFormat/>
    <w:uiPriority w:val="34"/>
    <w:pPr>
      <w:ind w:firstLine="420"/>
    </w:pPr>
  </w:style>
  <w:style w:type="paragraph" w:customStyle="1" w:styleId="30">
    <w:name w:val="_Style 418"/>
    <w:basedOn w:val="1"/>
    <w:next w:val="29"/>
    <w:autoRedefine/>
    <w:qFormat/>
    <w:uiPriority w:val="34"/>
    <w:pPr>
      <w:ind w:firstLine="420"/>
    </w:pPr>
  </w:style>
  <w:style w:type="paragraph" w:customStyle="1" w:styleId="31">
    <w:name w:val="_Style 420"/>
    <w:basedOn w:val="1"/>
    <w:next w:val="29"/>
    <w:autoRedefine/>
    <w:qFormat/>
    <w:uiPriority w:val="34"/>
    <w:pPr>
      <w:ind w:firstLine="420"/>
    </w:pPr>
  </w:style>
  <w:style w:type="paragraph" w:customStyle="1" w:styleId="32">
    <w:name w:val="_Style 421"/>
    <w:basedOn w:val="1"/>
    <w:next w:val="29"/>
    <w:autoRedefine/>
    <w:qFormat/>
    <w:uiPriority w:val="34"/>
    <w:pPr>
      <w:ind w:firstLine="420"/>
    </w:pPr>
  </w:style>
  <w:style w:type="paragraph" w:customStyle="1" w:styleId="33">
    <w:name w:val="三级正文"/>
    <w:basedOn w:val="1"/>
    <w:autoRedefine/>
    <w:qFormat/>
    <w:uiPriority w:val="0"/>
    <w:pPr>
      <w:spacing w:line="360" w:lineRule="auto"/>
      <w:ind w:left="630" w:leftChars="300" w:firstLine="560"/>
    </w:pPr>
    <w:rPr>
      <w:rFonts w:ascii="仿宋_GB2312" w:eastAsia="仿宋_GB2312"/>
      <w:kern w:val="0"/>
      <w:sz w:val="28"/>
      <w:szCs w:val="28"/>
    </w:rPr>
  </w:style>
  <w:style w:type="paragraph" w:customStyle="1" w:styleId="34">
    <w:name w:val="4级正文"/>
    <w:basedOn w:val="33"/>
    <w:autoRedefine/>
    <w:qFormat/>
    <w:uiPriority w:val="0"/>
    <w:pPr>
      <w:ind w:left="686" w:leftChars="312" w:right="190" w:firstLine="0"/>
    </w:pPr>
    <w:rPr>
      <w:rFonts w:ascii="仿宋" w:hAnsi="仿宋" w:eastAsia="仿宋" w:cs="仿宋"/>
      <w:spacing w:val="1"/>
    </w:rPr>
  </w:style>
  <w:style w:type="paragraph" w:customStyle="1" w:styleId="35">
    <w:name w:val="_Style 423"/>
    <w:basedOn w:val="1"/>
    <w:next w:val="29"/>
    <w:autoRedefine/>
    <w:qFormat/>
    <w:uiPriority w:val="34"/>
    <w:pPr>
      <w:ind w:firstLine="420"/>
    </w:pPr>
  </w:style>
  <w:style w:type="paragraph" w:customStyle="1" w:styleId="36">
    <w:name w:val="_Style 424"/>
    <w:basedOn w:val="1"/>
    <w:next w:val="29"/>
    <w:autoRedefine/>
    <w:qFormat/>
    <w:uiPriority w:val="34"/>
    <w:pPr>
      <w:ind w:firstLine="420"/>
    </w:pPr>
  </w:style>
  <w:style w:type="table" w:customStyle="1" w:styleId="37">
    <w:name w:val="网格型4"/>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8">
    <w:name w:val="3级正文"/>
    <w:basedOn w:val="1"/>
    <w:autoRedefine/>
    <w:qFormat/>
    <w:uiPriority w:val="0"/>
    <w:pPr>
      <w:spacing w:line="360" w:lineRule="auto"/>
      <w:ind w:left="405" w:leftChars="184" w:right="-20"/>
    </w:pPr>
    <w:rPr>
      <w:rFonts w:ascii="仿宋" w:hAnsi="仿宋" w:eastAsia="仿宋" w:cs="仿宋"/>
      <w:spacing w:val="-1"/>
      <w:kern w:val="0"/>
      <w:sz w:val="28"/>
      <w:szCs w:val="28"/>
    </w:rPr>
  </w:style>
  <w:style w:type="table" w:customStyle="1" w:styleId="39">
    <w:name w:val="网格型5"/>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0">
    <w:name w:val="table-c"/>
    <w:qFormat/>
    <w:uiPriority w:val="0"/>
  </w:style>
  <w:style w:type="paragraph" w:customStyle="1" w:styleId="41">
    <w:name w:val="Table Paragraph"/>
    <w:basedOn w:val="1"/>
    <w:qFormat/>
    <w:uiPriority w:val="1"/>
    <w:rPr>
      <w:rFonts w:ascii="宋体" w:hAnsi="宋体" w:eastAsia="宋体" w:cs="宋体"/>
      <w:lang w:val="en-US" w:eastAsia="zh-CN" w:bidi="ar-SA"/>
    </w:rPr>
  </w:style>
  <w:style w:type="paragraph" w:customStyle="1" w:styleId="42">
    <w:name w:val="Normal_26"/>
    <w:qFormat/>
    <w:uiPriority w:val="0"/>
    <w:rPr>
      <w:rFonts w:ascii="Times New Roman" w:hAnsi="Times New Roman" w:eastAsia="Times New Roman" w:cs="Times New Roman"/>
      <w:sz w:val="24"/>
      <w:szCs w:val="24"/>
    </w:rPr>
  </w:style>
  <w:style w:type="paragraph" w:customStyle="1" w:styleId="43">
    <w:name w:val="纯文本_0"/>
    <w:basedOn w:val="44"/>
    <w:qFormat/>
    <w:uiPriority w:val="0"/>
    <w:rPr>
      <w:rFonts w:ascii="宋体" w:hAnsi="Courier New" w:eastAsia="宋体"/>
      <w:szCs w:val="21"/>
    </w:rPr>
  </w:style>
  <w:style w:type="paragraph" w:customStyle="1" w:styleId="44">
    <w:name w:val="正文_17"/>
    <w:next w:val="45"/>
    <w:qFormat/>
    <w:uiPriority w:val="0"/>
    <w:pPr>
      <w:widowControl w:val="0"/>
      <w:jc w:val="both"/>
    </w:pPr>
    <w:rPr>
      <w:rFonts w:ascii="Calibri" w:hAnsi="Calibri" w:eastAsia="宋体" w:cs="Times New Roman"/>
      <w:kern w:val="2"/>
      <w:sz w:val="21"/>
      <w:szCs w:val="22"/>
      <w:lang w:val="en-US" w:eastAsia="zh-CN" w:bidi="ar-SA"/>
    </w:rPr>
  </w:style>
  <w:style w:type="paragraph" w:customStyle="1" w:styleId="45">
    <w:name w:val="正文文本_1"/>
    <w:basedOn w:val="44"/>
    <w:next w:val="46"/>
    <w:qFormat/>
    <w:uiPriority w:val="0"/>
    <w:pPr>
      <w:spacing w:after="120"/>
    </w:pPr>
    <w:rPr>
      <w:rFonts w:ascii="Calibri" w:hAnsi="Calibri" w:eastAsia="宋体"/>
    </w:rPr>
  </w:style>
  <w:style w:type="paragraph" w:customStyle="1" w:styleId="46">
    <w:name w:val="正文缩进_1"/>
    <w:basedOn w:val="44"/>
    <w:next w:val="44"/>
    <w:unhideWhenUsed/>
    <w:qFormat/>
    <w:uiPriority w:val="99"/>
    <w:pPr>
      <w:ind w:firstLine="420" w:firstLineChars="200"/>
    </w:pPr>
    <w:rPr>
      <w:rFonts w:ascii="Calibri" w:hAnsi="Calibri" w:eastAsia="宋体" w:cs="Times New Roman"/>
    </w:rPr>
  </w:style>
  <w:style w:type="paragraph" w:customStyle="1" w:styleId="47">
    <w:name w:val="Normal_27"/>
    <w:qFormat/>
    <w:uiPriority w:val="0"/>
    <w:rPr>
      <w:rFonts w:ascii="Times New Roman" w:hAnsi="Times New Roman" w:eastAsia="Times New Roman" w:cs="Times New Roman"/>
      <w:sz w:val="24"/>
      <w:szCs w:val="24"/>
    </w:rPr>
  </w:style>
  <w:style w:type="paragraph" w:customStyle="1" w:styleId="48">
    <w:name w:val="纯文本_0_0"/>
    <w:basedOn w:val="49"/>
    <w:qFormat/>
    <w:uiPriority w:val="0"/>
    <w:rPr>
      <w:rFonts w:ascii="宋体" w:hAnsi="Courier New" w:eastAsia="宋体"/>
      <w:szCs w:val="21"/>
    </w:rPr>
  </w:style>
  <w:style w:type="paragraph" w:customStyle="1" w:styleId="49">
    <w:name w:val="正文_18"/>
    <w:next w:val="5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
    <w:name w:val="正文文本_0_0"/>
    <w:basedOn w:val="49"/>
    <w:next w:val="51"/>
    <w:qFormat/>
    <w:uiPriority w:val="0"/>
    <w:pPr>
      <w:spacing w:after="120"/>
    </w:pPr>
  </w:style>
  <w:style w:type="paragraph" w:customStyle="1" w:styleId="51">
    <w:name w:val="正文缩进_0_0"/>
    <w:basedOn w:val="49"/>
    <w:next w:val="49"/>
    <w:unhideWhenUsed/>
    <w:qFormat/>
    <w:uiPriority w:val="99"/>
    <w:pPr>
      <w:ind w:firstLine="420" w:firstLineChars="200"/>
    </w:pPr>
    <w:rPr>
      <w:rFonts w:ascii="Calibri" w:hAnsi="Calibri" w:eastAsia="宋体" w:cs="Times New Roman"/>
    </w:rPr>
  </w:style>
  <w:style w:type="paragraph" w:customStyle="1" w:styleId="52">
    <w:name w:val="Normal_24_0"/>
    <w:qFormat/>
    <w:uiPriority w:val="0"/>
    <w:rPr>
      <w:rFonts w:ascii="Times New Roman" w:hAnsi="Times New Roman" w:eastAsia="Times New Roman" w:cs="Times New Roman"/>
      <w:sz w:val="24"/>
      <w:szCs w:val="24"/>
    </w:rPr>
  </w:style>
  <w:style w:type="paragraph" w:customStyle="1" w:styleId="53">
    <w:name w:val="_Style 7"/>
    <w:basedOn w:val="2"/>
    <w:next w:val="1"/>
    <w:qFormat/>
    <w:uiPriority w:val="0"/>
    <w:pPr>
      <w:outlineLvl w:val="9"/>
    </w:pPr>
  </w:style>
  <w:style w:type="paragraph" w:customStyle="1" w:styleId="54">
    <w:name w:val="Normal_0"/>
    <w:qFormat/>
    <w:uiPriority w:val="0"/>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1.xml"/><Relationship Id="rId8" Type="http://schemas.openxmlformats.org/officeDocument/2006/relationships/footer" Target="footer6.xml"/><Relationship Id="rId76" Type="http://schemas.openxmlformats.org/officeDocument/2006/relationships/fontTable" Target="fontTable.xml"/><Relationship Id="rId75" Type="http://schemas.openxmlformats.org/officeDocument/2006/relationships/customXml" Target="../customXml/item2.xml"/><Relationship Id="rId74" Type="http://schemas.openxmlformats.org/officeDocument/2006/relationships/numbering" Target="numbering.xml"/><Relationship Id="rId73" Type="http://schemas.openxmlformats.org/officeDocument/2006/relationships/customXml" Target="../customXml/item1.xml"/><Relationship Id="rId72" Type="http://schemas.openxmlformats.org/officeDocument/2006/relationships/image" Target="media/image7.png"/><Relationship Id="rId71" Type="http://schemas.openxmlformats.org/officeDocument/2006/relationships/image" Target="media/image6.png"/><Relationship Id="rId70" Type="http://schemas.openxmlformats.org/officeDocument/2006/relationships/image" Target="media/image5.wmf"/><Relationship Id="rId7" Type="http://schemas.openxmlformats.org/officeDocument/2006/relationships/footer" Target="footer5.xml"/><Relationship Id="rId69" Type="http://schemas.openxmlformats.org/officeDocument/2006/relationships/oleObject" Target="embeddings/oleObject5.bin"/><Relationship Id="rId68" Type="http://schemas.openxmlformats.org/officeDocument/2006/relationships/image" Target="media/image4.wmf"/><Relationship Id="rId67" Type="http://schemas.openxmlformats.org/officeDocument/2006/relationships/oleObject" Target="embeddings/oleObject4.bin"/><Relationship Id="rId66" Type="http://schemas.openxmlformats.org/officeDocument/2006/relationships/image" Target="media/image3.wmf"/><Relationship Id="rId65" Type="http://schemas.openxmlformats.org/officeDocument/2006/relationships/oleObject" Target="embeddings/oleObject3.bin"/><Relationship Id="rId64" Type="http://schemas.openxmlformats.org/officeDocument/2006/relationships/image" Target="media/image2.wmf"/><Relationship Id="rId63" Type="http://schemas.openxmlformats.org/officeDocument/2006/relationships/oleObject" Target="embeddings/oleObject2.bin"/><Relationship Id="rId62" Type="http://schemas.openxmlformats.org/officeDocument/2006/relationships/image" Target="media/image1.wmf"/><Relationship Id="rId61" Type="http://schemas.openxmlformats.org/officeDocument/2006/relationships/oleObject" Target="embeddings/oleObject1.bin"/><Relationship Id="rId60" Type="http://schemas.openxmlformats.org/officeDocument/2006/relationships/theme" Target="theme/theme1.xml"/><Relationship Id="rId6" Type="http://schemas.openxmlformats.org/officeDocument/2006/relationships/footer" Target="footer4.xml"/><Relationship Id="rId59" Type="http://schemas.openxmlformats.org/officeDocument/2006/relationships/footer" Target="footer51.xml"/><Relationship Id="rId58" Type="http://schemas.openxmlformats.org/officeDocument/2006/relationships/footer" Target="footer50.xml"/><Relationship Id="rId57" Type="http://schemas.openxmlformats.org/officeDocument/2006/relationships/footer" Target="footer49.xml"/><Relationship Id="rId56" Type="http://schemas.openxmlformats.org/officeDocument/2006/relationships/header" Target="header6.xml"/><Relationship Id="rId55" Type="http://schemas.openxmlformats.org/officeDocument/2006/relationships/footer" Target="footer48.xml"/><Relationship Id="rId54" Type="http://schemas.openxmlformats.org/officeDocument/2006/relationships/footer" Target="footer47.xml"/><Relationship Id="rId53" Type="http://schemas.openxmlformats.org/officeDocument/2006/relationships/footer" Target="footer46.xml"/><Relationship Id="rId52" Type="http://schemas.openxmlformats.org/officeDocument/2006/relationships/footer" Target="footer45.xml"/><Relationship Id="rId51" Type="http://schemas.openxmlformats.org/officeDocument/2006/relationships/footer" Target="footer44.xml"/><Relationship Id="rId50" Type="http://schemas.openxmlformats.org/officeDocument/2006/relationships/footer" Target="footer43.xml"/><Relationship Id="rId5" Type="http://schemas.openxmlformats.org/officeDocument/2006/relationships/footer" Target="footer3.xml"/><Relationship Id="rId49" Type="http://schemas.openxmlformats.org/officeDocument/2006/relationships/footer" Target="footer42.xml"/><Relationship Id="rId48" Type="http://schemas.openxmlformats.org/officeDocument/2006/relationships/footer" Target="footer41.xml"/><Relationship Id="rId47" Type="http://schemas.openxmlformats.org/officeDocument/2006/relationships/footer" Target="footer40.xml"/><Relationship Id="rId46" Type="http://schemas.openxmlformats.org/officeDocument/2006/relationships/footer" Target="footer39.xml"/><Relationship Id="rId45" Type="http://schemas.openxmlformats.org/officeDocument/2006/relationships/footer" Target="footer38.xml"/><Relationship Id="rId44" Type="http://schemas.openxmlformats.org/officeDocument/2006/relationships/footer" Target="footer37.xml"/><Relationship Id="rId43" Type="http://schemas.openxmlformats.org/officeDocument/2006/relationships/footer" Target="footer36.xml"/><Relationship Id="rId42" Type="http://schemas.openxmlformats.org/officeDocument/2006/relationships/footer" Target="footer35.xml"/><Relationship Id="rId41" Type="http://schemas.openxmlformats.org/officeDocument/2006/relationships/footer" Target="footer34.xml"/><Relationship Id="rId40" Type="http://schemas.openxmlformats.org/officeDocument/2006/relationships/footer" Target="footer33.xml"/><Relationship Id="rId4" Type="http://schemas.openxmlformats.org/officeDocument/2006/relationships/footer" Target="footer2.xml"/><Relationship Id="rId39" Type="http://schemas.openxmlformats.org/officeDocument/2006/relationships/footer" Target="footer32.xml"/><Relationship Id="rId38" Type="http://schemas.openxmlformats.org/officeDocument/2006/relationships/footer" Target="footer31.xml"/><Relationship Id="rId37" Type="http://schemas.openxmlformats.org/officeDocument/2006/relationships/footer" Target="footer30.xml"/><Relationship Id="rId36" Type="http://schemas.openxmlformats.org/officeDocument/2006/relationships/header" Target="header5.xml"/><Relationship Id="rId35" Type="http://schemas.openxmlformats.org/officeDocument/2006/relationships/footer" Target="footer29.xml"/><Relationship Id="rId34" Type="http://schemas.openxmlformats.org/officeDocument/2006/relationships/footer" Target="footer28.xml"/><Relationship Id="rId33" Type="http://schemas.openxmlformats.org/officeDocument/2006/relationships/footer" Target="footer27.xml"/><Relationship Id="rId32" Type="http://schemas.openxmlformats.org/officeDocument/2006/relationships/footer" Target="footer26.xml"/><Relationship Id="rId31" Type="http://schemas.openxmlformats.org/officeDocument/2006/relationships/footer" Target="footer25.xml"/><Relationship Id="rId30" Type="http://schemas.openxmlformats.org/officeDocument/2006/relationships/footer" Target="footer24.xml"/><Relationship Id="rId3" Type="http://schemas.openxmlformats.org/officeDocument/2006/relationships/footer" Target="footer1.xml"/><Relationship Id="rId29" Type="http://schemas.openxmlformats.org/officeDocument/2006/relationships/footer" Target="footer23.xml"/><Relationship Id="rId28" Type="http://schemas.openxmlformats.org/officeDocument/2006/relationships/footer" Target="footer22.xml"/><Relationship Id="rId27" Type="http://schemas.openxmlformats.org/officeDocument/2006/relationships/footer" Target="footer21.xml"/><Relationship Id="rId26" Type="http://schemas.openxmlformats.org/officeDocument/2006/relationships/footer" Target="footer20.xml"/><Relationship Id="rId25" Type="http://schemas.openxmlformats.org/officeDocument/2006/relationships/footer" Target="footer19.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header" Target="header4.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header" Target="header3.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header" Target="header2.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f7067aee-4e04-40ae-aec6-883ef5956e8a</errorID>
      <errorWord>/)</errorWord>
      <group>L1_Punc</group>
      <groupName>标点问题</groupName>
      <ability>L2_Punc</ability>
      <abilityName>标点符号检查</abilityName>
      <candidateList>
        <item>)</item>
      </candidateList>
      <explain/>
      <paraID>22799538</paraID>
      <start>71</start>
      <end>73</end>
      <status>ignored</status>
      <modifiedWord/>
      <trackRevisions>false</trackRevisions>
    </reviewItem>
    <reviewItem>
      <errorID>42ead475-05b6-44fb-bdbd-3074f37df284</errorID>
      <errorWord>/)</errorWord>
      <group>L1_Punc</group>
      <groupName>标点问题</groupName>
      <ability>L2_Punc</ability>
      <abilityName>标点符号检查</abilityName>
      <candidateList>
        <item>)</item>
      </candidateList>
      <explain/>
      <paraID>469F27DA</paraID>
      <start>57</start>
      <end>59</end>
      <status>ignored</status>
      <modifiedWord/>
      <trackRevisions>false</trackRevisions>
    </reviewItem>
    <reviewItem>
      <errorID>1173c206-ea0d-4a88-97fd-1f5d10ab0740</errorID>
      <errorWord>：/</errorWord>
      <group>L1_Punc</group>
      <groupName>标点问题</groupName>
      <ability>L2_Punc</ability>
      <abilityName>标点符号检查</abilityName>
      <candidateList>
        <item>：</item>
      </candidateList>
      <explain/>
      <paraID>1F2ABA41</paraID>
      <start>20</start>
      <end>22</end>
      <status>ignored</status>
      <modifiedWord/>
      <trackRevisions>false</trackRevisions>
    </reviewItem>
    <reviewItem>
      <errorID>52e55c59-6c87-427f-90a8-e2c8adfc1475</errorID>
      <errorWord>：/</errorWord>
      <group>L1_Punc</group>
      <groupName>标点问题</groupName>
      <ability>L2_Punc</ability>
      <abilityName>标点符号检查</abilityName>
      <candidateList>
        <item>：</item>
      </candidateList>
      <explain/>
      <paraID> 6A7627F</paraID>
      <start>4</start>
      <end>6</end>
      <status>ignored</status>
      <modifiedWord/>
      <trackRevisions>false</trackRevisions>
    </reviewItem>
    <reviewItem>
      <errorID>b1050650-2f01-4740-b9c6-6ae78c8a19f3</errorID>
      <errorWord>：/</errorWord>
      <group>L1_Punc</group>
      <groupName>标点问题</groupName>
      <ability>L2_Punc</ability>
      <abilityName>标点符号检查</abilityName>
      <candidateList>
        <item>：</item>
      </candidateList>
      <explain/>
      <paraID> 2C46F53</paraID>
      <start>4</start>
      <end>6</end>
      <status>ignored</status>
      <modifiedWord/>
      <trackRevisions>false</trackRevisions>
    </reviewItem>
    <reviewItem>
      <errorID>1191a929-5111-462b-ba01-8bc75c9d77b2</errorID>
      <errorWord>：/</errorWord>
      <group>L1_Punc</group>
      <groupName>标点问题</groupName>
      <ability>L2_Punc</ability>
      <abilityName>标点符号检查</abilityName>
      <candidateList>
        <item>：</item>
      </candidateList>
      <explain/>
      <paraID>6D69A09D</paraID>
      <start>12</start>
      <end>14</end>
      <status>ignored</status>
      <modifiedWord/>
      <trackRevisions>false</trackRevisions>
    </reviewItem>
    <reviewItem>
      <errorID>14c806d3-5efd-4da1-9ab8-116d7084eb6c</errorID>
      <errorWord>：/</errorWord>
      <group>L1_Punc</group>
      <groupName>标点问题</groupName>
      <ability>L2_Punc</ability>
      <abilityName>标点符号检查</abilityName>
      <candidateList>
        <item>：</item>
      </candidateList>
      <explain/>
      <paraID>5D7252CD</paraID>
      <start>11</start>
      <end>13</end>
      <status>ignored</status>
      <modifiedWord/>
      <trackRevisions>false</trackRevisions>
    </reviewItem>
    <reviewItem>
      <errorID>2a9ee41d-29b2-42d0-832a-8b1bc41c9445</errorID>
      <errorWord>：/</errorWord>
      <group>L1_Punc</group>
      <groupName>标点问题</groupName>
      <ability>L2_Punc</ability>
      <abilityName>标点符号检查</abilityName>
      <candidateList>
        <item>：</item>
      </candidateList>
      <explain/>
      <paraID>7E04313E</paraID>
      <start>10</start>
      <end>12</end>
      <status>ignored</status>
      <modifiedWord/>
      <trackRevisions>false</trackRevisions>
    </reviewItem>
    <reviewItem>
      <errorID>a56e304f-f07b-49e3-b361-5ebe863d7492</errorID>
      <errorWord>：/</errorWord>
      <group>L1_Punc</group>
      <groupName>标点问题</groupName>
      <ability>L2_Punc</ability>
      <abilityName>标点符号检查</abilityName>
      <candidateList>
        <item>：</item>
      </candidateList>
      <explain/>
      <paraID>248BBC2B</paraID>
      <start>4</start>
      <end>6</end>
      <status>ignored</status>
      <modifiedWord/>
      <trackRevisions>false</trackRevisions>
    </reviewItem>
    <reviewItem>
      <errorID>46c5b525-3266-49b6-ab3b-38ec48d0e9dc</errorID>
      <errorWord>：/</errorWord>
      <group>L1_Punc</group>
      <groupName>标点问题</groupName>
      <ability>L2_Punc</ability>
      <abilityName>标点符号检查</abilityName>
      <candidateList>
        <item>：</item>
      </candidateList>
      <explain/>
      <paraID> 44B27A5</paraID>
      <start>8</start>
      <end>10</end>
      <status>ignored</status>
      <modifiedWord/>
      <trackRevisions>false</trackRevisions>
    </reviewItem>
    <reviewItem>
      <errorID>8b1c14e0-2da1-41e9-a1af-5487dc13ec5c</errorID>
      <errorWord>：/</errorWord>
      <group>L1_Punc</group>
      <groupName>标点问题</groupName>
      <ability>L2_Punc</ability>
      <abilityName>标点符号检查</abilityName>
      <candidateList>
        <item>：</item>
      </candidateList>
      <explain/>
      <paraID>1F03204A</paraID>
      <start>4</start>
      <end>6</end>
      <status>ignored</status>
      <modifiedWord/>
      <trackRevisions>false</trackRevisions>
    </reviewItem>
    <reviewItem>
      <errorID>9ca8ea1b-9a01-4c57-a699-fac1fdad7120</errorID>
      <errorWord>：/</errorWord>
      <group>L1_Punc</group>
      <groupName>标点问题</groupName>
      <ability>L2_Punc</ability>
      <abilityName>标点符号检查</abilityName>
      <candidateList>
        <item>：</item>
      </candidateList>
      <explain/>
      <paraID>3DF460CB</paraID>
      <start>8</start>
      <end>10</end>
      <status>ignored</status>
      <modifiedWord/>
      <trackRevisions>false</trackRevisions>
    </reviewItem>
    <reviewItem>
      <errorID>2500a154-c149-4abb-b8cb-166695afeb22</errorID>
      <errorWord>：/</errorWord>
      <group>L1_Punc</group>
      <groupName>标点问题</groupName>
      <ability>L2_Punc</ability>
      <abilityName>标点符号检查</abilityName>
      <candidateList>
        <item>：</item>
      </candidateList>
      <explain/>
      <paraID>616FD3F0</paraID>
      <start>6</start>
      <end>8</end>
      <status>ignored</status>
      <modifiedWord/>
      <trackRevisions>false</trackRevisions>
    </reviewItem>
    <reviewItem>
      <errorID>a184ad9c-a022-401e-a52e-74de62ce8067</errorID>
      <errorWord>：/</errorWord>
      <group>L1_Punc</group>
      <groupName>标点问题</groupName>
      <ability>L2_Punc</ability>
      <abilityName>标点符号检查</abilityName>
      <candidateList>
        <item>：</item>
      </candidateList>
      <explain/>
      <paraID>1702FEF7</paraID>
      <start>4</start>
      <end>6</end>
      <status>ignored</status>
      <modifiedWord/>
      <trackRevisions>false</trackRevisions>
    </reviewItem>
    <reviewItem>
      <errorID>f126b47e-037f-41ca-bf46-718582ffc47b</errorID>
      <errorWord>：/</errorWord>
      <group>L1_Punc</group>
      <groupName>标点问题</groupName>
      <ability>L2_Punc</ability>
      <abilityName>标点符号检查</abilityName>
      <candidateList>
        <item>：</item>
      </candidateList>
      <explain/>
      <paraID>38C09F43</paraID>
      <start>4</start>
      <end>6</end>
      <status>ignored</status>
      <modifiedWord/>
      <trackRevisions>false</trackRevisions>
    </reviewItem>
    <reviewItem>
      <errorID>c0564afd-0154-44c3-847a-9be66ced7ad6</errorID>
      <errorWord>年</errorWord>
      <group>L1_Word</group>
      <groupName>字词问题</groupName>
      <ability>L2_Typo</ability>
      <abilityName>字词错误</abilityName>
      <candidateList>
        <item>年来</item>
      </candidateList>
      <explain/>
      <paraID>4C202F72</paraID>
      <start>3</start>
      <end>4</end>
      <status>ignored</status>
      <modifiedWord/>
      <trackRevisions>false</trackRevisions>
    </reviewItem>
    <reviewItem>
      <errorID>13068e64-6dac-44f4-b74d-0acfe66674b3</errorID>
      <errorWord>年</errorWord>
      <group>L1_Word</group>
      <groupName>字词问题</groupName>
      <ability>L2_Typo</ability>
      <abilityName>字词错误</abilityName>
      <candidateList>
        <item>年来</item>
      </candidateList>
      <explain/>
      <paraID>77593E69</paraID>
      <start>6</start>
      <end>7</end>
      <status>ignored</status>
      <modifiedWord/>
      <trackRevisions>false</trackRevisions>
    </reviewItem>
    <reviewItem>
      <errorID>71af4b59-6518-481d-950d-d83822a9545d</errorID>
      <errorWord>年</errorWord>
      <group>L1_Word</group>
      <groupName>字词问题</groupName>
      <ability>L2_Typo</ability>
      <abilityName>字词错误</abilityName>
      <candidateList>
        <item>年来</item>
      </candidateList>
      <explain/>
      <paraID>3E8F9BB6</paraID>
      <start>5</start>
      <end>6</end>
      <status>ignored</status>
      <modifiedWord/>
      <trackRevisions>false</trackRevisions>
    </reviewItem>
    <reviewItem>
      <errorID>76f88ad1-9d5c-425b-958c-5d7fe5168fcc</errorID>
      <errorWord>:/</errorWord>
      <group>L1_Punc</group>
      <groupName>标点问题</groupName>
      <ability>L2_Punc</ability>
      <abilityName>标点符号检查</abilityName>
      <candidateList>
        <item>:</item>
      </candidateList>
      <explain/>
      <paraID>668DDF71</paraID>
      <start>11</start>
      <end>13</end>
      <status>ignored</status>
      <modifiedWord/>
      <trackRevisions>false</trackRevisions>
    </reviewItem>
    <reviewItem>
      <errorID>faee0686-cd98-4f56-819f-0850f6dc6d74</errorID>
      <errorWord>：/</errorWord>
      <group>L1_Punc</group>
      <groupName>标点问题</groupName>
      <ability>L2_Punc</ability>
      <abilityName>标点符号检查</abilityName>
      <candidateList>
        <item>：</item>
      </candidateList>
      <explain/>
      <paraID>7A3C3ADF</paraID>
      <start>9</start>
      <end>11</end>
      <status>ignored</status>
      <modifiedWord/>
      <trackRevisions>false</trackRevisions>
    </reviewItem>
    <reviewItem>
      <errorID>e0bb97c1-0c77-434d-b33f-2dbecb61c1fd</errorID>
      <errorWord>/）</errorWord>
      <group>L1_Punc</group>
      <groupName>标点问题</groupName>
      <ability>L2_Punc</ability>
      <abilityName>标点符号检查</abilityName>
      <candidateList>
        <item>）</item>
      </candidateList>
      <explain/>
      <paraID>1913D923</paraID>
      <start>57</start>
      <end>59</end>
      <status>ignored</status>
      <modifiedWord/>
      <trackRevisions>false</trackRevisions>
    </reviewItem>
    <reviewItem>
      <errorID>a0655cc2-b9df-46c2-bf25-4a2d1eafaf9e</errorID>
      <errorWord>/)</errorWord>
      <group>L1_Punc</group>
      <groupName>标点问题</groupName>
      <ability>L2_Punc</ability>
      <abilityName>标点符号检查</abilityName>
      <candidateList>
        <item>)</item>
      </candidateList>
      <explain/>
      <paraID>7AF58FEA</paraID>
      <start>52</start>
      <end>54</end>
      <status>ignored</status>
      <modifiedWord/>
      <trackRevisions>false</trackRevisions>
    </reviewItem>
    <reviewItem>
      <errorID>24d14913-e086-4ed9-9017-764ae7192464</errorID>
      <errorWord>（/</errorWord>
      <group>L1_Punc</group>
      <groupName>标点问题</groupName>
      <ability>L2_Punc</ability>
      <abilityName>标点符号检查</abilityName>
      <candidateList>
        <item>（</item>
      </candidateList>
      <explain/>
      <paraID>31C8BA37</paraID>
      <start>19</start>
      <end>21</end>
      <status>ignored</status>
      <modifiedWord/>
      <trackRevisions>false</trackRevisions>
    </reviewItem>
    <reviewItem>
      <errorID>38c2a520-85df-4d1e-af42-692156b995b1</errorID>
      <errorWord>：/</errorWord>
      <group>L1_Punc</group>
      <groupName>标点问题</groupName>
      <ability>L2_Punc</ability>
      <abilityName>标点符号检查</abilityName>
      <candidateList>
        <item>：</item>
      </candidateList>
      <explain/>
      <paraID>51A2B209</paraID>
      <start>6</start>
      <end>8</end>
      <status>ignored</status>
      <modifiedWord/>
      <trackRevisions>false</trackRevisions>
    </reviewItem>
    <reviewItem>
      <errorID>cd6306f4-9b3a-4ec7-a695-349dc8224e4a</errorID>
      <errorWord>：/</errorWord>
      <group>L1_Punc</group>
      <groupName>标点问题</groupName>
      <ability>L2_Punc</ability>
      <abilityName>标点符号检查</abilityName>
      <candidateList>
        <item>：</item>
      </candidateList>
      <explain/>
      <paraID> 9E25D6E</paraID>
      <start>4</start>
      <end>6</end>
      <status>ignored</status>
      <modifiedWord/>
      <trackRevisions>false</trackRevisions>
    </reviewItem>
    <reviewItem>
      <errorID>7c4f3421-b4ed-41e8-aca4-9bb1efe9bf3f</errorID>
      <errorWord>-</errorWord>
      <group>L1_Format</group>
      <groupName>格式问题</groupName>
      <ability>L2_HalfPunc</ability>
      <abilityName>全半角检查</abilityName>
      <candidateList>
        <item>－</item>
      </candidateList>
      <explain>文本全半角错误。</explain>
      <paraID>6CA1D0B2</paraID>
      <start>23</start>
      <end>24</end>
      <status>modified</status>
      <modifiedWord>－</modifiedWord>
      <trackRevisions>false</trackRevisions>
    </reviewItem>
    <reviewItem>
      <errorID>66af2da8-2664-4a95-8c75-4057b7562a23</errorID>
      <errorWord>-</errorWord>
      <group>L1_Format</group>
      <groupName>格式问题</groupName>
      <ability>L2_HalfPunc</ability>
      <abilityName>全半角检查</abilityName>
      <candidateList>
        <item>－</item>
      </candidateList>
      <explain>文本全半角错误。</explain>
      <paraID>6CA1D0B2</paraID>
      <start>28</start>
      <end>29</end>
      <status>modified</status>
      <modifiedWord>－</modifiedWord>
      <trackRevisions>false</trackRevisions>
    </reviewItem>
    <reviewItem>
      <errorID>86f536d3-8314-4793-8a55-3a13aa88bcdd</errorID>
      <errorWord>：/</errorWord>
      <group>L1_Punc</group>
      <groupName>标点问题</groupName>
      <ability>L2_Punc</ability>
      <abilityName>标点符号检查</abilityName>
      <candidateList>
        <item>：</item>
      </candidateList>
      <explain/>
      <paraID>1C248A79</paraID>
      <start>5</start>
      <end>7</end>
      <status>ignored</status>
      <modifiedWord/>
      <trackRevisions>false</trackRevisions>
    </reviewItem>
    <reviewItem>
      <errorID>361ce241-6040-46ef-a389-f79ff6816e33</errorID>
      <errorWord>-</errorWord>
      <group>L1_Format</group>
      <groupName>格式问题</groupName>
      <ability>L2_HalfPunc</ability>
      <abilityName>全半角检查</abilityName>
      <candidateList>
        <item>－</item>
      </candidateList>
      <explain>文本全半角错误。</explain>
      <paraID>3454111C</paraID>
      <start>19</start>
      <end>20</end>
      <status>modified</status>
      <modifiedWord>－</modifiedWord>
      <trackRevisions>false</trackRevisions>
    </reviewItem>
    <reviewItem>
      <errorID>d3fc39c6-cf0e-4f3b-95b8-9a4e47f2bda5</errorID>
      <errorWord>法律、法规</errorWord>
      <group>L1_Word</group>
      <groupName>字词问题</groupName>
      <ability>L2_Typo</ability>
      <abilityName>字词错误</abilityName>
      <candidateList>
        <item>法律法规</item>
      </candidateList>
      <explain/>
      <paraID>43014979</paraID>
      <start>31</start>
      <end>36</end>
      <status>ignored</status>
      <modifiedWord/>
      <trackRevisions>false</trackRevisions>
    </reviewItem>
    <reviewItem>
      <errorID>57adc795-d5fc-498d-bef3-28018279d893</errorID>
      <errorWord>年</errorWord>
      <group>L1_Word</group>
      <groupName>字词问题</groupName>
      <ability>L2_Typo</ability>
      <abilityName>字词错误</abilityName>
      <candidateList>
        <item>年来</item>
      </candidateList>
      <explain/>
      <paraID> FC17C17</paraID>
      <start>8</start>
      <end>9</end>
      <status>ignored</status>
      <modifiedWord/>
      <trackRevisions>false</trackRevisions>
    </reviewItem>
    <reviewItem>
      <errorID>8e462229-6319-4747-a83c-1925306a6b4b</errorID>
      <errorWord>（</errorWord>
      <group>L1_Punc</group>
      <groupName>标点问题</groupName>
      <ability>L2_Punc</ability>
      <abilityName>标点符号检查</abilityName>
      <candidateList/>
      <explain>同一形式括号套用。</explain>
      <paraID>238FBC66</paraID>
      <start>80</start>
      <end>81</end>
      <status>ignored</status>
      <modifiedWord/>
      <trackRevisions>false</trackRevisions>
    </reviewItem>
    <reviewItem>
      <errorID>3c87ef36-5314-4d87-b0ea-87896b150cf1</errorID>
      <errorWord>）</errorWord>
      <group>L1_Punc</group>
      <groupName>标点问题</groupName>
      <ability>L2_Punc</ability>
      <abilityName>标点符号检查</abilityName>
      <candidateList/>
      <explain>同一形式括号套用。</explain>
      <paraID>238FBC66</paraID>
      <start>82</start>
      <end>83</end>
      <status>ignored</status>
      <modifiedWord/>
      <trackRevisions>false</trackRevisions>
    </reviewItem>
    <reviewItem>
      <errorID>32be84ad-7516-4847-b3b5-6a766701cbb4</errorID>
      <errorWord>其它可以</errorWord>
      <group>L1_Word</group>
      <groupName>字词问题</groupName>
      <ability>L2_Alias</ability>
      <abilityName>也作/曾用词</abilityName>
      <candidateList>
        <item>其他可以</item>
      </candidateList>
      <explain>词汇[其它可以]为不规范表述或旧称，其规范书面表述为[其他可以]。</explain>
      <paraID>41AA0C1A</paraID>
      <start>27</start>
      <end>31</end>
      <status>ignored</status>
      <modifiedWord/>
      <trackRevisions>false</trackRevisions>
    </reviewItem>
    <reviewItem>
      <errorID>b315748f-a785-4ee9-a554-492e1228546e</errorID>
      <errorWord>（</errorWord>
      <group>L1_Punc</group>
      <groupName>标点问题</groupName>
      <ability>L2_Punc</ability>
      <abilityName>标点符号检查</abilityName>
      <candidateList/>
      <explain>同一形式括号套用。</explain>
      <paraID>1706AD37</paraID>
      <start>12</start>
      <end>13</end>
      <status>ignored</status>
      <modifiedWord/>
      <trackRevisions>false</trackRevisions>
    </reviewItem>
    <reviewItem>
      <errorID>d5c0aefc-040c-4489-ba52-751a36342098</errorID>
      <errorWord>）</errorWord>
      <group>L1_Punc</group>
      <groupName>标点问题</groupName>
      <ability>L2_Punc</ability>
      <abilityName>标点符号检查</abilityName>
      <candidateList/>
      <explain>同一形式括号套用。</explain>
      <paraID>1706AD37</paraID>
      <start>15</start>
      <end>16</end>
      <status>ignored</status>
      <modifiedWord/>
      <trackRevisions>false</trackRevisions>
    </reviewItem>
    <reviewItem>
      <errorID>f9379c3d-3e4e-4a13-a733-6357483ffbf5</errorID>
      <errorWord>法律、法规</errorWord>
      <group>L1_Word</group>
      <groupName>字词问题</groupName>
      <ability>L2_Typo</ability>
      <abilityName>字词错误</abilityName>
      <candidateList>
        <item>法律法规</item>
      </candidateList>
      <explain/>
      <paraID>  D9F73D</paraID>
      <start>3</start>
      <end>8</end>
      <status>ignored</status>
      <modifiedWord/>
      <trackRevisions>false</trackRevisions>
    </reviewItem>
    <reviewItem>
      <errorID>6c53a757-3974-425c-b34e-0d495478091b</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5295A068</paraID>
      <start>3</start>
      <end>7</end>
      <status>ignored</status>
      <modifiedWord/>
      <trackRevisions>false</trackRevisions>
    </reviewItem>
    <reviewItem>
      <errorID>6dec2d99-2ffc-47ed-ae9d-31bf343c0315</errorID>
      <errorWord>透漏</errorWord>
      <group>L1_Word</group>
      <groupName>字词问题</groupName>
      <ability>L2_Typo</ability>
      <abilityName>字词错误</abilityName>
      <candidateList>
        <item>透露</item>
      </candidateList>
      <explain>存在发音相同字词的误用。</explain>
      <paraID>10E8C22D</paraID>
      <start>164</start>
      <end>166</end>
      <status>ignored</status>
      <modifiedWord/>
      <trackRevisions>false</trackRevisions>
    </reviewItem>
    <reviewItem>
      <errorID>ef1f9092-2e00-4948-ad21-fc1312689d3d</errorID>
      <errorWord>透漏</errorWord>
      <group>L1_Word</group>
      <groupName>字词问题</groupName>
      <ability>L2_Typo</ability>
      <abilityName>字词错误</abilityName>
      <candidateList>
        <item>透露</item>
      </candidateList>
      <explain>存在发音相同字词的误用。</explain>
      <paraID>6FE18D93</paraID>
      <start>33</start>
      <end>35</end>
      <status>ignored</status>
      <modifiedWord/>
      <trackRevisions>false</trackRevisions>
    </reviewItem>
    <reviewItem>
      <errorID>fa27e8f0-2b0a-4f32-8048-147b5bc63046</errorID>
      <errorWord>法律、法规</errorWord>
      <group>L1_Word</group>
      <groupName>字词问题</groupName>
      <ability>L2_Typo</ability>
      <abilityName>字词错误</abilityName>
      <candidateList>
        <item>法律法规</item>
      </candidateList>
      <explain/>
      <paraID>4AD94D80</paraID>
      <start>21</start>
      <end>26</end>
      <status>ignored</status>
      <modifiedWord/>
      <trackRevisions>false</trackRevisions>
    </reviewItem>
    <reviewItem>
      <errorID>554508a0-0ae4-448f-827e-bad06c0e3120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4C9FB938</paraID>
      <start>18</start>
      <end>21</end>
      <status>ignored</status>
      <modifiedWord/>
      <trackRevisions>false</trackRevisions>
    </reviewItem>
    <reviewItem>
      <errorID>176ace48-705d-4fd3-b840-787804a43f16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4C9FB938</paraID>
      <start>27</start>
      <end>30</end>
      <status>ignored</status>
      <modifiedWord/>
      <trackRevisions>false</trackRevisions>
    </reviewItem>
    <reviewItem>
      <errorID>0f5250b2-20d2-4fed-b681-b86d7a2ad301</errorID>
      <errorWord>内到</errorWord>
      <group>L1_Word</group>
      <groupName>字词问题</groupName>
      <ability>L2_Typo</ability>
      <abilityName>字词错误</abilityName>
      <candidateList>
        <item>内</item>
      </candidateList>
      <explain/>
      <paraID>72561F64</paraID>
      <start>85</start>
      <end>87</end>
      <status>ignored</status>
      <modifiedWord/>
      <trackRevisions>false</trackRevisions>
    </reviewItem>
    <reviewItem>
      <errorID>5390f026-dec9-4391-82ec-9c4ffc7c4464</errorID>
      <errorWord>!</errorWord>
      <group>L1_Format</group>
      <groupName>格式问题</groupName>
      <ability>L2_HalfPunc</ability>
      <abilityName>全半角检查</abilityName>
      <candidateList>
        <item>！</item>
      </candidateList>
      <explain>文本全半角错误。</explain>
      <paraID>7C88BE75</paraID>
      <start>15</start>
      <end>16</end>
      <status>modified</status>
      <modifiedWord>！</modifiedWord>
      <trackRevisions>false</trackRevisions>
    </reviewItem>
    <reviewItem>
      <errorID>1ac5103e-3f4e-487e-a31f-ca63f60cfba8</errorID>
      <errorWord>-</errorWord>
      <group>L1_Format</group>
      <groupName>格式问题</groupName>
      <ability>L2_HalfPunc</ability>
      <abilityName>全半角检查</abilityName>
      <candidateList>
        <item>－</item>
      </candidateList>
      <explain>文本全半角错误。</explain>
      <paraID>1C99BB03</paraID>
      <start>12</start>
      <end>13</end>
      <status>modified</status>
      <modifiedWord>－</modifiedWord>
      <trackRevisions>false</trackRevisions>
    </reviewItem>
    <reviewItem>
      <errorID>b078805d-df77-4f2a-8c5a-969734bd106c</errorID>
      <errorWord>-</errorWord>
      <group>L1_Format</group>
      <groupName>格式问题</groupName>
      <ability>L2_HalfPunc</ability>
      <abilityName>全半角检查</abilityName>
      <candidateList>
        <item>－</item>
      </candidateList>
      <explain>文本全半角错误。</explain>
      <paraID>1C99BB03</paraID>
      <start>55</start>
      <end>56</end>
      <status>modified</status>
      <modifiedWord>－</modifiedWord>
      <trackRevisions>false</trackRevisions>
    </reviewItem>
    <reviewItem>
      <errorID>55069316-ef28-4f4c-a3cc-e69b24f4a7d2</errorID>
      <errorWord>及其</errorWord>
      <group>L1_Word</group>
      <groupName>字词问题</groupName>
      <ability>L2_Typo</ability>
      <abilityName>字词错误</abilityName>
      <candidateList>
        <item>及</item>
      </candidateList>
      <explain/>
      <paraID>795FA645</paraID>
      <start>14</start>
      <end>16</end>
      <status>ignored</status>
      <modifiedWord/>
      <trackRevisions>false</trackRevisions>
    </reviewItem>
    <reviewItem>
      <errorID>19818149-319e-4fc1-8115-735f6c458afe</errorID>
      <errorWord>(</errorWord>
      <group>L1_Format</group>
      <groupName>格式问题</groupName>
      <ability>L2_HalfPunc</ability>
      <abilityName>全半角检查</abilityName>
      <candidateList>
        <item>（</item>
      </candidateList>
      <explain>文本全半角错误。</explain>
      <paraID>3AD0592E</paraID>
      <start>14</start>
      <end>15</end>
      <status>modified</status>
      <modifiedWord>（</modifiedWord>
      <trackRevisions>false</trackRevisions>
    </reviewItem>
    <reviewItem>
      <errorID>08f32027-0534-495b-acdb-63b6d493e807</errorID>
      <errorWord>)</errorWord>
      <group>L1_Format</group>
      <groupName>格式问题</groupName>
      <ability>L2_HalfPunc</ability>
      <abilityName>全半角检查</abilityName>
      <candidateList>
        <item>）</item>
      </candidateList>
      <explain>文本全半角错误。</explain>
      <paraID>3AD0592E</paraID>
      <start>23</start>
      <end>24</end>
      <status>modified</status>
      <modifiedWord>）</modifiedWord>
      <trackRevisions>false</trackRevisions>
    </reviewItem>
    <reviewItem>
      <errorID>73e8af46-22df-487d-b8d0-d0f06b2631fe</errorID>
      <errorWord>(</errorWord>
      <group>L1_Format</group>
      <groupName>格式问题</groupName>
      <ability>L2_HalfPunc</ability>
      <abilityName>全半角检查</abilityName>
      <candidateList>
        <item>（</item>
      </candidateList>
      <explain>文本全半角错误。</explain>
      <paraID>1C5A272F</paraID>
      <start>14</start>
      <end>15</end>
      <status>modified</status>
      <modifiedWord>（</modifiedWord>
      <trackRevisions>false</trackRevisions>
    </reviewItem>
    <reviewItem>
      <errorID>ba712181-d104-4a1e-9534-943486c09978</errorID>
      <errorWord>)</errorWord>
      <group>L1_Format</group>
      <groupName>格式问题</groupName>
      <ability>L2_HalfPunc</ability>
      <abilityName>全半角检查</abilityName>
      <candidateList>
        <item>）</item>
      </candidateList>
      <explain>文本全半角错误。</explain>
      <paraID>1C5A272F</paraID>
      <start>23</start>
      <end>24</end>
      <status>modified</status>
      <modifiedWord>）</modifiedWord>
      <trackRevisions>false</trackRevisions>
    </reviewItem>
    <reviewItem>
      <errorID>93f1f69f-f8b6-4ace-98b1-1a52a5973894</errorID>
      <errorWord>..</errorWord>
      <group>L1_Punc</group>
      <groupName>标点问题</groupName>
      <ability>L2_Punc</ability>
      <abilityName>标点符号检查</abilityName>
      <candidateList>
        <item>.</item>
      </candidateList>
      <explain/>
      <paraID>2A28C27D</paraID>
      <start>1</start>
      <end>2</end>
      <status>modified</status>
      <modifiedWord>.</modifiedWord>
      <trackRevisions>false</trackRevisions>
    </reviewItem>
    <reviewItem>
      <errorID>a5a79e93-728d-4ee1-84f0-4decef153e6b</errorID>
      <errorWord>-</errorWord>
      <group>L1_Format</group>
      <groupName>格式问题</groupName>
      <ability>L2_HalfPunc</ability>
      <abilityName>全半角检查</abilityName>
      <candidateList>
        <item>－</item>
      </candidateList>
      <explain>文本全半角错误。</explain>
      <paraID>1B11FA37</paraID>
      <start>36</start>
      <end>37</end>
      <status>modified</status>
      <modifiedWord>－</modifiedWord>
      <trackRevisions>false</trackRevisions>
    </reviewItem>
    <reviewItem>
      <errorID>19dfa927-d5aa-402b-9368-dc45309fb9e2</errorID>
      <errorWord>-</errorWord>
      <group>L1_Format</group>
      <groupName>格式问题</groupName>
      <ability>L2_HalfPunc</ability>
      <abilityName>全半角检查</abilityName>
      <candidateList>
        <item>－</item>
      </candidateList>
      <explain>文本全半角错误。</explain>
      <paraID>1B11FA37</paraID>
      <start>41</start>
      <end>42</end>
      <status>modified</status>
      <modifiedWord>－</modifiedWord>
      <trackRevisions>false</trackRevisions>
    </reviewItem>
    <reviewItem>
      <errorID>2c9f0fb7-1aec-4416-967c-5955e73fe36e</errorID>
      <errorWord>（</errorWord>
      <group>L1_Punc</group>
      <groupName>标点问题</groupName>
      <ability>L2_Punc</ability>
      <abilityName>标点符号检查</abilityName>
      <candidateList/>
      <explain>同一形式括号套用。</explain>
      <paraID>1AC76CEB</paraID>
      <start>40</start>
      <end>41</end>
      <status>ignored</status>
      <modifiedWord/>
      <trackRevisions>false</trackRevisions>
    </reviewItem>
    <reviewItem>
      <errorID>0927c1be-37bd-4bd4-b490-044f20518683</errorID>
      <errorWord>）</errorWord>
      <group>L1_Punc</group>
      <groupName>标点问题</groupName>
      <ability>L2_Punc</ability>
      <abilityName>标点符号检查</abilityName>
      <candidateList/>
      <explain>同一形式括号套用。</explain>
      <paraID>1AC76CEB</paraID>
      <start>44</start>
      <end>45</end>
      <status>ignored</status>
      <modifiedWord/>
      <trackRevisions>false</trackRevisions>
    </reviewItem>
    <reviewItem>
      <errorID>5f9252b9-e766-402b-92b8-9aa6459b1b67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49336CC4</paraID>
      <start>20</start>
      <end>23</end>
      <status>ignored</status>
      <modifiedWord/>
      <trackRevisions>false</trackRevisions>
    </reviewItem>
    <reviewItem>
      <errorID>cc61bcf7-d264-4894-8872-ccfd0538dc48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49336CC4</paraID>
      <start>30</start>
      <end>33</end>
      <status>ignored</status>
      <modifiedWord/>
      <trackRevisions>false</trackRevisions>
    </reviewItem>
    <reviewItem>
      <errorID>a4de5bca-e0b5-4e8f-86a2-deb3e3c6ff98</errorID>
      <errorWord>作必要</errorWord>
      <group>L1_Word</group>
      <groupName>字词问题</groupName>
      <ability>L2_Typo</ability>
      <abilityName>字词错误</abilityName>
      <candidateList>
        <item>做必要</item>
      </candidateList>
      <explain/>
      <paraID> B1F1E02</paraID>
      <start>65</start>
      <end>68</end>
      <status>ignored</status>
      <modifiedWord/>
      <trackRevisions>false</trackRevisions>
    </reviewItem>
    <reviewItem>
      <errorID>9e0cb7f8-c0cf-411c-bfa1-e36c0ca84959</errorID>
      <errorWord>，</errorWord>
      <group>L1_Word</group>
      <groupName>字词问题</groupName>
      <ability>L2_Typo</ability>
      <abilityName>字词错误</abilityName>
      <candidateList>
        <item>，对</item>
      </candidateList>
      <explain/>
      <paraID>1E6A74A4</paraID>
      <start>62</start>
      <end>63</end>
      <status>ignored</status>
      <modifiedWord/>
      <trackRevisions>false</trackRevisions>
    </reviewItem>
    <reviewItem>
      <errorID>80ad7ebb-8810-403d-9922-8482e4c241af</errorID>
      <errorWord>法律、法规</errorWord>
      <group>L1_Word</group>
      <groupName>字词问题</groupName>
      <ability>L2_Typo</ability>
      <abilityName>字词错误</abilityName>
      <candidateList>
        <item>法律法规</item>
      </candidateList>
      <explain/>
      <paraID>6F55779D</paraID>
      <start>6</start>
      <end>11</end>
      <status>ignored</status>
      <modifiedWord/>
      <trackRevisions>false</trackRevisions>
    </reviewItem>
    <reviewItem>
      <errorID>75996063-2c37-4b2d-bd8f-1d9bbf8c60ac</errorID>
      <errorWord>本章中</errorWord>
      <group>L1_Word</group>
      <groupName>字词问题</groupName>
      <ability>L2_Typo</ability>
      <abilityName>字词错误</abilityName>
      <candidateList>
        <item>本章</item>
      </candidateList>
      <explain/>
      <paraID>3231692B</paraID>
      <start>7</start>
      <end>10</end>
      <status>ignored</status>
      <modifiedWord/>
      <trackRevisions>false</trackRevisions>
    </reviewItem>
    <reviewItem>
      <errorID>7b46a663-4081-41e8-94d9-64af27b3ee2b</errorID>
      <errorWord>:</errorWord>
      <group>L1_Format</group>
      <groupName>格式问题</groupName>
      <ability>L2_HalfPunc</ability>
      <abilityName>全半角检查</abilityName>
      <candidateList>
        <item>：</item>
      </candidateList>
      <explain>文本全半角错误。</explain>
      <paraID>7CABCBB3</paraID>
      <start>99</start>
      <end>100</end>
      <status>modified</status>
      <modifiedWord>：</modifiedWord>
      <trackRevisions>false</trackRevisions>
    </reviewItem>
    <reviewItem>
      <errorID>41192db5-c13e-46a9-bd80-c88aa65cdb11</errorID>
      <errorWord>因不可抗拒</errorWord>
      <group>L1_Word</group>
      <groupName>字词问题</groupName>
      <ability>L2_Typo</ability>
      <abilityName>字词错误</abilityName>
      <candidateList>
        <item>因不可抗力</item>
      </candidateList>
      <explain/>
      <paraID>5385DDAD</paraID>
      <start>3</start>
      <end>8</end>
      <status>ignored</status>
      <modifiedWord/>
      <trackRevisions>false</trackRevisions>
    </reviewItem>
    <reviewItem>
      <errorID>21e5922f-f545-4c92-9fa6-ba065944ef4e</errorID>
      <errorWord>法律、法规</errorWord>
      <group>L1_Word</group>
      <groupName>字词问题</groupName>
      <ability>L2_Typo</ability>
      <abilityName>字词错误</abilityName>
      <candidateList>
        <item>法律法规</item>
      </candidateList>
      <explain/>
      <paraID> 57169FA</paraID>
      <start>75</start>
      <end>80</end>
      <status>ignored</status>
      <modifiedWord/>
      <trackRevisions>false</trackRevisions>
    </reviewItem>
    <reviewItem>
      <errorID>61479ed7-99b0-4d63-a2ef-16063858151f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6E68CC0E</paraID>
      <start>20</start>
      <end>23</end>
      <status>ignored</status>
      <modifiedWord/>
      <trackRevisions>false</trackRevisions>
    </reviewItem>
    <reviewItem>
      <errorID>be52e117-638e-4ca8-86b4-cd95cf1617e5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6E68CC0E</paraID>
      <start>30</start>
      <end>33</end>
      <status>ignored</status>
      <modifiedWord/>
      <trackRevisions>false</trackRevisions>
    </reviewItem>
    <reviewItem>
      <errorID>13fc666a-0ac6-4ffe-b604-401a5ae3f5f1</errorID>
      <errorWord>-</errorWord>
      <group>L1_Format</group>
      <groupName>格式问题</groupName>
      <ability>L2_HalfPunc</ability>
      <abilityName>全半角检查</abilityName>
      <candidateList>
        <item>－</item>
      </candidateList>
      <explain>文本全半角错误。</explain>
      <paraID>4990A1BB</paraID>
      <start>19</start>
      <end>20</end>
      <status>modified</status>
      <modifiedWord>－</modifiedWord>
      <trackRevisions>false</trackRevisions>
    </reviewItem>
    <reviewItem>
      <errorID>48aa724a-fcba-4311-9bf0-2e9e27ed1595</errorID>
      <errorWord>:</errorWord>
      <group>L1_Format</group>
      <groupName>格式问题</groupName>
      <ability>L2_HalfPunc</ability>
      <abilityName>全半角检查</abilityName>
      <candidateList>
        <item>：</item>
      </candidateList>
      <explain>文本全半角错误。</explain>
      <paraID>12938A17</paraID>
      <start>45</start>
      <end>46</end>
      <status>modified</status>
      <modifiedWord>：</modifiedWord>
      <trackRevisions>false</trackRevisions>
    </reviewItem>
    <reviewItem>
      <errorID>9217b8db-1b42-4e7b-be9e-b2789c25a2c6</errorID>
      <errorWord>》</errorWord>
      <group>L1_Word</group>
      <groupName>字词问题</groupName>
      <ability>L2_Typo</ability>
      <abilityName>字词错误</abilityName>
      <candidateList>
        <item>》等</item>
      </candidateList>
      <explain/>
      <paraID>3485A76C</paraID>
      <start>54</start>
      <end>55</end>
      <status>ignored</status>
      <modifiedWord/>
      <trackRevisions>false</trackRevisions>
    </reviewItem>
    <reviewItem>
      <errorID>9861b8b2-3505-4ae1-a035-421d5ba414a3</errorID>
      <errorWord>廉政自律</errorWord>
      <group>L1_Political</group>
      <groupName>政治性问题</groupName>
      <ability>L2_Unpolitical</ability>
      <abilityName>政治敏感错误</abilityName>
      <candidateList>
        <item>廉洁自律</item>
      </candidateList>
      <explain/>
      <paraID>5D44045E</paraID>
      <start>7</start>
      <end>11</end>
      <status>ignored</status>
      <modifiedWord/>
      <trackRevisions>false</trackRevisions>
    </reviewItem>
    <reviewItem>
      <errorID>533844b6-e755-41d7-907c-af288ec7bdb2</errorID>
      <errorWord>参加本招标</errorWord>
      <group>L1_Word</group>
      <groupName>字词问题</groupName>
      <ability>L2_Typo</ability>
      <abilityName>字词错误</abilityName>
      <candidateList>
        <item>参加本次招标</item>
      </candidateList>
      <explain/>
      <paraID>6F24ECB8</paraID>
      <start>7</start>
      <end>12</end>
      <status>ignored</status>
      <modifiedWord/>
      <trackRevisions>false</trackRevisions>
    </reviewItem>
    <reviewItem>
      <errorID>d1d3077a-33d7-4369-a03e-d7e21d4b3ec5</errorID>
      <errorWord>，</errorWord>
      <group>L1_Word</group>
      <groupName>字词问题</groupName>
      <ability>L2_Typo</ability>
      <abilityName>字词错误</abilityName>
      <candidateList>
        <item>，并</item>
      </candidateList>
      <explain/>
      <paraID>5FF120C7</paraID>
      <start>38</start>
      <end>39</end>
      <status>ignored</status>
      <modifiedWord/>
      <trackRevisions>false</trackRevisions>
    </reviewItem>
    <reviewItem>
      <errorID>a08b3965-009b-48ee-909d-1d7c23ae0051</errorID>
      <errorWord>房</errorWord>
      <group>L1_Word</group>
      <groupName>字词问题</groupName>
      <ability>L2_Typo</ability>
      <abilityName>字词错误</abilityName>
      <candidateList>
        <item>房和</item>
      </candidateList>
      <explain/>
      <paraID>77264A27</paraID>
      <start>2</start>
      <end>3</end>
      <status>ignored</status>
      <modifiedWord/>
      <trackRevisions>false</trackRevisions>
    </reviewItem>
    <reviewItem>
      <errorID>d8569a97-d137-49ef-a2c1-88abbfe7a91e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616C4C9E</paraID>
      <start>47</start>
      <end>50</end>
      <status>ignored</status>
      <modifiedWord/>
      <trackRevisions>false</trackRevisions>
    </reviewItem>
    <reviewItem>
      <errorID>d13d34c4-9d7c-44fd-bacc-10cf946b5062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616C4C9E</paraID>
      <start>60</start>
      <end>63</end>
      <status>ignored</status>
      <modifiedWord/>
      <trackRevisions>false</trackRevisions>
    </reviewItem>
    <reviewItem>
      <errorID>30612b27-9e92-4509-a42f-fbd75a844467</errorID>
      <errorWord>房</errorWord>
      <group>L1_Word</group>
      <groupName>字词问题</groupName>
      <ability>L2_Typo</ability>
      <abilityName>字词错误</abilityName>
      <candidateList>
        <item>房和</item>
      </candidateList>
      <explain/>
      <paraID>616C4C9E</paraID>
      <start>86</start>
      <end>87</end>
      <status>ignored</status>
      <modifiedWord/>
      <trackRevisions>false</trackRevisions>
    </reviewItem>
    <reviewItem>
      <errorID>476dcadb-b1e1-4d52-adae-ae244607e358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3F731C9C</paraID>
      <start>25</start>
      <end>28</end>
      <status>ignored</status>
      <modifiedWord/>
      <trackRevisions>false</trackRevisions>
    </reviewItem>
    <reviewItem>
      <errorID>6c98c98c-40b0-4d5f-90c0-527349cf741e</errorID>
      <errorWord>“/</errorWord>
      <group>L1_Punc</group>
      <groupName>标点问题</groupName>
      <ability>L2_Punc</ability>
      <abilityName>标点符号检查</abilityName>
      <candidateList>
        <item>“</item>
      </candidateList>
      <explain/>
      <paraID>4288B4FD</paraID>
      <start>81</start>
      <end>83</end>
      <status>ignored</status>
      <modifiedWord/>
      <trackRevisions>false</trackRevisions>
    </reviewItem>
    <reviewItem>
      <errorID>6acbf40e-c3ba-4f05-8792-be78ae8b11a7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30206B30</paraID>
      <start>13</start>
      <end>16</end>
      <status>ignored</status>
      <modifiedWord/>
      <trackRevisions>false</trackRevisions>
    </reviewItem>
    <reviewItem>
      <errorID>efa29309-56bf-44d8-b1f1-6b3c196ead13</errorID>
      <errorWord>(</errorWord>
      <group>L1_Format</group>
      <groupName>格式问题</groupName>
      <ability>L2_HalfPunc</ability>
      <abilityName>全半角检查</abilityName>
      <candidateList>
        <item>（</item>
      </candidateList>
      <explain>文本全半角错误。</explain>
      <paraID>743003E7</paraID>
      <start>24</start>
      <end>25</end>
      <status>modified</status>
      <modifiedWord>（</modifiedWord>
      <trackRevisions>false</trackRevisions>
    </reviewItem>
    <reviewItem>
      <errorID>c2f8e851-8050-4487-beac-588b9433a4c3</errorID>
      <errorWord>(</errorWord>
      <group>L1_Format</group>
      <groupName>格式问题</groupName>
      <ability>L2_HalfPunc</ability>
      <abilityName>全半角检查</abilityName>
      <candidateList>
        <item>（</item>
      </candidateList>
      <explain>文本全半角错误。</explain>
      <paraID>40EA52E5</paraID>
      <start>22</start>
      <end>23</end>
      <status>modified</status>
      <modifiedWord>（</modifiedWord>
      <trackRevisions>false</trackRevisions>
    </reviewItem>
    <reviewItem>
      <errorID>ff1af416-5599-4f43-a545-6f9f302d74b4</errorID>
      <errorWord>(</errorWord>
      <group>L1_Format</group>
      <groupName>格式问题</groupName>
      <ability>L2_HalfPunc</ability>
      <abilityName>全半角检查</abilityName>
      <candidateList>
        <item>（</item>
      </candidateList>
      <explain>文本全半角错误。</explain>
      <paraID>438BC01D</paraID>
      <start>22</start>
      <end>23</end>
      <status>modified</status>
      <modifiedWord>（</modifiedWord>
      <trackRevisions>false</trackRevisions>
    </reviewItem>
    <reviewItem>
      <errorID>f1849e44-ee78-4b52-b636-16b460e6a068</errorID>
      <errorWord>(</errorWord>
      <group>L1_Format</group>
      <groupName>格式问题</groupName>
      <ability>L2_HalfPunc</ability>
      <abilityName>全半角检查</abilityName>
      <candidateList>
        <item>（</item>
      </candidateList>
      <explain>文本全半角错误。</explain>
      <paraID>5421A3B5</paraID>
      <start>22</start>
      <end>23</end>
      <status>modified</status>
      <modifiedWord>（</modifiedWord>
      <trackRevisions>false</trackRevisions>
    </reviewItem>
    <reviewItem>
      <errorID>1feabd60-25a3-4b51-95be-192e7fb9e126</errorID>
      <errorWord>(</errorWord>
      <group>L1_Format</group>
      <groupName>格式问题</groupName>
      <ability>L2_HalfPunc</ability>
      <abilityName>全半角检查</abilityName>
      <candidateList>
        <item>（</item>
      </candidateList>
      <explain>文本全半角错误。</explain>
      <paraID>316BDEAE</paraID>
      <start>22</start>
      <end>23</end>
      <status>modified</status>
      <modifiedWord>（</modifiedWord>
      <trackRevisions>false</trackRevisions>
    </reviewItem>
    <reviewItem>
      <errorID>f177bce3-3cff-4681-b1ac-a3b982434467</errorID>
      <errorWord>送达至</errorWord>
      <group>L1_Word</group>
      <groupName>字词问题</groupName>
      <ability>L2_Typo</ability>
      <abilityName>字词错误</abilityName>
      <candidateList>
        <item>送达</item>
      </candidateList>
      <explain/>
      <paraID>4EDB2330</paraID>
      <start>22</start>
      <end>25</end>
      <status>ignored</status>
      <modifiedWord/>
      <trackRevisions>false</trackRevisions>
    </reviewItem>
    <reviewItem>
      <errorID>6f40aaa6-38ec-4b69-8bca-9c5ad6fa531e</errorID>
      <errorWord>涵义</errorWord>
      <group>L1_Word</group>
      <groupName>字词问题</groupName>
      <ability>L2_Alias</ability>
      <abilityName>也作/曾用词</abilityName>
      <candidateList>
        <item>含义</item>
      </candidateList>
      <explain>词汇[涵义]为不规范表述或旧称，其规范书面表述为[含义]。</explain>
      <paraID>7FF178A8</paraID>
      <start>31</start>
      <end>33</end>
      <status>ignored</status>
      <modifiedWord/>
      <trackRevisions>false</trackRevisions>
    </reviewItem>
    <reviewItem>
      <errorID>6cbe0ca8-e348-4389-9a8b-259fa5206ff0</errorID>
      <errorWord>涵义</errorWord>
      <group>L1_Word</group>
      <groupName>字词问题</groupName>
      <ability>L2_Alias</ability>
      <abilityName>也作/曾用词</abilityName>
      <candidateList>
        <item>含义</item>
      </candidateList>
      <explain>词汇[涵义]为不规范表述或旧称，其规范书面表述为[含义]。</explain>
      <paraID>7FF178A8</paraID>
      <start>77</start>
      <end>79</end>
      <status>ignored</status>
      <modifiedWord/>
      <trackRevisions>false</trackRevisions>
    </reviewItem>
    <reviewItem>
      <errorID>d171315b-ada0-4520-8165-9ed8bd08e020</errorID>
      <errorWord>古树名木的保护</errorWord>
      <group>L1_Political</group>
      <groupName>政治性问题</groupName>
      <ability>L2_Keyword</ability>
      <abilityName>固定表述</abilityName>
      <candidateList>
        <item>古树名木保护</item>
      </candidateList>
      <explain>词汇“古树名木保护”在特定场景下为固定表述形式，请确认此处的“古树名木的保护”是否存在不当。</explain>
      <paraID>1B94396C</paraID>
      <start>28</start>
      <end>35</end>
      <status>ignored</status>
      <modifiedWord/>
      <trackRevisions>false</trackRevisions>
    </reviewItem>
    <reviewItem>
      <errorID>22790520-53d5-470f-a732-dcca355e9dcb</errorID>
      <errorWord>作</errorWord>
      <group>L1_Word</group>
      <groupName>字词问题</groupName>
      <ability>L2_Typo</ability>
      <abilityName>字词错误</abilityName>
      <candidateList>
        <item>做</item>
      </candidateList>
      <explain>存在发音相同字词的误用。</explain>
      <paraID>74A4A739</paraID>
      <start>56</start>
      <end>57</end>
      <status>ignored</status>
      <modifiedWord/>
      <trackRevisions>false</trackRevisions>
    </reviewItem>
    <reviewItem>
      <errorID>b4d86e69-3c62-4a08-8baf-85244d145f5b</errorID>
      <errorWord>作</errorWord>
      <group>L1_Word</group>
      <groupName>字词问题</groupName>
      <ability>L2_Typo</ability>
      <abilityName>字词错误</abilityName>
      <candidateList>
        <item>做</item>
      </candidateList>
      <explain>存在发音相同字词的误用。</explain>
      <paraID>69970239</paraID>
      <start>124</start>
      <end>125</end>
      <status>ignored</status>
      <modifiedWord/>
      <trackRevisions>false</trackRevisions>
    </reviewItem>
    <reviewItem>
      <errorID>716454d2-dd74-4674-b42f-8929f181ce63</errorID>
      <errorWord>，</errorWord>
      <group>L1_Word</group>
      <groupName>字词问题</groupName>
      <ability>L2_Typo</ability>
      <abilityName>字词错误</abilityName>
      <candidateList>
        <item>，以</item>
      </candidateList>
      <explain/>
      <paraID>3309F8CA</paraID>
      <start>23</start>
      <end>24</end>
      <status>ignored</status>
      <modifiedWord/>
      <trackRevisions>false</trackRevisions>
    </reviewItem>
    <reviewItem>
      <errorID>c9a74644-fa89-45db-9f1a-15452ad56227</errorID>
      <errorWord>噪音</errorWord>
      <group>L1_Word</group>
      <groupName>字词问题</groupName>
      <ability>L2_Alias</ability>
      <abilityName>也作/曾用词</abilityName>
      <candidateList>
        <item>噪声</item>
      </candidateList>
      <explain>词汇[噪音]为不规范表述或旧称，其规范书面表述为[噪声]。</explain>
      <paraID>36FBA04D</paraID>
      <start>69</start>
      <end>71</end>
      <status>ignored</status>
      <modifiedWord/>
      <trackRevisions>false</trackRevisions>
    </reviewItem>
    <reviewItem>
      <errorID>7b58e4ff-1a14-4e23-8b19-f6e57bbdb6ed</errorID>
      <errorWord>天</errorWord>
      <group>L1_Word</group>
      <groupName>字词问题</groupName>
      <ability>L2_Typo</ability>
      <abilityName>字词错误</abilityName>
      <candidateList>
        <item>天内</item>
      </candidateList>
      <explain/>
      <paraID>46F74275</paraID>
      <start>81</start>
      <end>82</end>
      <status>ignored</status>
      <modifiedWord/>
      <trackRevisions>false</trackRevisions>
    </reviewItem>
    <reviewItem>
      <errorID>5e67db5e-b3d0-4e2c-844a-1780b0634b74</errorID>
      <errorWord>任何的</errorWord>
      <group>L1_Word</group>
      <groupName>字词问题</groupName>
      <ability>L2_Typo</ability>
      <abilityName>字词错误</abilityName>
      <candidateList>
        <item>任何</item>
      </candidateList>
      <explain/>
      <paraID>3488FEFD</paraID>
      <start>65</start>
      <end>68</end>
      <status>ignored</status>
      <modifiedWord/>
      <trackRevisions>false</trackRevisions>
    </reviewItem>
    <reviewItem>
      <errorID>908e25bf-e9f7-4a1d-8be6-7fbf2a402300</errorID>
      <errorWord>运入</errorWord>
      <group>L1_Word</group>
      <groupName>字词问题</groupName>
      <ability>L2_Typo</ability>
      <abilityName>字词错误</abilityName>
      <candidateList>
        <item>进入</item>
      </candidateList>
      <explain/>
      <paraID>271A9D4D</paraID>
      <start>3</start>
      <end>5</end>
      <status>ignored</status>
      <modifiedWord/>
      <trackRevisions>false</trackRevisions>
    </reviewItem>
    <reviewItem>
      <errorID>eeb186de-f28e-4a2c-8fcd-d7d87261f684</errorID>
      <errorWord>;</errorWord>
      <group>L1_Format</group>
      <groupName>格式问题</groupName>
      <ability>L2_HalfPunc</ability>
      <abilityName>全半角检查</abilityName>
      <candidateList>
        <item>；</item>
      </candidateList>
      <explain>文本全半角错误。</explain>
      <paraID>57B5DE22</paraID>
      <start>65</start>
      <end>66</end>
      <status>modified</status>
      <modifiedWord>；</modifiedWord>
      <trackRevisions>false</trackRevisions>
    </reviewItem>
    <reviewItem>
      <errorID>ef2aac4a-d02e-4fa4-9491-44674669499b</errorID>
      <errorWord>款</errorWord>
      <group>L1_Word</group>
      <groupName>字词问题</groupName>
      <ability>L2_Typo</ability>
      <abilityName>字词错误</abilityName>
      <candidateList>
        <item>款中</item>
      </candidateList>
      <explain/>
      <paraID>420F6F9C</paraID>
      <start>62</start>
      <end>63</end>
      <status>ignored</status>
      <modifiedWord/>
      <trackRevisions>false</trackRevisions>
    </reviewItem>
    <reviewItem>
      <errorID>bd8e5460-c3e7-4f2d-b643-77b52ceddf77</errorID>
      <errorWord>:</errorWord>
      <group>L1_Format</group>
      <groupName>格式问题</groupName>
      <ability>L2_HalfPunc</ability>
      <abilityName>全半角检查</abilityName>
      <candidateList>
        <item>：</item>
      </candidateList>
      <explain>文本全半角错误。</explain>
      <paraID>5911EB8C</paraID>
      <start>43</start>
      <end>44</end>
      <status>modified</status>
      <modifiedWord>：</modifiedWord>
      <trackRevisions>false</trackRevisions>
    </reviewItem>
    <reviewItem>
      <errorID>fe0e456d-c0a3-4221-a463-cd5f1e7b1c46</errorID>
      <errorWord>）</errorWord>
      <group>L1_Word</group>
      <groupName>字词问题</groupName>
      <ability>L2_Typo</ability>
      <abilityName>字词错误</abilityName>
      <candidateList>
        <item>）项</item>
      </candidateList>
      <explain/>
      <paraID>51ACE4D7</paraID>
      <start>44</start>
      <end>45</end>
      <status>ignored</status>
      <modifiedWord/>
      <trackRevisions>false</trackRevisions>
    </reviewItem>
    <reviewItem>
      <errorID>41e679f3-bef1-42ff-aa0a-1204ffc3f791</errorID>
      <errorWord>）施工现场内</errorWord>
      <group>L1_Word</group>
      <groupName>字词问题</groupName>
      <ability>L2_Typo</ability>
      <abilityName>字词错误</abilityName>
      <candidateList>
        <item>）施工现场</item>
      </candidateList>
      <explain/>
      <paraID>73806B48</paraID>
      <start>2</start>
      <end>8</end>
      <status>ignored</status>
      <modifiedWord/>
      <trackRevisions>false</trackRevisions>
    </reviewItem>
    <reviewItem>
      <errorID>7b59bf9b-afc3-40fc-8cf9-dd301a0f7f82</errorID>
      <errorWord>款</errorWord>
      <group>L1_Word</group>
      <groupName>字词问题</groupName>
      <ability>L2_Typo</ability>
      <abilityName>字词错误</abilityName>
      <candidateList>
        <item>款中</item>
      </candidateList>
      <explain/>
      <paraID>53E36599</paraID>
      <start>39</start>
      <end>40</end>
      <status>ignored</status>
      <modifiedWord/>
      <trackRevisions>false</trackRevisions>
    </reviewItem>
    <reviewItem>
      <errorID>22860ba0-abee-4a2e-90b9-5314e5e3cc12</errorID>
      <errorWord>限</errorWord>
      <group>L1_Word</group>
      <groupName>字词问题</groupName>
      <ability>L2_Typo</ability>
      <abilityName>字词错误</abilityName>
      <candidateList>
        <item>限内</item>
      </candidateList>
      <explain/>
      <paraID> A2B55F2</paraID>
      <start>24</start>
      <end>25</end>
      <status>ignored</status>
      <modifiedWord/>
      <trackRevisions>false</trackRevisions>
    </reviewItem>
    <reviewItem>
      <errorID>c4db9273-cc29-4cd6-b9bb-71e60c9779f6</errorID>
      <errorWord>款</errorWord>
      <group>L1_Word</group>
      <groupName>字词问题</groupName>
      <ability>L2_Typo</ability>
      <abilityName>字词错误</abilityName>
      <candidateList>
        <item>款中</item>
      </candidateList>
      <explain/>
      <paraID>1287D0F0</paraID>
      <start>181</start>
      <end>182</end>
      <status>ignored</status>
      <modifiedWord/>
      <trackRevisions>false</trackRevisions>
    </reviewItem>
    <reviewItem>
      <errorID>b7f6ffde-5d8c-4923-a895-798eeca64437</errorID>
      <errorWord>，</errorWord>
      <group>L1_Word</group>
      <groupName>字词问题</groupName>
      <ability>L2_Typo</ability>
      <abilityName>字词错误</abilityName>
      <candidateList>
        <item>，并</item>
      </candidateList>
      <explain/>
      <paraID>61D8EE64</paraID>
      <start>42</start>
      <end>43</end>
      <status>ignored</status>
      <modifiedWord/>
      <trackRevisions>false</trackRevisions>
    </reviewItem>
    <reviewItem>
      <errorID>055bcece-0d64-4b70-abff-2bb32f0d696d</errorID>
      <errorWord>3千</errorWord>
      <group>L1_Knowledge</group>
      <groupName>知识性问题</groupName>
      <ability>L2_Knowledge</ability>
      <abilityName>其他知识</abilityName>
      <candidateList>
        <item>3000</item>
      </candidateList>
      <explain>根据GB/T 15835-2011规定，只有“万”、“亿可以与阿拉伯数字混用，例如：“4万”、“4亿”、“4万亿”等。其他情况应统一使用阿拉伯数字。</explain>
      <paraID>2A9E71F1</paraID>
      <start>36</start>
      <end>38</end>
      <status>ignored</status>
      <modifiedWord/>
      <trackRevisions>false</trackRevisions>
    </reviewItem>
    <reviewItem>
      <errorID>a4db0f8c-7a3a-4e52-a122-2f4a6e514218</errorID>
      <errorWord>3 千</errorWord>
      <group>L1_Knowledge</group>
      <groupName>知识性问题</groupName>
      <ability>L2_Knowledge</ability>
      <abilityName>其他知识</abilityName>
      <candidateList>
        <item>3000</item>
      </candidateList>
      <explain>根据GB/T 15835-2011规定，只有“万”、“亿可以与阿拉伯数字混用，例如：“4万”、“4亿”、“4万亿”等。其他情况应统一使用阿拉伯数字。</explain>
      <paraID> AAF705F</paraID>
      <start>45</start>
      <end>48</end>
      <status>ignored</status>
      <modifiedWord/>
      <trackRevisions>false</trackRevisions>
    </reviewItem>
    <reviewItem>
      <errorID>011a904f-65a6-4fba-8ae0-cc12e7bd6249</errorID>
      <errorWord>5千</errorWord>
      <group>L1_Knowledge</group>
      <groupName>知识性问题</groupName>
      <ability>L2_Knowledge</ability>
      <abilityName>其他知识</abilityName>
      <candidateList>
        <item>5000</item>
      </candidateList>
      <explain>根据GB/T 15835-2011规定，只有“万”、“亿可以与阿拉伯数字混用，例如：“4万”、“4亿”、“4万亿”等。其他情况应统一使用阿拉伯数字。</explain>
      <paraID>347E4366</paraID>
      <start>28</start>
      <end>30</end>
      <status>ignored</status>
      <modifiedWord/>
      <trackRevisions>false</trackRevisions>
    </reviewItem>
    <reviewItem>
      <errorID>fa1e94a7-ba85-4476-8989-5e9b1a2d8348</errorID>
      <errorWord>期限的</errorWord>
      <group>L1_Word</group>
      <groupName>字词问题</groupName>
      <ability>L2_Typo</ability>
      <abilityName>字词错误</abilityName>
      <candidateList>
        <item>期限</item>
      </candidateList>
      <explain/>
      <paraID>509D4320</paraID>
      <start>16</start>
      <end>19</end>
      <status>ignored</status>
      <modifiedWord/>
      <trackRevisions>false</trackRevisions>
    </reviewItem>
    <reviewItem>
      <errorID>bed5a7f0-d9ed-4776-a294-0052c91d50b5</errorID>
      <errorWord>；</errorWord>
      <group>L1_Format</group>
      <groupName>格式问题</groupName>
      <ability>L2_HalfPunc</ability>
      <abilityName>全半角检查</abilityName>
      <candidateList>
        <item>;</item>
      </candidateList>
      <explain>文本全半角错误。</explain>
      <paraID>14959DC4</paraID>
      <start>39</start>
      <end>40</end>
      <status>modified</status>
      <modifiedWord>;</modifiedWord>
      <trackRevisions>false</trackRevisions>
    </reviewItem>
    <reviewItem>
      <errorID>68d2f88e-8fd4-49b5-ad7a-f70a94e19b44</errorID>
      <errorWord>。</errorWord>
      <group>L1_Format</group>
      <groupName>格式问题</groupName>
      <ability>L2_HalfPunc</ability>
      <abilityName>全半角检查</abilityName>
      <candidateList>
        <item>.</item>
      </candidateList>
      <explain>文本全半角错误。</explain>
      <paraID>29612C4A</paraID>
      <start>39</start>
      <end>40</end>
      <status>ignored</status>
      <modifiedWord/>
      <trackRevisions>false</trackRevisions>
    </reviewItem>
    <reviewItem>
      <errorID>543d1902-92b0-4468-a5ba-2921fee85991</errorID>
      <errorWord>人员的</errorWord>
      <group>L1_Word</group>
      <groupName>字词问题</groupName>
      <ability>L2_Typo</ability>
      <abilityName>字词错误</abilityName>
      <candidateList>
        <item>人员</item>
      </candidateList>
      <explain/>
      <paraID>159E6FF3</paraID>
      <start>307</start>
      <end>309</end>
      <status>modified</status>
      <modifiedWord>人员</modifiedWord>
      <trackRevisions>false</trackRevisions>
    </reviewItem>
    <reviewItem>
      <errorID>5b04d6a1-bd4b-43c5-a9c0-ea5b0338b768</errorID>
      <errorWord>期限的</errorWord>
      <group>L1_Word</group>
      <groupName>字词问题</groupName>
      <ability>L2_Typo</ability>
      <abilityName>字词错误</abilityName>
      <candidateList>
        <item>期限</item>
      </candidateList>
      <explain/>
      <paraID>3E7CF412</paraID>
      <start>14</start>
      <end>17</end>
      <status>ignored</status>
      <modifiedWord/>
      <trackRevisions>false</trackRevisions>
    </reviewItem>
    <reviewItem>
      <errorID>9f93b66a-c415-4e39-8d74-f61d22d7b168</errorID>
      <errorWord>；</errorWord>
      <group>L1_Format</group>
      <groupName>格式问题</groupName>
      <ability>L2_HalfPunc</ability>
      <abilityName>全半角检查</abilityName>
      <candidateList>
        <item>;</item>
      </candidateList>
      <explain>文本全半角错误。</explain>
      <paraID>34EBD9A4</paraID>
      <start>47</start>
      <end>48</end>
      <status>modified</status>
      <modifiedWord>;</modifiedWord>
      <trackRevisions>false</trackRevisions>
    </reviewItem>
    <reviewItem>
      <errorID>9e067ca3-eb3b-436b-8f4b-45efd067b2c8</errorID>
      <errorWord>。</errorWord>
      <group>L1_Format</group>
      <groupName>格式问题</groupName>
      <ability>L2_HalfPunc</ability>
      <abilityName>全半角检查</abilityName>
      <candidateList>
        <item>.</item>
      </candidateList>
      <explain>文本全半角错误。</explain>
      <paraID>39045679</paraID>
      <start>47</start>
      <end>48</end>
      <status>ignored</status>
      <modifiedWord/>
      <trackRevisions>false</trackRevisions>
    </reviewItem>
    <reviewItem>
      <errorID>16be2c5e-1f2e-4323-a9f9-e3d9e0027ec5</errorID>
      <errorWord>(</errorWord>
      <group>L1_Format</group>
      <groupName>格式问题</groupName>
      <ability>L2_HalfPunc</ability>
      <abilityName>全半角检查</abilityName>
      <candidateList>
        <item>（</item>
      </candidateList>
      <explain>文本全半角错误。</explain>
      <paraID>19B89E4C</paraID>
      <start>12</start>
      <end>13</end>
      <status>modified</status>
      <modifiedWord>（</modifiedWord>
      <trackRevisions>false</trackRevisions>
    </reviewItem>
    <reviewItem>
      <errorID>0eeb0068-f144-475f-8663-72820bdf67ed</errorID>
      <errorWord>:</errorWord>
      <group>L1_Format</group>
      <groupName>格式问题</groupName>
      <ability>L2_HalfPunc</ability>
      <abilityName>全半角检查</abilityName>
      <candidateList>
        <item>：</item>
      </candidateList>
      <explain>文本全半角错误。</explain>
      <paraID>720984A5</paraID>
      <start>9</start>
      <end>10</end>
      <status>modified</status>
      <modifiedWord>：</modifiedWord>
      <trackRevisions>false</trackRevisions>
    </reviewItem>
    <reviewItem>
      <errorID>ecf2e5e5-0cec-4732-99a5-781de3f331ad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3ABAC473</paraID>
      <start>0</start>
      <end>2</end>
      <status>modified</status>
      <modifiedWord>1.</modifiedWord>
      <trackRevisions>false</trackRevisions>
    </reviewItem>
    <reviewItem>
      <errorID>11e8f3c3-d990-42d2-a685-c1786e54b282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7B0EB77B</paraID>
      <start>0</start>
      <end>2</end>
      <status>modified</status>
      <modifiedWord>2.</modifiedWord>
      <trackRevisions>false</trackRevisions>
    </reviewItem>
    <reviewItem>
      <errorID>f8fdcfce-b825-4aa4-a925-ae82bf04b386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61A7AE7E</paraID>
      <start>0</start>
      <end>2</end>
      <status>modified</status>
      <modifiedWord>3.</modifiedWord>
      <trackRevisions>false</trackRevisions>
    </reviewItem>
    <reviewItem>
      <errorID>2b0c2df7-c6d9-43e4-8d96-412fe433b391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1CC606D0</paraID>
      <start>0</start>
      <end>2</end>
      <status>modified</status>
      <modifiedWord>4.</modifiedWord>
      <trackRevisions>false</trackRevisions>
    </reviewItem>
    <reviewItem>
      <errorID>ebc1c555-d13d-4d0b-bc11-a6924aa24601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4BC56AC1</paraID>
      <start>0</start>
      <end>2</end>
      <status>modified</status>
      <modifiedWord>1.</modifiedWord>
      <trackRevisions>false</trackRevisions>
    </reviewItem>
    <reviewItem>
      <errorID>b474aeb3-076e-417f-afb2-11ee1b51504b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73B5B242</paraID>
      <start>0</start>
      <end>2</end>
      <status>modified</status>
      <modifiedWord>2.</modifiedWord>
      <trackRevisions>false</trackRevisions>
    </reviewItem>
    <reviewItem>
      <errorID>1e2b7eed-06ce-4983-bf55-8393245ff75a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283C9CA2</paraID>
      <start>0</start>
      <end>2</end>
      <status>modified</status>
      <modifiedWord>3.</modifiedWord>
      <trackRevisions>false</trackRevisions>
    </reviewItem>
    <reviewItem>
      <errorID>8c53dfe9-6f3a-4099-9250-dae656042f62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59F47760</paraID>
      <start>0</start>
      <end>2</end>
      <status>modified</status>
      <modifiedWord>2.</modifiedWord>
      <trackRevisions>false</trackRevisions>
    </reviewItem>
    <reviewItem>
      <errorID>de0a9d30-c1be-4fa8-b6da-2c1332175b5b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7CE73165</paraID>
      <start>0</start>
      <end>2</end>
      <status>modified</status>
      <modifiedWord>3.</modifiedWord>
      <trackRevisions>false</trackRevisions>
    </reviewItem>
    <reviewItem>
      <errorID>d643c4e6-8f63-4a14-9264-0f9f7e382c4e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34427B13</paraID>
      <start>31</start>
      <end>32</end>
      <status>ignored</status>
      <modifiedWord/>
      <trackRevisions>false</trackRevisions>
    </reviewItem>
    <reviewItem>
      <errorID>9c4c108a-d347-4120-a39d-caf117511946</errorID>
      <errorWord>:</errorWord>
      <group>L1_Format</group>
      <groupName>格式问题</groupName>
      <ability>L2_HalfPunc</ability>
      <abilityName>全半角检查</abilityName>
      <candidateList>
        <item>：</item>
      </candidateList>
      <explain>文本全半角错误。</explain>
      <paraID>77E1CE36</paraID>
      <start>9</start>
      <end>10</end>
      <status>modified</status>
      <modifiedWord>：</modifiedWord>
      <trackRevisions>false</trackRevisions>
    </reviewItem>
    <reviewItem>
      <errorID>912f11f3-a7d3-4542-922a-4087fe10951d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1F3FBD42</paraID>
      <start>0</start>
      <end>2</end>
      <status>modified</status>
      <modifiedWord>1.</modifiedWord>
      <trackRevisions>false</trackRevisions>
    </reviewItem>
    <reviewItem>
      <errorID>b3ca843e-c621-4faa-9246-37dd2a2c8ff7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43188201</paraID>
      <start>0</start>
      <end>2</end>
      <status>modified</status>
      <modifiedWord>2.</modifiedWord>
      <trackRevisions>false</trackRevisions>
    </reviewItem>
    <reviewItem>
      <errorID>28abc677-93e7-4fcb-9ee4-ad5aeedcc75e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749BB4C</paraID>
      <start>0</start>
      <end>2</end>
      <status>modified</status>
      <modifiedWord>3.</modifiedWord>
      <trackRevisions>false</trackRevisions>
    </reviewItem>
    <reviewItem>
      <errorID>107acb3d-402a-4e1f-aca4-cd5cabab5027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61B78F3E</paraID>
      <start>0</start>
      <end>2</end>
      <status>modified</status>
      <modifiedWord>4.</modifiedWord>
      <trackRevisions>false</trackRevisions>
    </reviewItem>
    <reviewItem>
      <errorID>9bbb2614-b5bf-468b-ab42-066eac0675c4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545AFB1</paraID>
      <start>0</start>
      <end>2</end>
      <status>modified</status>
      <modifiedWord>5.</modifiedWord>
      <trackRevisions>false</trackRevisions>
    </reviewItem>
    <reviewItem>
      <errorID>fe831091-db71-4290-8367-6771be91167f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564984FA</paraID>
      <start>0</start>
      <end>2</end>
      <status>modified</status>
      <modifiedWord>6.</modifiedWord>
      <trackRevisions>false</trackRevisions>
    </reviewItem>
    <reviewItem>
      <errorID>edfb4c51-1865-4cef-82ec-bac3b319a584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68D0FDAE</paraID>
      <start>0</start>
      <end>2</end>
      <status>modified</status>
      <modifiedWord>7.</modifiedWord>
      <trackRevisions>false</trackRevisions>
    </reviewItem>
    <reviewItem>
      <errorID>c11a757f-7c0d-4cd2-93a7-a9c415b55dad</errorID>
      <errorWord>。</errorWord>
      <group>L1_Punc</group>
      <groupName>标点问题</groupName>
      <ability>L2_Punc</ability>
      <abilityName>标点符号检查</abilityName>
      <candidateList/>
      <explain/>
      <paraID>6496F008</paraID>
      <start>173</start>
      <end>174</end>
      <status>ignored</status>
      <modifiedWord/>
      <trackRevisions>false</trackRevisions>
    </reviewItem>
    <reviewItem>
      <errorID>734dec80-3a3e-4271-b72d-3013d4ead8e9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3B5C744A</paraID>
      <start>0</start>
      <end>2</end>
      <status>modified</status>
      <modifiedWord>1.</modifiedWord>
      <trackRevisions>false</trackRevisions>
    </reviewItem>
    <reviewItem>
      <errorID>8ce03529-0c11-4994-8b3f-1bec44e7cafe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6E94A9FB</paraID>
      <start>0</start>
      <end>2</end>
      <status>modified</status>
      <modifiedWord>2.</modifiedWord>
      <trackRevisions>false</trackRevisions>
    </reviewItem>
    <reviewItem>
      <errorID>f538bb5b-cadc-475f-a965-22e8f6bf53bc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4FA4B3CD</paraID>
      <start>0</start>
      <end>2</end>
      <status>modified</status>
      <modifiedWord>3.</modifiedWord>
      <trackRevisions>false</trackRevisions>
    </reviewItem>
    <reviewItem>
      <errorID>0b6dff73-fb9c-45ef-bec1-6b08a2b1fd1c</errorID>
      <errorWord>，</errorWord>
      <group>L1_Word</group>
      <groupName>字词问题</groupName>
      <ability>L2_Typo</ability>
      <abilityName>字词错误</abilityName>
      <candidateList>
        <item>，由</item>
      </candidateList>
      <explain/>
      <paraID>4FA4B3CD</paraID>
      <start>92</start>
      <end>93</end>
      <status>ignored</status>
      <modifiedWord/>
      <trackRevisions>false</trackRevisions>
    </reviewItem>
    <reviewItem>
      <errorID>c9d9c69a-66e5-4647-af15-7424b50902d6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70DB42E9</paraID>
      <start>0</start>
      <end>2</end>
      <status>modified</status>
      <modifiedWord>4.</modifiedWord>
      <trackRevisions>false</trackRevisions>
    </reviewItem>
    <reviewItem>
      <errorID>507ec31e-0794-4601-afae-9a1108ea47ea</errorID>
      <errorWord>。</errorWord>
      <group>L1_Punc</group>
      <groupName>标点问题</groupName>
      <ability>L2_Punc</ability>
      <abilityName>标点符号检查</abilityName>
      <candidateList/>
      <explain/>
      <paraID>34663547</paraID>
      <start>115</start>
      <end>116</end>
      <status>ignored</status>
      <modifiedWord/>
      <trackRevisions>false</trackRevisions>
    </reviewItem>
    <reviewItem>
      <errorID>e4ed194c-42d2-4729-90a4-832dc947c05f</errorID>
      <errorWord>下</errorWord>
      <group>L1_Word</group>
      <groupName>字词问题</groupName>
      <ability>L2_Typo</ability>
      <abilityName>字词错误</abilityName>
      <candidateList>
        <item>下简</item>
      </candidateList>
      <explain/>
      <paraID> 95CAB6B</paraID>
      <start>37</start>
      <end>38</end>
      <status>ignored</status>
      <modifiedWord/>
      <trackRevisions>false</trackRevisions>
    </reviewItem>
    <reviewItem>
      <errorID>0c629da1-4380-497e-bbca-9884d351db4a</errorID>
      <errorWord>，</errorWord>
      <group>L1_Word</group>
      <groupName>字词问题</groupName>
      <ability>L2_Typo</ability>
      <abilityName>字词错误</abilityName>
      <candidateList>
        <item>，并</item>
      </candidateList>
      <explain/>
      <paraID> 95CAB6B</paraID>
      <start>145</start>
      <end>146</end>
      <status>ignored</status>
      <modifiedWord/>
      <trackRevisions>false</trackRevisions>
    </reviewItem>
    <reviewItem>
      <errorID>78ed9741-3fd3-4cc6-8d3f-11ff74068912</errorID>
      <errorWord>下</errorWord>
      <group>L1_Word</group>
      <groupName>字词问题</groupName>
      <ability>L2_Typo</ability>
      <abilityName>字词错误</abilityName>
      <candidateList>
        <item>下简</item>
      </candidateList>
      <explain/>
      <paraID>32A229A0</paraID>
      <start>28</start>
      <end>29</end>
      <status>ignored</status>
      <modifiedWord/>
      <trackRevisions>false</trackRevisions>
    </reviewItem>
    <reviewItem>
      <errorID>3d82f80c-3303-49cf-97e6-c734c8659015</errorID>
      <errorWord>７</errorWord>
      <group>L1_Format</group>
      <groupName>格式问题</groupName>
      <ability>L2_HalfPunc</ability>
      <abilityName>全半角检查</abilityName>
      <candidateList>
        <item>7</item>
      </candidateList>
      <explain>文本全半角错误。</explain>
      <paraID>277C1E31</paraID>
      <start>50</start>
      <end>51</end>
      <status>ignored</status>
      <modifiedWord/>
      <trackRevisions>false</trackRevisions>
    </reviewItem>
    <reviewItem>
      <errorID>236d9589-c153-40ed-9224-3366de9610a0</errorID>
      <errorWord>７</errorWord>
      <group>L1_Format</group>
      <groupName>格式问题</groupName>
      <ability>L2_HalfPunc</ability>
      <abilityName>全半角检查</abilityName>
      <candidateList>
        <item>7</item>
      </candidateList>
      <explain>文本全半角错误。</explain>
      <paraID> 2ED9548</paraID>
      <start>25</start>
      <end>26</end>
      <status>ignored</status>
      <modifiedWord/>
      <trackRevisions>false</trackRevisions>
    </reviewItem>
    <reviewItem>
      <errorID>7e0878ef-33f3-4549-ae77-d2574d3ac02b</errorID>
      <errorWord>需</errorWord>
      <group>L1_Word</group>
      <groupName>字词问题</groupName>
      <ability>L2_Typo</ability>
      <abilityName>字词错误</abilityName>
      <candidateList>
        <item>须</item>
      </candidateList>
      <explain/>
      <paraID>31384525</paraID>
      <start>38</start>
      <end>39</end>
      <status>ignored</status>
      <modifiedWord/>
      <trackRevisions>false</trackRevisions>
    </reviewItem>
    <reviewItem>
      <errorID>93a07b31-d605-40eb-994f-f93de28b228e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691691C0</paraID>
      <start>0</start>
      <end>2</end>
      <status>modified</status>
      <modifiedWord>1.</modifiedWord>
      <trackRevisions>false</trackRevisions>
    </reviewItem>
    <reviewItem>
      <errorID>883d9a98-bcf6-4943-916b-2db0ad8e8100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18FA620C</paraID>
      <start>0</start>
      <end>2</end>
      <status>modified</status>
      <modifiedWord>2.</modifiedWord>
      <trackRevisions>false</trackRevisions>
    </reviewItem>
    <reviewItem>
      <errorID>b23c60e6-3359-4493-8d89-103f0437dc0c</errorID>
      <errorWord>:</errorWord>
      <group>L1_Format</group>
      <groupName>格式问题</groupName>
      <ability>L2_HalfPunc</ability>
      <abilityName>全半角检查</abilityName>
      <candidateList>
        <item>：</item>
      </candidateList>
      <explain>文本全半角错误。</explain>
      <paraID>166B9089</paraID>
      <start>11</start>
      <end>12</end>
      <status>modified</status>
      <modifiedWord>：</modifiedWord>
      <trackRevisions>false</trackRevisions>
    </reviewItem>
    <reviewItem>
      <errorID>592c99f4-b62c-4c68-958c-52a6310dd7a6</errorID>
      <errorWord>的其它费用</errorWord>
      <group>L1_Word</group>
      <groupName>字词问题</groupName>
      <ability>L2_Alias</ability>
      <abilityName>也作/曾用词</abilityName>
      <candidateList>
        <item>的其他费用</item>
      </candidateList>
      <explain>词汇[的其它费用]为不规范表述或旧称，其规范书面表述为[的其他费用]。</explain>
      <paraID>2A3FF056</paraID>
      <start>45</start>
      <end>50</end>
      <status>ignored</status>
      <modifiedWord/>
      <trackRevisions>false</trackRevisions>
    </reviewItem>
    <reviewItem>
      <errorID>1ec8c118-3d02-410e-af62-7289781ada67</errorID>
      <errorWord>做</errorWord>
      <group>L1_Word</group>
      <groupName>字词问题</groupName>
      <ability>L2_Typo</ability>
      <abilityName>字词错误</abilityName>
      <candidateList>
        <item>作</item>
      </candidateList>
      <explain>存在发音相同字词的误用。</explain>
      <paraID>2A3FF056</paraID>
      <start>52</start>
      <end>53</end>
      <status>ignored</status>
      <modifiedWord/>
      <trackRevisions>false</trackRevisions>
    </reviewItem>
    <reviewItem>
      <errorID>c7eb5748-2835-476a-8917-b14e426f8f7f</errorID>
      <errorWord>一</errorWord>
      <group>L1_Word</group>
      <groupName>字词问题</groupName>
      <ability>L2_Typo</ability>
      <abilityName>字词错误</abilityName>
      <candidateList>
        <item>一道</item>
      </candidateList>
      <explain/>
      <paraID>69E806EC</paraID>
      <start>34</start>
      <end>35</end>
      <status>ignored</status>
      <modifiedWord/>
      <trackRevisions>false</trackRevisions>
    </reviewItem>
    <reviewItem>
      <errorID>8c4a0901-9a9c-4ea2-9eb3-151da0be0125</errorID>
      <errorWord>须</errorWord>
      <group>L1_Word</group>
      <groupName>字词问题</groupName>
      <ability>L2_Typo</ability>
      <abilityName>字词错误</abilityName>
      <candidateList>
        <item>需</item>
      </candidateList>
      <explain>存在发音相同字词的误用。</explain>
      <paraID>63101C5D</paraID>
      <start>8</start>
      <end>9</end>
      <status>ignored</status>
      <modifiedWord/>
      <trackRevisions>false</trackRevisions>
    </reviewItem>
    <reviewItem>
      <errorID>eb0ed919-7c34-483c-8206-c8ba47775976</errorID>
      <errorWord>)</errorWord>
      <group>L1_Format</group>
      <groupName>格式问题</groupName>
      <ability>L2_HalfPunc</ability>
      <abilityName>全半角检查</abilityName>
      <candidateList>
        <item>）</item>
      </candidateList>
      <explain>文本全半角错误。</explain>
      <paraID>57F44006</paraID>
      <start>31</start>
      <end>32</end>
      <status>modified</status>
      <modifiedWord>）</modifiedWord>
      <trackRevisions>false</trackRevisions>
    </reviewItem>
    <reviewItem>
      <errorID>9cadc25e-7a55-4283-90a7-ee8e3c2474bc</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62B9A421</paraID>
      <start>0</start>
      <end>1</end>
      <status>ignored</status>
      <modifiedWord/>
      <trackRevisions>false</trackRevisions>
    </reviewItem>
    <reviewItem>
      <errorID>ca8467de-8a49-4fed-acaf-95f7fefa720a</errorID>
      <errorWord>)</errorWord>
      <group>L1_Format</group>
      <groupName>格式问题</groupName>
      <ability>L2_HalfPunc</ability>
      <abilityName>全半角检查</abilityName>
      <candidateList>
        <item>）</item>
      </candidateList>
      <explain>文本全半角错误。</explain>
      <paraID>46A9AFCF</paraID>
      <start>30</start>
      <end>31</end>
      <status>modified</status>
      <modifiedWord>）</modifiedWord>
      <trackRevisions>false</trackRevisions>
    </reviewItem>
    <reviewItem>
      <errorID>9ff44068-1d63-4a5c-8df5-5b2038ae07af</errorID>
      <errorWord>)</errorWord>
      <group>L1_Format</group>
      <groupName>格式问题</groupName>
      <ability>L2_HalfPunc</ability>
      <abilityName>全半角检查</abilityName>
      <candidateList>
        <item>）</item>
      </candidateList>
      <explain>文本全半角错误。</explain>
      <paraID>4B8EF22E</paraID>
      <start>26</start>
      <end>27</end>
      <status>modified</status>
      <modifiedWord>）</modifiedWord>
      <trackRevisions>false</trackRevisions>
    </reviewItem>
    <reviewItem>
      <errorID>465ee3e6-1b9a-40ca-aa06-7c72903d6bbd</errorID>
      <errorWord>)</errorWord>
      <group>L1_Format</group>
      <groupName>格式问题</groupName>
      <ability>L2_HalfPunc</ability>
      <abilityName>全半角检查</abilityName>
      <candidateList>
        <item>）</item>
      </candidateList>
      <explain>文本全半角错误。</explain>
      <paraID>2B7B093F</paraID>
      <start>27</start>
      <end>28</end>
      <status>modified</status>
      <modifiedWord>）</modifiedWord>
      <trackRevisions>false</trackRevisions>
    </reviewItem>
    <reviewItem>
      <errorID>0e9804f7-428f-411e-b35f-81f9d00b1559</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562FD5AF</paraID>
      <start>10</start>
      <end>11</end>
      <status>ignored</status>
      <modifiedWord/>
      <trackRevisions>false</trackRevisions>
    </reviewItem>
    <reviewItem>
      <errorID>4dcf6ed0-053d-4657-9422-aeea5822acaf</errorID>
      <errorWord>(</errorWord>
      <group>L1_Format</group>
      <groupName>格式问题</groupName>
      <ability>L2_HalfPunc</ability>
      <abilityName>全半角检查</abilityName>
      <candidateList>
        <item>（</item>
      </candidateList>
      <explain>文本全半角错误。</explain>
      <paraID>562FD5AF</paraID>
      <start>23</start>
      <end>24</end>
      <status>modified</status>
      <modifiedWord>（</modifiedWord>
      <trackRevisions>false</trackRevisions>
    </reviewItem>
    <reviewItem>
      <errorID>db550c38-33dd-4668-ab68-7d065dd72256</errorID>
      <errorWord>)</errorWord>
      <group>L1_Format</group>
      <groupName>格式问题</groupName>
      <ability>L2_HalfPunc</ability>
      <abilityName>全半角检查</abilityName>
      <candidateList>
        <item>）</item>
      </candidateList>
      <explain>文本全半角错误。</explain>
      <paraID>76197EF1</paraID>
      <start>32</start>
      <end>33</end>
      <status>modified</status>
      <modifiedWord>）</modifiedWord>
      <trackRevisions>false</trackRevisions>
    </reviewItem>
    <reviewItem>
      <errorID>cd0fff26-c76d-4ce4-ab18-0b42b9fc6516</errorID>
      <errorWord>)</errorWord>
      <group>L1_Format</group>
      <groupName>格式问题</groupName>
      <ability>L2_HalfPunc</ability>
      <abilityName>全半角检查</abilityName>
      <candidateList>
        <item>）</item>
      </candidateList>
      <explain>文本全半角错误。</explain>
      <paraID>114286B8</paraID>
      <start>27</start>
      <end>28</end>
      <status>modified</status>
      <modifiedWord>）</modifiedWord>
      <trackRevisions>false</trackRevisions>
    </reviewItem>
    <reviewItem>
      <errorID>fe8c852a-03b4-41f6-a106-8025b3f1879e</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5F6400BC</paraID>
      <start>35</start>
      <end>37</end>
      <status>modified</status>
      <modifiedWord>涉及</modifiedWord>
      <trackRevisions>false</trackRevisions>
    </reviewItem>
    <reviewItem>
      <errorID>df8c4212-549b-45ae-9b07-db764358a169</errorID>
      <errorWord>(</errorWord>
      <group>L1_Format</group>
      <groupName>格式问题</groupName>
      <ability>L2_HalfPunc</ability>
      <abilityName>全半角检查</abilityName>
      <candidateList>
        <item>（</item>
      </candidateList>
      <explain>文本全半角错误。</explain>
      <paraID>280AEF80</paraID>
      <start>6</start>
      <end>7</end>
      <status>modified</status>
      <modifiedWord>（</modifiedWord>
      <trackRevisions>false</trackRevisions>
    </reviewItem>
    <reviewItem>
      <errorID>b314418b-d25a-4ac1-a635-9ec862482f27</errorID>
      <errorWord>)</errorWord>
      <group>L1_Format</group>
      <groupName>格式问题</groupName>
      <ability>L2_HalfPunc</ability>
      <abilityName>全半角检查</abilityName>
      <candidateList>
        <item>）</item>
      </candidateList>
      <explain>文本全半角错误。</explain>
      <paraID>280AEF80</paraID>
      <start>13</start>
      <end>14</end>
      <status>modified</status>
      <modifiedWord>）</modifiedWord>
      <trackRevisions>false</trackRevisions>
    </reviewItem>
    <reviewItem>
      <errorID>302321d7-512c-4bd9-9157-4aa16cec8c78</errorID>
      <errorWord>(</errorWord>
      <group>L1_Format</group>
      <groupName>格式问题</groupName>
      <ability>L2_HalfPunc</ability>
      <abilityName>全半角检查</abilityName>
      <candidateList>
        <item>（</item>
      </candidateList>
      <explain>文本全半角错误。</explain>
      <paraID>49560274</paraID>
      <start>9</start>
      <end>10</end>
      <status>modified</status>
      <modifiedWord>（</modifiedWord>
      <trackRevisions>false</trackRevisions>
    </reviewItem>
    <reviewItem>
      <errorID>0a7845ee-536c-4f9d-b807-fe789f74d796</errorID>
      <errorWord>)</errorWord>
      <group>L1_Format</group>
      <groupName>格式问题</groupName>
      <ability>L2_HalfPunc</ability>
      <abilityName>全半角检查</abilityName>
      <candidateList>
        <item>）</item>
      </candidateList>
      <explain>文本全半角错误。</explain>
      <paraID>49560274</paraID>
      <start>16</start>
      <end>17</end>
      <status>modified</status>
      <modifiedWord>）</modifiedWord>
      <trackRevisions>false</trackRevisions>
    </reviewItem>
    <reviewItem>
      <errorID>46c232a8-850e-478f-8613-32627f318d13</errorID>
      <errorWord>(</errorWord>
      <group>L1_Format</group>
      <groupName>格式问题</groupName>
      <ability>L2_HalfPunc</ability>
      <abilityName>全半角检查</abilityName>
      <candidateList>
        <item>（</item>
      </candidateList>
      <explain>文本全半角错误。</explain>
      <paraID>145568F5</paraID>
      <start>6</start>
      <end>7</end>
      <status>modified</status>
      <modifiedWord>（</modifiedWord>
      <trackRevisions>false</trackRevisions>
    </reviewItem>
    <reviewItem>
      <errorID>d94b762a-4a10-4217-b781-1310a472f3c4</errorID>
      <errorWord>)</errorWord>
      <group>L1_Format</group>
      <groupName>格式问题</groupName>
      <ability>L2_HalfPunc</ability>
      <abilityName>全半角检查</abilityName>
      <candidateList>
        <item>）</item>
      </candidateList>
      <explain>文本全半角错误。</explain>
      <paraID>145568F5</paraID>
      <start>13</start>
      <end>14</end>
      <status>modified</status>
      <modifiedWord>）</modifiedWord>
      <trackRevisions>false</trackRevisions>
    </reviewItem>
    <reviewItem>
      <errorID>14537009-ad3e-4e37-82bd-d0316faa268a</errorID>
      <errorWord>(</errorWord>
      <group>L1_Format</group>
      <groupName>格式问题</groupName>
      <ability>L2_HalfPunc</ability>
      <abilityName>全半角检查</abilityName>
      <candidateList>
        <item>（</item>
      </candidateList>
      <explain>文本全半角错误。</explain>
      <paraID>2239286B</paraID>
      <start>7</start>
      <end>8</end>
      <status>modified</status>
      <modifiedWord>（</modifiedWord>
      <trackRevisions>false</trackRevisions>
    </reviewItem>
    <reviewItem>
      <errorID>da66f874-ada0-4ac1-bc04-21de09754baf</errorID>
      <errorWord>)</errorWord>
      <group>L1_Format</group>
      <groupName>格式问题</groupName>
      <ability>L2_HalfPunc</ability>
      <abilityName>全半角检查</abilityName>
      <candidateList>
        <item>）</item>
      </candidateList>
      <explain>文本全半角错误。</explain>
      <paraID>2239286B</paraID>
      <start>14</start>
      <end>15</end>
      <status>modified</status>
      <modifiedWord>）</modifiedWord>
      <trackRevisions>false</trackRevisions>
    </reviewItem>
    <reviewItem>
      <errorID>1730bb59-c829-4f50-bd21-9c9f7f8fa927</errorID>
      <errorWord>(</errorWord>
      <group>L1_Format</group>
      <groupName>格式问题</groupName>
      <ability>L2_HalfPunc</ability>
      <abilityName>全半角检查</abilityName>
      <candidateList>
        <item>（</item>
      </candidateList>
      <explain>文本全半角错误。</explain>
      <paraID>1A528115</paraID>
      <start>7</start>
      <end>8</end>
      <status>modified</status>
      <modifiedWord>（</modifiedWord>
      <trackRevisions>false</trackRevisions>
    </reviewItem>
    <reviewItem>
      <errorID>a42017e9-bd45-4ba8-8a7d-eb9bea1b20ab</errorID>
      <errorWord>)</errorWord>
      <group>L1_Format</group>
      <groupName>格式问题</groupName>
      <ability>L2_HalfPunc</ability>
      <abilityName>全半角检查</abilityName>
      <candidateList>
        <item>）</item>
      </candidateList>
      <explain>文本全半角错误。</explain>
      <paraID>1A528115</paraID>
      <start>14</start>
      <end>15</end>
      <status>modified</status>
      <modifiedWord>）</modifiedWord>
      <trackRevisions>false</trackRevisions>
    </reviewItem>
    <reviewItem>
      <errorID>e8ef8059-69d8-4c12-b4f5-9a6b78ed5d46</errorID>
      <errorWord>(</errorWord>
      <group>L1_Format</group>
      <groupName>格式问题</groupName>
      <ability>L2_HalfPunc</ability>
      <abilityName>全半角检查</abilityName>
      <candidateList>
        <item>（</item>
      </candidateList>
      <explain>文本全半角错误。</explain>
      <paraID>514EC2DE</paraID>
      <start>10</start>
      <end>11</end>
      <status>modified</status>
      <modifiedWord>（</modifiedWord>
      <trackRevisions>false</trackRevisions>
    </reviewItem>
    <reviewItem>
      <errorID>a1720012-b612-43b4-a1cb-1b5ee5e857c7</errorID>
      <errorWord>)</errorWord>
      <group>L1_Format</group>
      <groupName>格式问题</groupName>
      <ability>L2_HalfPunc</ability>
      <abilityName>全半角检查</abilityName>
      <candidateList>
        <item>）</item>
      </candidateList>
      <explain>文本全半角错误。</explain>
      <paraID>514EC2DE</paraID>
      <start>17</start>
      <end>18</end>
      <status>modified</status>
      <modifiedWord>）</modifiedWord>
      <trackRevisions>false</trackRevisions>
    </reviewItem>
    <reviewItem>
      <errorID>a7a4c1ac-a959-46b8-80e4-81d51b9e7acd</errorID>
      <errorWord>(</errorWord>
      <group>L1_Format</group>
      <groupName>格式问题</groupName>
      <ability>L2_HalfPunc</ability>
      <abilityName>全半角检查</abilityName>
      <candidateList>
        <item>（</item>
      </candidateList>
      <explain>文本全半角错误。</explain>
      <paraID>  5D375A</paraID>
      <start>7</start>
      <end>8</end>
      <status>modified</status>
      <modifiedWord>（</modifiedWord>
      <trackRevisions>false</trackRevisions>
    </reviewItem>
    <reviewItem>
      <errorID>731adce0-d65e-4557-a22d-22415970c621</errorID>
      <errorWord>)</errorWord>
      <group>L1_Format</group>
      <groupName>格式问题</groupName>
      <ability>L2_HalfPunc</ability>
      <abilityName>全半角检查</abilityName>
      <candidateList>
        <item>）</item>
      </candidateList>
      <explain>文本全半角错误。</explain>
      <paraID>  5D375A</paraID>
      <start>14</start>
      <end>15</end>
      <status>modified</status>
      <modifiedWord>）</modifiedWord>
      <trackRevisions>false</trackRevisions>
    </reviewItem>
    <reviewItem>
      <errorID>82804d85-4f2d-409a-aff3-2d39dea7c649</errorID>
      <errorWord>(</errorWord>
      <group>L1_Format</group>
      <groupName>格式问题</groupName>
      <ability>L2_HalfPunc</ability>
      <abilityName>全半角检查</abilityName>
      <candidateList>
        <item>（</item>
      </candidateList>
      <explain>文本全半角错误。</explain>
      <paraID>1909113C</paraID>
      <start>10</start>
      <end>11</end>
      <status>modified</status>
      <modifiedWord>（</modifiedWord>
      <trackRevisions>false</trackRevisions>
    </reviewItem>
    <reviewItem>
      <errorID>dc51c1a5-b2cc-43fe-a707-b8b0bbe253d5</errorID>
      <errorWord>)</errorWord>
      <group>L1_Format</group>
      <groupName>格式问题</groupName>
      <ability>L2_HalfPunc</ability>
      <abilityName>全半角检查</abilityName>
      <candidateList>
        <item>）</item>
      </candidateList>
      <explain>文本全半角错误。</explain>
      <paraID>1909113C</paraID>
      <start>17</start>
      <end>18</end>
      <status>modified</status>
      <modifiedWord>）</modifiedWord>
      <trackRevisions>false</trackRevisions>
    </reviewItem>
    <reviewItem>
      <errorID>f73fb09f-bd84-46af-a905-64d15c8ad7d6</errorID>
      <errorWord>(</errorWord>
      <group>L1_Format</group>
      <groupName>格式问题</groupName>
      <ability>L2_HalfPunc</ability>
      <abilityName>全半角检查</abilityName>
      <candidateList>
        <item>（</item>
      </candidateList>
      <explain>文本全半角错误。</explain>
      <paraID>22DC04FF</paraID>
      <start>7</start>
      <end>8</end>
      <status>modified</status>
      <modifiedWord>（</modifiedWord>
      <trackRevisions>false</trackRevisions>
    </reviewItem>
    <reviewItem>
      <errorID>0f919dec-a43c-4c15-b15b-fd54c9e3f1a5</errorID>
      <errorWord>)</errorWord>
      <group>L1_Format</group>
      <groupName>格式问题</groupName>
      <ability>L2_HalfPunc</ability>
      <abilityName>全半角检查</abilityName>
      <candidateList>
        <item>）</item>
      </candidateList>
      <explain>文本全半角错误。</explain>
      <paraID>22DC04FF</paraID>
      <start>14</start>
      <end>15</end>
      <status>modified</status>
      <modifiedWord>）</modifiedWord>
      <trackRevisions>false</trackRevisions>
    </reviewItem>
    <reviewItem>
      <errorID>d45e3e20-22bf-4a04-b56a-c2a6a9a2486c</errorID>
      <errorWord>-</errorWord>
      <group>L1_Format</group>
      <groupName>格式问题</groupName>
      <ability>L2_HalfPunc</ability>
      <abilityName>全半角检查</abilityName>
      <candidateList>
        <item>－</item>
      </candidateList>
      <explain>文本全半角错误。</explain>
      <paraID>34298EA7</paraID>
      <start>5</start>
      <end>6</end>
      <status>modified</status>
      <modifiedWord>－</modifiedWord>
      <trackRevisions>false</trackRevisions>
    </reviewItem>
    <reviewItem>
      <errorID>d006902e-e373-40c3-a0ff-8fb7cd82da1d</errorID>
      <errorWord>-</errorWord>
      <group>L1_Format</group>
      <groupName>格式问题</groupName>
      <ability>L2_HalfPunc</ability>
      <abilityName>全半角检查</abilityName>
      <candidateList>
        <item>－</item>
      </candidateList>
      <explain>文本全半角错误。</explain>
      <paraID>143C83D6</paraID>
      <start>5</start>
      <end>6</end>
      <status>modified</status>
      <modifiedWord>－</modifiedWord>
      <trackRevisions>false</trackRevisions>
    </reviewItem>
    <reviewItem>
      <errorID>29f57940-ead3-4b79-a253-ebe5cf482a08</errorID>
      <errorWord>-</errorWord>
      <group>L1_Format</group>
      <groupName>格式问题</groupName>
      <ability>L2_HalfPunc</ability>
      <abilityName>全半角检查</abilityName>
      <candidateList>
        <item>－</item>
      </candidateList>
      <explain>文本全半角错误。</explain>
      <paraID>39D8578B</paraID>
      <start>3</start>
      <end>4</end>
      <status>modified</status>
      <modifiedWord>－</modifiedWord>
      <trackRevisions>false</trackRevisions>
    </reviewItem>
    <reviewItem>
      <errorID>28f52ef2-119c-4fd5-bca5-d2576d13a166</errorID>
      <errorWord>-</errorWord>
      <group>L1_Format</group>
      <groupName>格式问题</groupName>
      <ability>L2_HalfPunc</ability>
      <abilityName>全半角检查</abilityName>
      <candidateList>
        <item>－</item>
      </candidateList>
      <explain>文本全半角错误。</explain>
      <paraID> CA2B1F4</paraID>
      <start>14</start>
      <end>15</end>
      <status>modified</status>
      <modifiedWord>－</modifiedWord>
      <trackRevisions>false</trackRevisions>
    </reviewItem>
    <reviewItem>
      <errorID>ba257ae0-fbf1-42d6-adfe-7b748349d624</errorID>
      <errorWord>-</errorWord>
      <group>L1_Format</group>
      <groupName>格式问题</groupName>
      <ability>L2_HalfPunc</ability>
      <abilityName>全半角检查</abilityName>
      <candidateList>
        <item>－</item>
      </candidateList>
      <explain>文本全半角错误。</explain>
      <paraID>7CA4B81C</paraID>
      <start>11</start>
      <end>12</end>
      <status>modified</status>
      <modifiedWord>－</modifiedWord>
      <trackRevisions>false</trackRevisions>
    </reviewItem>
    <reviewItem>
      <errorID>2ff32177-c85a-4ec2-b46d-10e883341393</errorID>
      <errorWord>:</errorWord>
      <group>L1_Format</group>
      <groupName>格式问题</groupName>
      <ability>L2_HalfPunc</ability>
      <abilityName>全半角检查</abilityName>
      <candidateList>
        <item>：</item>
      </candidateList>
      <explain>文本全半角错误。</explain>
      <paraID>303E071F</paraID>
      <start>5</start>
      <end>6</end>
      <status>modified</status>
      <modifiedWord>：</modifiedWord>
      <trackRevisions>false</trackRevisions>
    </reviewItem>
    <reviewItem>
      <errorID>8b008318-7836-4ade-b7fb-0fedbcc32525</errorID>
      <errorWord>。</errorWord>
      <group>L1_Format</group>
      <groupName>格式问题</groupName>
      <ability>L2_HalfPunc</ability>
      <abilityName>全半角检查</abilityName>
      <candidateList>
        <item>.</item>
      </candidateList>
      <explain>文本全半角错误。</explain>
      <paraID>343E8795</paraID>
      <start>7</start>
      <end>8</end>
      <status>ignored</status>
      <modifiedWord/>
      <trackRevisions>false</trackRevisions>
    </reviewItem>
    <reviewItem>
      <errorID>392c4914-2148-459a-91d0-70b79ad4f5d8</errorID>
      <errorWord>任</errorWord>
      <group>L1_Word</group>
      <groupName>字词问题</groupName>
      <ability>L2_Typo</ability>
      <abilityName>字词错误</abilityName>
      <candidateList>
        <item>任何</item>
      </candidateList>
      <explain/>
      <paraID>3D0FDE6E</paraID>
      <start>20</start>
      <end>21</end>
      <status>ignored</status>
      <modifiedWord/>
      <trackRevisions>false</trackRevisions>
    </reviewItem>
    <reviewItem>
      <errorID>b74d02cf-d49c-4883-8f1b-38a69dda2a48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7E763066</paraID>
      <start>0</start>
      <end>2</end>
      <status>modified</status>
      <modifiedWord>1.</modifiedWord>
      <trackRevisions>false</trackRevisions>
    </reviewItem>
    <reviewItem>
      <errorID>e0b61bdd-e8de-4015-9c17-e8de14356695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1480EFB1</paraID>
      <start>0</start>
      <end>2</end>
      <status>modified</status>
      <modifiedWord>2.</modifiedWord>
      <trackRevisions>false</trackRevisions>
    </reviewItem>
    <reviewItem>
      <errorID>43cbce80-4442-44bf-9bbb-f44cf2b2c8ef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40082076</paraID>
      <start>0</start>
      <end>2</end>
      <status>modified</status>
      <modifiedWord>3.</modifiedWord>
      <trackRevisions>false</trackRevisions>
    </reviewItem>
    <reviewItem>
      <errorID>e8875536-6811-46e7-87ff-fa09e5ed86f5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62AEBCE2</paraID>
      <start>0</start>
      <end>2</end>
      <status>modified</status>
      <modifiedWord>4.</modifiedWord>
      <trackRevisions>false</trackRevisions>
    </reviewItem>
    <reviewItem>
      <errorID>8fb31a83-d090-439b-a99e-eeec33d0c1c4</errorID>
      <errorWord>。</errorWord>
      <group>L1_Punc</group>
      <groupName>标点问题</groupName>
      <ability>L2_Punc</ability>
      <abilityName>标点符号检查</abilityName>
      <candidateList/>
      <explain/>
      <paraID>6621CCDA</paraID>
      <start>74</start>
      <end>75</end>
      <status>ignored</status>
      <modifiedWord/>
      <trackRevisions>false</trackRevisions>
    </reviewItem>
    <reviewItem>
      <errorID>42423573-e4a4-403b-818c-9b3c05f45133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3B41EEB4</paraID>
      <start>0</start>
      <end>2</end>
      <status>modified</status>
      <modifiedWord>5.</modifiedWord>
      <trackRevisions>false</trackRevisions>
    </reviewItem>
    <reviewItem>
      <errorID>dcab9cd0-abe0-4480-b6cb-97840623acf4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6DCC8EE2</paraID>
      <start>0</start>
      <end>2</end>
      <status>modified</status>
      <modifiedWord>6.</modifiedWord>
      <trackRevisions>false</trackRevisions>
    </reviewItem>
    <reviewItem>
      <errorID>c3fc04c1-f74a-4838-aa2a-3b255ee9cff0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C7C667D</paraID>
      <start>0</start>
      <end>2</end>
      <status>modified</status>
      <modifiedWord>7.</modifiedWord>
      <trackRevisions>false</trackRevisions>
    </reviewItem>
    <reviewItem>
      <errorID>4da416ad-e184-433a-af14-a1255d7a1784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7D91D71A</paraID>
      <start>0</start>
      <end>2</end>
      <status>modified</status>
      <modifiedWord>8.</modifiedWord>
      <trackRevisions>false</trackRevisions>
    </reviewItem>
    <reviewItem>
      <errorID>e08b7c95-9336-4a6b-b0fd-7b4d98ccd741</errorID>
      <errorWord>项目经理的</errorWord>
      <group>L1_Word</group>
      <groupName>字词问题</groupName>
      <ability>L2_Typo</ability>
      <abilityName>字词错误</abilityName>
      <candidateList>
        <item>项目经理</item>
      </candidateList>
      <explain/>
      <paraID>2C8377B9</paraID>
      <start>89</start>
      <end>94</end>
      <status>ignored</status>
      <modifiedWord/>
      <trackRevisions>false</trackRevisions>
    </reviewItem>
    <reviewItem>
      <errorID>5ed37ef4-12c7-422e-b46a-501fc8fd14a4</errorID>
      <errorWord>;</errorWord>
      <group>L1_Format</group>
      <groupName>格式问题</groupName>
      <ability>L2_HalfPunc</ability>
      <abilityName>全半角检查</abilityName>
      <candidateList>
        <item>；</item>
      </candidateList>
      <explain>文本全半角错误。</explain>
      <paraID>720C83A4</paraID>
      <start>17</start>
      <end>18</end>
      <status>modified</status>
      <modifiedWord>；</modifiedWord>
      <trackRevisions>false</trackRevisions>
    </reviewItem>
    <reviewItem>
      <errorID>5314cd20-0e7e-4ecb-b56b-ac4ae1069632</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3B068424</paraID>
      <start>0</start>
      <end>2</end>
      <status>modified</status>
      <modifiedWord>一、</modifiedWord>
      <trackRevisions>false</trackRevisions>
    </reviewItem>
    <reviewItem>
      <errorID>746f2835-67d9-47af-b8fa-0448965d2b74</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530E530E</paraID>
      <start>0</start>
      <end>2</end>
      <status>modified</status>
      <modifiedWord>二、</modifiedWord>
      <trackRevisions>false</trackRevisions>
    </reviewItem>
    <reviewItem>
      <errorID>54aa54c6-dfcf-42ae-b6bf-196b2f9361c8</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18259821</paraID>
      <start>0</start>
      <end>2</end>
      <status>modified</status>
      <modifiedWord>三、</modifiedWord>
      <trackRevisions>false</trackRevisions>
    </reviewItem>
    <reviewItem>
      <errorID>ec2b71a3-f71a-4a1e-b931-1f07dc4a4dd2</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5C52DAAF</paraID>
      <start>0</start>
      <end>2</end>
      <status>modified</status>
      <modifiedWord>四、</modifiedWord>
      <trackRevisions>false</trackRevisions>
    </reviewItem>
    <reviewItem>
      <errorID>90fb8c3f-990f-428d-904b-e1e31cc13e20</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590FC19E</paraID>
      <start>0</start>
      <end>2</end>
      <status>modified</status>
      <modifiedWord>五、</modifiedWord>
      <trackRevisions>false</trackRevisions>
    </reviewItem>
    <reviewItem>
      <errorID>ba5b118a-4eb1-4a55-af09-3934c578ca8f</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6A9BB893</paraID>
      <start>0</start>
      <end>2</end>
      <status>modified</status>
      <modifiedWord>六、</modifiedWord>
      <trackRevisions>false</trackRevisions>
    </reviewItem>
    <reviewItem>
      <errorID>32ba750b-b66f-4a65-bd90-4d1ddace00b6</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254754DD</paraID>
      <start>0</start>
      <end>2</end>
      <status>modified</status>
      <modifiedWord>七、</modifiedWord>
      <trackRevisions>false</trackRevisions>
    </reviewItem>
    <reviewItem>
      <errorID>f613b465-aab4-48e6-b81d-190e39d6a9b8</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2378968E</paraID>
      <start>0</start>
      <end>2</end>
      <status>modified</status>
      <modifiedWord>八、</modifiedWord>
      <trackRevisions>false</trackRevisions>
    </reviewItem>
    <reviewItem>
      <errorID>fdaf932a-9369-4f60-998c-aaa0196147c6</errorID>
      <errorWord>九．</errorWord>
      <group>L1_Format</group>
      <groupName>格式问题</groupName>
      <ability>L2_Ordinal</ability>
      <abilityName>序号格式</abilityName>
      <candidateList>
        <item>九、</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542A2DDA</paraID>
      <start>0</start>
      <end>2</end>
      <status>modified</status>
      <modifiedWord>九、</modifiedWord>
      <trackRevisions>false</trackRevisions>
    </reviewItem>
    <reviewItem>
      <errorID>eb61c5c6-2bc9-487f-9bc7-0ac47b6a35a6</errorID>
      <errorWord>十．</errorWord>
      <group>L1_Format</group>
      <groupName>格式问题</groupName>
      <ability>L2_Ordinal</ability>
      <abilityName>序号格式</abilityName>
      <candidateList>
        <item>十、</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68CBB7F4</paraID>
      <start>0</start>
      <end>2</end>
      <status>modified</status>
      <modifiedWord>十、</modifiedWord>
      <trackRevisions>false</trackRevisions>
    </reviewItem>
    <reviewItem>
      <errorID>e580f5fc-8f85-4919-bfa7-93f058c42df8</errorID>
      <errorWord>十一．</errorWord>
      <group>L1_Format</group>
      <groupName>格式问题</groupName>
      <ability>L2_Ordinal</ability>
      <abilityName>序号格式</abilityName>
      <candidateList>
        <item>十一、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76527884</paraID>
      <start>0</start>
      <end>3</end>
      <status>modified</status>
      <modifiedWord>十一、</modifiedWord>
      <trackRevisions>false</trackRevisions>
    </reviewItem>
    <reviewItem>
      <errorID>2f45c813-46c7-42fc-bedf-eea6ae87d5ed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5912520C</paraID>
      <start>0</start>
      <end>2</end>
      <status>modified</status>
      <modifiedWord>1.</modifiedWord>
      <trackRevisions>false</trackRevisions>
    </reviewItem>
    <reviewItem>
      <errorID>8ae750b3-e9f8-4a09-9743-0c21e9261c94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23EC9E49</paraID>
      <start>0</start>
      <end>2</end>
      <status>modified</status>
      <modifiedWord>2.</modifiedWord>
      <trackRevisions>false</trackRevisions>
    </reviewItem>
    <reviewItem>
      <errorID>4c9b3762-238d-4c87-85c1-1152398ac889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30B218ED</paraID>
      <start>0</start>
      <end>2</end>
      <status>modified</status>
      <modifiedWord>3.</modifiedWord>
      <trackRevisions>false</trackRevisions>
    </reviewItem>
    <reviewItem>
      <errorID>8452dee0-8fec-4d7f-b3f5-b86d2858e686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20717EFB</paraID>
      <start>0</start>
      <end>2</end>
      <status>modified</status>
      <modifiedWord>4.</modifiedWord>
      <trackRevisions>false</trackRevisions>
    </reviewItem>
    <reviewItem>
      <errorID>78997aa6-3286-43fc-a938-2b7fad1c2dee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5FA152C5</paraID>
      <start>0</start>
      <end>2</end>
      <status>modified</status>
      <modifiedWord>5.</modifiedWord>
      <trackRevisions>false</trackRevisions>
    </reviewItem>
    <reviewItem>
      <errorID>25ed9053-1bc1-457a-98be-e5be1cfa0a83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2F7FE79F</paraID>
      <start>0</start>
      <end>2</end>
      <status>modified</status>
      <modifiedWord>6.</modifiedWord>
      <trackRevisions>false</trackRevisions>
    </reviewItem>
    <reviewItem>
      <errorID>f2244767-a616-4158-8aa3-8834577a49c4</errorID>
      <errorWord>年</errorWord>
      <group>L1_Word</group>
      <groupName>字词问题</groupName>
      <ability>L2_Typo</ability>
      <abilityName>字词错误</abilityName>
      <candidateList>
        <item>年来</item>
      </candidateList>
      <explain/>
      <paraID>5DB33C6A</paraID>
      <start>1</start>
      <end>2</end>
      <status>ignored</status>
      <modifiedWord/>
      <trackRevisions>false</trackRevisions>
    </reviewItem>
    <reviewItem>
      <errorID>75e83289-0d31-4adc-abfb-091bb2fbd42f</errorID>
      <errorWord>年</errorWord>
      <group>L1_Word</group>
      <groupName>字词问题</groupName>
      <ability>L2_Typo</ability>
      <abilityName>字词错误</abilityName>
      <candidateList>
        <item>年来</item>
      </candidateList>
      <explain/>
      <paraID>6A1B3393</paraID>
      <start>1</start>
      <end>2</end>
      <status>ignored</status>
      <modifiedWord/>
      <trackRevisions>false</trackRevisions>
    </reviewItem>
    <reviewItem>
      <errorID>195a75c1-1719-4113-bfda-6ce77dce4538</errorID>
      <errorWord>截止</errorWord>
      <group>L1_Word</group>
      <groupName>字词问题</groupName>
      <ability>L2_Typo</ability>
      <abilityName>字词错误</abilityName>
      <candidateList>
        <item>截至</item>
      </candidateList>
      <explain>存在发音相同字词的误用。</explain>
      <paraID>2083A552</paraID>
      <start>7</start>
      <end>9</end>
      <status>ignored</status>
      <modifiedWord/>
      <trackRevisions>false</trackRevisions>
    </reviewItem>
    <reviewItem>
      <errorID>7ef8f168-29a1-4f51-9c84-82223c2069aa</errorID>
      <errorWord>-</errorWord>
      <group>L1_Format</group>
      <groupName>格式问题</groupName>
      <ability>L2_HalfPunc</ability>
      <abilityName>全半角检查</abilityName>
      <candidateList>
        <item>－</item>
      </candidateList>
      <explain>文本全半角错误。</explain>
      <paraID>3BF5EABE</paraID>
      <start>17</start>
      <end>18</end>
      <status>modified</status>
      <modifiedWord>－</modifiedWord>
      <trackRevisions>false</trackRevisions>
    </reviewItem>
    <reviewItem>
      <errorID>fed258cf-77a4-4b8d-91a1-efd008bf1e46</errorID>
      <errorWord>做出</errorWord>
      <group>L1_Word</group>
      <groupName>字词问题</groupName>
      <ability>L2_Typo</ability>
      <abilityName>字词错误</abilityName>
      <candidateList>
        <item>作出</item>
      </candidateList>
      <explain/>
      <paraID>405EFC06</paraID>
      <start>48</start>
      <end>50</end>
      <status>ignored</status>
      <modifiedWord/>
      <trackRevisions>false</trackRevisions>
    </reviewItem>
    <reviewItem>
      <errorID>12ced3dc-b1ad-4c93-bb2a-0d33b0377a94</errorID>
      <errorWord>做出</errorWord>
      <group>L1_Word</group>
      <groupName>字词问题</groupName>
      <ability>L2_Typo</ability>
      <abilityName>字词错误</abilityName>
      <candidateList>
        <item>作出</item>
      </candidateList>
      <explain/>
      <paraID>44D70410</paraID>
      <start>28</start>
      <end>30</end>
      <status>ignored</status>
      <modifiedWord/>
      <trackRevisions>false</trackRevisions>
    </reviewItem>
    <reviewItem>
      <errorID>bde21dc6-58ef-4b34-aaed-d79c018cb9d9</errorID>
      <errorWord>年</errorWord>
      <group>L1_Word</group>
      <groupName>字词问题</groupName>
      <ability>L2_Typo</ability>
      <abilityName>字词错误</abilityName>
      <candidateList>
        <item>年来</item>
      </candidateList>
      <explain/>
      <paraID>31878CA8</paraID>
      <start>3</start>
      <end>4</end>
      <status>ignored</status>
      <modifiedWord/>
      <trackRevisions>false</trackRevisions>
    </reviewItem>
    <reviewItem>
      <errorID>03271a8c-6b4a-4c3a-a47c-51c56c5058e5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57B7C050</paraID>
      <start>0</start>
      <end>2</end>
      <status>modified</status>
      <modifiedWord>1.</modifiedWord>
      <trackRevisions>false</trackRevisions>
    </reviewItem>
    <reviewItem>
      <errorID>68f52838-dbdf-45f6-a5cc-a6dac40c95c0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7C9A3EA8</paraID>
      <start>0</start>
      <end>2</end>
      <status>modified</status>
      <modifiedWord>2.</modifiedWord>
      <trackRevisions>false</trackRevisions>
    </reviewItem>
    <reviewItem>
      <errorID>f6e3e87e-86c2-447e-b4c1-04d922df8772</errorID>
      <errorWord>KW</errorWord>
      <group>L1_Word</group>
      <groupName>字词问题</groupName>
      <ability>L2_Typo</ability>
      <abilityName>字词错误</abilityName>
      <candidateList>
        <item>kW</item>
      </candidateList>
      <explain/>
      <paraID>6903C6AA</paraID>
      <start>1</start>
      <end>3</end>
      <status>ignored</status>
      <modifiedWord/>
      <trackRevisions>false</trackRevisions>
    </reviewItem>
    <reviewItem>
      <errorID>c8709e30-03de-4e62-bb12-e822cbeb8d47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50325016</paraID>
      <start>0</start>
      <end>2</end>
      <status>modified</status>
      <modifiedWord>1.</modifiedWord>
      <trackRevisions>false</trackRevisions>
    </reviewItem>
    <reviewItem>
      <errorID>f36c0537-e078-46f8-866f-73cee9bf97c8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15C61F58</paraID>
      <start>0</start>
      <end>2</end>
      <status>modified</status>
      <modifiedWord>2.</modifiedWord>
      <trackRevisions>false</trackRevisions>
    </reviewItem>
    <reviewItem>
      <errorID>9f5222e7-2b46-4b62-8abf-71b306b1fdf0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546C6078</paraID>
      <start>0</start>
      <end>2</end>
      <status>modified</status>
      <modifiedWord>1.</modifiedWord>
      <trackRevisions>false</trackRevisions>
    </reviewItem>
    <reviewItem>
      <errorID>21e1dd63-dd7b-4f31-a54e-e9e61913f4a0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44B36D6E</paraID>
      <start>0</start>
      <end>2</end>
      <status>modified</status>
      <modifiedWord>2.</modifiedWord>
      <trackRevisions>false</trackRevisions>
    </reviewItem>
    <reviewItem>
      <errorID>5f5f5a6d-eb43-4440-8b8a-d471a7803c11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32C1857C</paraID>
      <start>0</start>
      <end>2</end>
      <status>modified</status>
      <modifiedWord>3.</modifiedWord>
      <trackRevisions>false</trackRevisions>
    </reviewItem>
    <reviewItem>
      <errorID>602b9ea6-4ae1-4632-9ed7-6c8e8a77e70f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7A3860</paraID>
      <start>0</start>
      <end>2</end>
      <status>modified</status>
      <modifiedWord>4.</modifiedWord>
      <trackRevisions>false</trackRevisions>
    </reviewItem>
    <reviewItem>
      <errorID>49350133-5569-43ca-b6c8-d3aec9df8e1f</errorID>
      <errorWord>(</errorWord>
      <group>L1_Format</group>
      <groupName>格式问题</groupName>
      <ability>L2_HalfPunc</ability>
      <abilityName>全半角检查</abilityName>
      <candidateList>
        <item>（</item>
      </candidateList>
      <explain>文本全半角错误。</explain>
      <paraID>11ABD3E6</paraID>
      <start>6</start>
      <end>7</end>
      <status>modified</status>
      <modifiedWord>（</modifiedWord>
      <trackRevisions>false</trackRevisions>
    </reviewItem>
    <reviewItem>
      <errorID>4674c940-ee8d-4a9a-b1fe-79b870b51910</errorID>
      <errorWord>)</errorWord>
      <group>L1_Format</group>
      <groupName>格式问题</groupName>
      <ability>L2_HalfPunc</ability>
      <abilityName>全半角检查</abilityName>
      <candidateList>
        <item>）</item>
      </candidateList>
      <explain>文本全半角错误。</explain>
      <paraID>11ABD3E6</paraID>
      <start>13</start>
      <end>14</end>
      <status>modified</status>
      <modifiedWord>）</modifiedWord>
      <trackRevisions>false</trackRevisions>
    </reviewItem>
    <reviewItem>
      <errorID>2cb14c02-7729-42dc-bddc-55b10d8ec3df</errorID>
      <errorWord>(</errorWord>
      <group>L1_Format</group>
      <groupName>格式问题</groupName>
      <ability>L2_HalfPunc</ability>
      <abilityName>全半角检查</abilityName>
      <candidateList>
        <item>（</item>
      </candidateList>
      <explain>文本全半角错误。</explain>
      <paraID>50983430</paraID>
      <start>9</start>
      <end>10</end>
      <status>modified</status>
      <modifiedWord>（</modifiedWord>
      <trackRevisions>false</trackRevisions>
    </reviewItem>
    <reviewItem>
      <errorID>b43b0a97-c292-4baa-a040-bbc964890769</errorID>
      <errorWord>)</errorWord>
      <group>L1_Format</group>
      <groupName>格式问题</groupName>
      <ability>L2_HalfPunc</ability>
      <abilityName>全半角检查</abilityName>
      <candidateList>
        <item>）</item>
      </candidateList>
      <explain>文本全半角错误。</explain>
      <paraID>50983430</paraID>
      <start>16</start>
      <end>17</end>
      <status>modified</status>
      <modifiedWord>）</modifiedWord>
      <trackRevisions>false</trackRevisions>
    </reviewItem>
    <reviewItem>
      <errorID>5f0a87b9-cb24-40e5-bb6f-ef25c8338394</errorID>
      <errorWord>(</errorWord>
      <group>L1_Format</group>
      <groupName>格式问题</groupName>
      <ability>L2_HalfPunc</ability>
      <abilityName>全半角检查</abilityName>
      <candidateList>
        <item>（</item>
      </candidateList>
      <explain>文本全半角错误。</explain>
      <paraID>69F43779</paraID>
      <start>6</start>
      <end>7</end>
      <status>modified</status>
      <modifiedWord>（</modifiedWord>
      <trackRevisions>false</trackRevisions>
    </reviewItem>
    <reviewItem>
      <errorID>c3f163f9-579d-4965-8e33-445688beab58</errorID>
      <errorWord>)</errorWord>
      <group>L1_Format</group>
      <groupName>格式问题</groupName>
      <ability>L2_HalfPunc</ability>
      <abilityName>全半角检查</abilityName>
      <candidateList>
        <item>）</item>
      </candidateList>
      <explain>文本全半角错误。</explain>
      <paraID>69F43779</paraID>
      <start>13</start>
      <end>14</end>
      <status>modified</status>
      <modifiedWord>）</modifiedWord>
      <trackRevisions>false</trackRevisions>
    </reviewItem>
    <reviewItem>
      <errorID>59aa3a1b-f7cb-400b-bd19-00bdb37c696b</errorID>
      <errorWord>(</errorWord>
      <group>L1_Format</group>
      <groupName>格式问题</groupName>
      <ability>L2_HalfPunc</ability>
      <abilityName>全半角检查</abilityName>
      <candidateList>
        <item>（</item>
      </candidateList>
      <explain>文本全半角错误。</explain>
      <paraID>5FF22D84</paraID>
      <start>7</start>
      <end>8</end>
      <status>modified</status>
      <modifiedWord>（</modifiedWord>
      <trackRevisions>false</trackRevisions>
    </reviewItem>
    <reviewItem>
      <errorID>9738cf73-4c2a-441c-9abe-e4fc0999fef3</errorID>
      <errorWord>)</errorWord>
      <group>L1_Format</group>
      <groupName>格式问题</groupName>
      <ability>L2_HalfPunc</ability>
      <abilityName>全半角检查</abilityName>
      <candidateList>
        <item>）</item>
      </candidateList>
      <explain>文本全半角错误。</explain>
      <paraID>5FF22D84</paraID>
      <start>14</start>
      <end>15</end>
      <status>modified</status>
      <modifiedWord>）</modifiedWord>
      <trackRevisions>false</trackRevisions>
    </reviewItem>
    <reviewItem>
      <errorID>77e09f0e-a466-4979-bd19-ad843adfa9fa</errorID>
      <errorWord>(</errorWord>
      <group>L1_Format</group>
      <groupName>格式问题</groupName>
      <ability>L2_HalfPunc</ability>
      <abilityName>全半角检查</abilityName>
      <candidateList>
        <item>（</item>
      </candidateList>
      <explain>文本全半角错误。</explain>
      <paraID>47DD45CD</paraID>
      <start>7</start>
      <end>8</end>
      <status>modified</status>
      <modifiedWord>（</modifiedWord>
      <trackRevisions>false</trackRevisions>
    </reviewItem>
    <reviewItem>
      <errorID>72a0a91b-7cae-4698-80b8-0586a55a8c03</errorID>
      <errorWord>)</errorWord>
      <group>L1_Format</group>
      <groupName>格式问题</groupName>
      <ability>L2_HalfPunc</ability>
      <abilityName>全半角检查</abilityName>
      <candidateList>
        <item>）</item>
      </candidateList>
      <explain>文本全半角错误。</explain>
      <paraID>47DD45CD</paraID>
      <start>14</start>
      <end>15</end>
      <status>modified</status>
      <modifiedWord>）</modifiedWord>
      <trackRevisions>false</trackRevisions>
    </reviewItem>
    <reviewItem>
      <errorID>6ccc03bf-2b55-4539-a9db-01cd3020fc3a</errorID>
      <errorWord>(</errorWord>
      <group>L1_Format</group>
      <groupName>格式问题</groupName>
      <ability>L2_HalfPunc</ability>
      <abilityName>全半角检查</abilityName>
      <candidateList>
        <item>（</item>
      </candidateList>
      <explain>文本全半角错误。</explain>
      <paraID>1A5D162E</paraID>
      <start>10</start>
      <end>11</end>
      <status>modified</status>
      <modifiedWord>（</modifiedWord>
      <trackRevisions>false</trackRevisions>
    </reviewItem>
    <reviewItem>
      <errorID>972dbf3a-6d25-4f8e-9610-24c639673803</errorID>
      <errorWord>)</errorWord>
      <group>L1_Format</group>
      <groupName>格式问题</groupName>
      <ability>L2_HalfPunc</ability>
      <abilityName>全半角检查</abilityName>
      <candidateList>
        <item>）</item>
      </candidateList>
      <explain>文本全半角错误。</explain>
      <paraID>1A5D162E</paraID>
      <start>17</start>
      <end>18</end>
      <status>modified</status>
      <modifiedWord>）</modifiedWord>
      <trackRevisions>false</trackRevisions>
    </reviewItem>
    <reviewItem>
      <errorID>b53dbf02-f7aa-4755-82e7-a75ff0fa2545</errorID>
      <errorWord>(</errorWord>
      <group>L1_Format</group>
      <groupName>格式问题</groupName>
      <ability>L2_HalfPunc</ability>
      <abilityName>全半角检查</abilityName>
      <candidateList>
        <item>（</item>
      </candidateList>
      <explain>文本全半角错误。</explain>
      <paraID> 3AAF327</paraID>
      <start>7</start>
      <end>8</end>
      <status>modified</status>
      <modifiedWord>（</modifiedWord>
      <trackRevisions>false</trackRevisions>
    </reviewItem>
    <reviewItem>
      <errorID>3d9fafca-7cca-4e94-b450-fbc3b87bd7cc</errorID>
      <errorWord>)</errorWord>
      <group>L1_Format</group>
      <groupName>格式问题</groupName>
      <ability>L2_HalfPunc</ability>
      <abilityName>全半角检查</abilityName>
      <candidateList>
        <item>）</item>
      </candidateList>
      <explain>文本全半角错误。</explain>
      <paraID> 3AAF327</paraID>
      <start>14</start>
      <end>15</end>
      <status>modified</status>
      <modifiedWord>）</modifiedWord>
      <trackRevisions>false</trackRevisions>
    </reviewItem>
    <reviewItem>
      <errorID>a97984d5-de55-46d7-b9ed-914e0d2fb4fb</errorID>
      <errorWord>(</errorWord>
      <group>L1_Format</group>
      <groupName>格式问题</groupName>
      <ability>L2_HalfPunc</ability>
      <abilityName>全半角检查</abilityName>
      <candidateList>
        <item>（</item>
      </candidateList>
      <explain>文本全半角错误。</explain>
      <paraID>111A379B</paraID>
      <start>10</start>
      <end>11</end>
      <status>modified</status>
      <modifiedWord>（</modifiedWord>
      <trackRevisions>false</trackRevisions>
    </reviewItem>
    <reviewItem>
      <errorID>387c812a-8198-4510-9a11-a8ad20264804</errorID>
      <errorWord>)</errorWord>
      <group>L1_Format</group>
      <groupName>格式问题</groupName>
      <ability>L2_HalfPunc</ability>
      <abilityName>全半角检查</abilityName>
      <candidateList>
        <item>）</item>
      </candidateList>
      <explain>文本全半角错误。</explain>
      <paraID>111A379B</paraID>
      <start>17</start>
      <end>18</end>
      <status>modified</status>
      <modifiedWord>）</modifiedWord>
      <trackRevisions>false</trackRevisions>
    </reviewItem>
    <reviewItem>
      <errorID>fa831478-1e4e-4223-b9cf-eb4582fe6966</errorID>
      <errorWord>(</errorWord>
      <group>L1_Format</group>
      <groupName>格式问题</groupName>
      <ability>L2_HalfPunc</ability>
      <abilityName>全半角检查</abilityName>
      <candidateList>
        <item>（</item>
      </candidateList>
      <explain>文本全半角错误。</explain>
      <paraID>5962DEFD</paraID>
      <start>7</start>
      <end>8</end>
      <status>modified</status>
      <modifiedWord>（</modifiedWord>
      <trackRevisions>false</trackRevisions>
    </reviewItem>
    <reviewItem>
      <errorID>85081dc7-b49f-4c9e-a841-2482e11ae649</errorID>
      <errorWord>)</errorWord>
      <group>L1_Format</group>
      <groupName>格式问题</groupName>
      <ability>L2_HalfPunc</ability>
      <abilityName>全半角检查</abilityName>
      <candidateList>
        <item>）</item>
      </candidateList>
      <explain>文本全半角错误。</explain>
      <paraID>5962DEFD</paraID>
      <start>14</start>
      <end>15</end>
      <status>modified</status>
      <modifiedWord>）</modifiedWord>
      <trackRevisions>false</trackRevisions>
    </reviewItem>
    <reviewItem>
      <errorID>0420e244-9b75-40a1-b772-622ffdd2f09d</errorID>
      <errorWord>-</errorWord>
      <group>L1_Format</group>
      <groupName>格式问题</groupName>
      <ability>L2_HalfPunc</ability>
      <abilityName>全半角检查</abilityName>
      <candidateList>
        <item>－</item>
      </candidateList>
      <explain>文本全半角错误。</explain>
      <paraID>335EA07F</paraID>
      <start>5</start>
      <end>6</end>
      <status>modified</status>
      <modifiedWord>－</modifiedWord>
      <trackRevisions>false</trackRevisions>
    </reviewItem>
    <reviewItem>
      <errorID>988836ac-3104-400f-bad3-5cb14ea437c8</errorID>
      <errorWord>-</errorWord>
      <group>L1_Format</group>
      <groupName>格式问题</groupName>
      <ability>L2_HalfPunc</ability>
      <abilityName>全半角检查</abilityName>
      <candidateList>
        <item>－</item>
      </candidateList>
      <explain>文本全半角错误。</explain>
      <paraID>1F2FDD2F</paraID>
      <start>5</start>
      <end>6</end>
      <status>modified</status>
      <modifiedWord>－</modifiedWord>
      <trackRevisions>false</trackRevisions>
    </reviewItem>
    <reviewItem>
      <errorID>b24804f3-df30-4925-8628-f24bb66e82e2</errorID>
      <errorWord>-</errorWord>
      <group>L1_Format</group>
      <groupName>格式问题</groupName>
      <ability>L2_HalfPunc</ability>
      <abilityName>全半角检查</abilityName>
      <candidateList>
        <item>－</item>
      </candidateList>
      <explain>文本全半角错误。</explain>
      <paraID>3AAED855</paraID>
      <start>3</start>
      <end>4</end>
      <status>modified</status>
      <modifiedWord>－</modifiedWord>
      <trackRevisions>false</trackRevisions>
    </reviewItem>
    <reviewItem>
      <errorID>ca994d16-4c08-4c9c-b3f4-e0af10983c4c</errorID>
      <errorWord>(</errorWord>
      <group>L1_Format</group>
      <groupName>格式问题</groupName>
      <ability>L2_HalfPunc</ability>
      <abilityName>全半角检查</abilityName>
      <candidateList>
        <item>（</item>
      </candidateList>
      <explain>文本全半角错误。</explain>
      <paraID>722737CA</paraID>
      <start>5</start>
      <end>6</end>
      <status>modified</status>
      <modifiedWord>（</modifiedWord>
      <trackRevisions>false</trackRevisions>
    </reviewItem>
    <reviewItem>
      <errorID>8805f94f-913a-4afc-ad58-4edeaf54c61c</errorID>
      <errorWord>)</errorWord>
      <group>L1_Format</group>
      <groupName>格式问题</groupName>
      <ability>L2_HalfPunc</ability>
      <abilityName>全半角检查</abilityName>
      <candidateList>
        <item>）</item>
      </candidateList>
      <explain>文本全半角错误。</explain>
      <paraID>722737CA</paraID>
      <start>22</start>
      <end>23</end>
      <status>modified</status>
      <modifiedWord>）</modifiedWord>
      <trackRevisions>false</trackRevisions>
    </reviewItem>
    <reviewItem>
      <errorID>9503c50c-64f4-4dba-ad06-8bea9ed2f342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1D611306</paraID>
      <start>0</start>
      <end>2</end>
      <status>modified</status>
      <modifiedWord>1.</modifiedWord>
      <trackRevisions>false</trackRevisions>
    </reviewItem>
    <reviewItem>
      <errorID>3d6806c2-bf09-4c02-bce7-da4e55aa19dd</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5D2E265D</paraID>
      <start>10</start>
      <end>12</end>
      <status>modified</status>
      <modifiedWord>涉及</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d5ee0e-1018-49a6-8780-4af4792220d7}">
  <ds:schemaRefs/>
</ds:datastoreItem>
</file>

<file path=docProps/app.xml><?xml version="1.0" encoding="utf-8"?>
<Properties xmlns="http://schemas.openxmlformats.org/officeDocument/2006/extended-properties" xmlns:vt="http://schemas.openxmlformats.org/officeDocument/2006/docPropsVTypes">
  <Template>Normal.dotm</Template>
  <Pages>248</Pages>
  <Words>19909</Words>
  <Characters>21819</Characters>
  <Lines>0</Lines>
  <Paragraphs>0</Paragraphs>
  <TotalTime>61</TotalTime>
  <ScaleCrop>false</ScaleCrop>
  <LinksUpToDate>false</LinksUpToDate>
  <CharactersWithSpaces>22468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2023-08-22T03:17:00Z</dcterms:created>
  <dc:creator>guang</dc:creator>
  <cp:lastModifiedBy>Admin</cp:lastModifiedBy>
  <cp:lastPrinted>2026-09-03T09:32:00Z</cp:lastPrinted>
  <dcterms:modified xsi:type="dcterms:W3CDTF">2026-09-10T01:47:41Z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F38C0C0DE8994F7D9F3E012588CB968B_13</vt:lpwstr>
  </property>
  <property fmtid="{D5CDD505-2E9C-101B-9397-08002B2CF9AE}" pid="3" name="KSOProductBuildVer">
    <vt:lpwstr>2052-12.1.0.28505</vt:lpwstr>
  </property>
  <property fmtid="{D5CDD505-2E9C-101B-9397-08002B2CF9AE}" pid="4" name="KSOTemplateDocerSaveRecord">
    <vt:lpwstr>eyJoZGlkIjoiODUzNmViOTIzMDY3YzMwMzEyNjY5YmI2OWMwNzEzYTgiLCJ1c2VySWQiOiI0NDE3NTE5MjIifQ==</vt:lpwstr>
  </property>
</Properties>
</file>